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45AB5" w14:textId="794F7BC6" w:rsidR="00E90E49" w:rsidRPr="00CE0424" w:rsidRDefault="00E90E49" w:rsidP="00D46FF5">
      <w:pPr>
        <w:pStyle w:val="3GPPHeader"/>
        <w:tabs>
          <w:tab w:val="left" w:pos="7200"/>
        </w:tabs>
        <w:spacing w:after="120"/>
        <w:rPr>
          <w:sz w:val="32"/>
          <w:szCs w:val="32"/>
          <w:highlight w:val="yellow"/>
        </w:rPr>
      </w:pPr>
      <w:r w:rsidRPr="005E0E9B">
        <w:t>3GPP TSG-RAN WG</w:t>
      </w:r>
      <w:r w:rsidR="008F1C4E" w:rsidRPr="005E0E9B">
        <w:t>1</w:t>
      </w:r>
      <w:r w:rsidRPr="005E0E9B">
        <w:t xml:space="preserve"> </w:t>
      </w:r>
      <w:r w:rsidR="008F1C4E" w:rsidRPr="005E0E9B">
        <w:t xml:space="preserve">Meeting </w:t>
      </w:r>
      <w:r w:rsidRPr="005E0E9B">
        <w:t>#</w:t>
      </w:r>
      <w:r w:rsidR="00AD580A" w:rsidRPr="005E0E9B">
        <w:t>1</w:t>
      </w:r>
      <w:r w:rsidR="007211E2">
        <w:t>20</w:t>
      </w:r>
      <w:r w:rsidR="00C47670">
        <w:tab/>
      </w:r>
      <w:proofErr w:type="spellStart"/>
      <w:r w:rsidRPr="00156E16">
        <w:rPr>
          <w:sz w:val="32"/>
          <w:szCs w:val="32"/>
        </w:rPr>
        <w:t>Tdoc</w:t>
      </w:r>
      <w:proofErr w:type="spellEnd"/>
      <w:r w:rsidRPr="00156E16">
        <w:rPr>
          <w:sz w:val="32"/>
          <w:szCs w:val="32"/>
        </w:rPr>
        <w:t xml:space="preserve"> </w:t>
      </w:r>
      <w:r w:rsidR="00091557" w:rsidRPr="00156E16">
        <w:rPr>
          <w:sz w:val="32"/>
          <w:szCs w:val="32"/>
        </w:rPr>
        <w:t>R</w:t>
      </w:r>
      <w:r w:rsidR="008F1C4E" w:rsidRPr="00156E16">
        <w:rPr>
          <w:sz w:val="32"/>
          <w:szCs w:val="32"/>
        </w:rPr>
        <w:t>1</w:t>
      </w:r>
      <w:r w:rsidR="00091557" w:rsidRPr="00156E16">
        <w:rPr>
          <w:sz w:val="32"/>
          <w:szCs w:val="32"/>
        </w:rPr>
        <w:t>-</w:t>
      </w:r>
      <w:r w:rsidR="00F20466" w:rsidRPr="00C635B3">
        <w:rPr>
          <w:sz w:val="32"/>
          <w:szCs w:val="32"/>
        </w:rPr>
        <w:t>2</w:t>
      </w:r>
      <w:r w:rsidR="00F20466">
        <w:rPr>
          <w:sz w:val="32"/>
          <w:szCs w:val="32"/>
        </w:rPr>
        <w:t>500060</w:t>
      </w:r>
    </w:p>
    <w:p w14:paraId="6377BC9F" w14:textId="189C08A6" w:rsidR="00E17BB8" w:rsidRPr="005E0E9B" w:rsidRDefault="007211E2" w:rsidP="00D46FF5">
      <w:pPr>
        <w:pStyle w:val="3GPPHeader"/>
      </w:pPr>
      <w:r>
        <w:rPr>
          <w:bCs/>
        </w:rPr>
        <w:t>Athens, Greece</w:t>
      </w:r>
      <w:r w:rsidR="00C635B3" w:rsidRPr="00C635B3">
        <w:rPr>
          <w:bCs/>
        </w:rPr>
        <w:t xml:space="preserve">, </w:t>
      </w:r>
      <w:proofErr w:type="gramStart"/>
      <w:r w:rsidRPr="00B53CFF">
        <w:t xml:space="preserve">February  </w:t>
      </w:r>
      <w:r w:rsidR="00F20466" w:rsidRPr="00B53CFF">
        <w:rPr>
          <w:bCs/>
        </w:rPr>
        <w:t>17</w:t>
      </w:r>
      <w:proofErr w:type="gramEnd"/>
      <w:r w:rsidR="00F20466" w:rsidRPr="00B53CFF">
        <w:rPr>
          <w:bCs/>
          <w:vertAlign w:val="superscript"/>
        </w:rPr>
        <w:t>th</w:t>
      </w:r>
      <w:r w:rsidR="00F20466" w:rsidRPr="00B53CFF">
        <w:rPr>
          <w:bCs/>
        </w:rPr>
        <w:t xml:space="preserve"> </w:t>
      </w:r>
      <w:r w:rsidR="00C635B3" w:rsidRPr="00B53CFF">
        <w:rPr>
          <w:bCs/>
        </w:rPr>
        <w:t xml:space="preserve">– </w:t>
      </w:r>
      <w:r w:rsidR="00F20466" w:rsidRPr="00B53CFF">
        <w:rPr>
          <w:bCs/>
        </w:rPr>
        <w:t>21</w:t>
      </w:r>
      <w:r w:rsidR="00F20466" w:rsidRPr="00B53CFF">
        <w:rPr>
          <w:bCs/>
          <w:vertAlign w:val="superscript"/>
        </w:rPr>
        <w:t>nd</w:t>
      </w:r>
      <w:r w:rsidR="00C635B3" w:rsidRPr="00B53CFF">
        <w:t>, 202</w:t>
      </w:r>
      <w:r w:rsidRPr="00B53CFF">
        <w:t>5</w:t>
      </w:r>
    </w:p>
    <w:p w14:paraId="5CC8B96E" w14:textId="43EBFA6D" w:rsidR="00E90E49" w:rsidRPr="005E0E9B" w:rsidRDefault="00E90E49" w:rsidP="00D46FF5">
      <w:pPr>
        <w:pStyle w:val="3GPPHeader"/>
        <w:spacing w:after="0"/>
      </w:pPr>
      <w:r w:rsidRPr="005E0E9B">
        <w:t>Agenda Item:</w:t>
      </w:r>
      <w:r w:rsidRPr="005E0E9B">
        <w:tab/>
      </w:r>
      <w:r w:rsidR="00AD580A" w:rsidRPr="005E0E9B">
        <w:t>9.1.2</w:t>
      </w:r>
    </w:p>
    <w:p w14:paraId="1B7E9B36" w14:textId="77777777" w:rsidR="00E90E49" w:rsidRPr="005E0E9B" w:rsidRDefault="003D3C45" w:rsidP="00D46FF5">
      <w:pPr>
        <w:pStyle w:val="3GPPHeader"/>
        <w:spacing w:after="0"/>
      </w:pPr>
      <w:r w:rsidRPr="005E0E9B">
        <w:t>Source:</w:t>
      </w:r>
      <w:r w:rsidR="00E90E49" w:rsidRPr="005E0E9B">
        <w:tab/>
      </w:r>
      <w:r w:rsidR="00F64C2B" w:rsidRPr="005E0E9B">
        <w:t>Ericsson</w:t>
      </w:r>
    </w:p>
    <w:p w14:paraId="63152FD2" w14:textId="6A88BF43" w:rsidR="00E90E49" w:rsidRPr="005E0E9B" w:rsidRDefault="003D3C45" w:rsidP="00D46FF5">
      <w:pPr>
        <w:pStyle w:val="3GPPHeader"/>
        <w:spacing w:after="0"/>
      </w:pPr>
      <w:r w:rsidRPr="005E0E9B">
        <w:t>Title:</w:t>
      </w:r>
      <w:r w:rsidR="00E90E49" w:rsidRPr="005E0E9B">
        <w:tab/>
      </w:r>
      <w:r w:rsidR="00AD580A" w:rsidRPr="005E0E9B">
        <w:t>AI/ML for Positioning Accuracy Enhancement</w:t>
      </w:r>
    </w:p>
    <w:p w14:paraId="1155B603" w14:textId="1301E8B2" w:rsidR="00E90E49" w:rsidRPr="005E0E9B" w:rsidRDefault="00E90E49" w:rsidP="00D46FF5">
      <w:pPr>
        <w:pStyle w:val="3GPPHeader"/>
        <w:spacing w:after="0"/>
      </w:pPr>
      <w:r w:rsidRPr="005E0E9B">
        <w:t>Document for:</w:t>
      </w:r>
      <w:r w:rsidRPr="005E0E9B">
        <w:tab/>
        <w:t>Discussion, Decision</w:t>
      </w:r>
    </w:p>
    <w:p w14:paraId="0FF17435" w14:textId="50E19B0E" w:rsidR="00C713E4" w:rsidRDefault="007F0535">
      <w:pPr>
        <w:pStyle w:val="TOC1"/>
        <w:rPr>
          <w:rFonts w:asciiTheme="minorHAnsi" w:eastAsiaTheme="minorEastAsia" w:hAnsiTheme="minorHAnsi" w:cstheme="minorBidi"/>
          <w:kern w:val="2"/>
          <w:sz w:val="24"/>
          <w:szCs w:val="24"/>
          <w:lang w:val="en-US" w:eastAsia="en-US"/>
          <w14:ligatures w14:val="standardContextual"/>
        </w:rPr>
      </w:pPr>
      <w:r>
        <w:fldChar w:fldCharType="begin"/>
      </w:r>
      <w:r>
        <w:instrText xml:space="preserve"> TOC \o "1-4" \h \z \u </w:instrText>
      </w:r>
      <w:r>
        <w:fldChar w:fldCharType="separate"/>
      </w:r>
      <w:hyperlink w:anchor="_Toc189845005" w:history="1">
        <w:r w:rsidR="00C713E4" w:rsidRPr="00B8145E">
          <w:rPr>
            <w:rStyle w:val="Hyperlink"/>
            <w:lang w:val="en-US"/>
          </w:rPr>
          <w:t>1</w:t>
        </w:r>
        <w:r w:rsidR="00C713E4">
          <w:rPr>
            <w:rFonts w:asciiTheme="minorHAnsi" w:eastAsiaTheme="minorEastAsia" w:hAnsiTheme="minorHAnsi" w:cstheme="minorBidi"/>
            <w:kern w:val="2"/>
            <w:sz w:val="24"/>
            <w:szCs w:val="24"/>
            <w:lang w:val="en-US" w:eastAsia="en-US"/>
            <w14:ligatures w14:val="standardContextual"/>
          </w:rPr>
          <w:tab/>
        </w:r>
        <w:r w:rsidR="00C713E4" w:rsidRPr="00B8145E">
          <w:rPr>
            <w:rStyle w:val="Hyperlink"/>
            <w:lang w:val="en-US"/>
          </w:rPr>
          <w:t>Introduction</w:t>
        </w:r>
        <w:r w:rsidR="00C713E4">
          <w:rPr>
            <w:webHidden/>
          </w:rPr>
          <w:tab/>
        </w:r>
        <w:r w:rsidR="00C713E4">
          <w:rPr>
            <w:webHidden/>
          </w:rPr>
          <w:fldChar w:fldCharType="begin"/>
        </w:r>
        <w:r w:rsidR="00C713E4">
          <w:rPr>
            <w:webHidden/>
          </w:rPr>
          <w:instrText xml:space="preserve"> PAGEREF _Toc189845005 \h </w:instrText>
        </w:r>
        <w:r w:rsidR="00C713E4">
          <w:rPr>
            <w:webHidden/>
          </w:rPr>
        </w:r>
        <w:r w:rsidR="00C713E4">
          <w:rPr>
            <w:webHidden/>
          </w:rPr>
          <w:fldChar w:fldCharType="separate"/>
        </w:r>
        <w:r w:rsidR="00C713E4">
          <w:rPr>
            <w:webHidden/>
          </w:rPr>
          <w:t>2</w:t>
        </w:r>
        <w:r w:rsidR="00C713E4">
          <w:rPr>
            <w:webHidden/>
          </w:rPr>
          <w:fldChar w:fldCharType="end"/>
        </w:r>
      </w:hyperlink>
    </w:p>
    <w:p w14:paraId="3D03C0A3" w14:textId="3FC879DC"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06" w:history="1">
        <w:r w:rsidRPr="00B8145E">
          <w:rPr>
            <w:rStyle w:val="Hyperlink"/>
            <w:lang w:val="en-US"/>
          </w:rPr>
          <w:t>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Integrating AI/ML based positioning methods with existing protocol</w:t>
        </w:r>
        <w:r>
          <w:rPr>
            <w:webHidden/>
          </w:rPr>
          <w:tab/>
        </w:r>
        <w:r>
          <w:rPr>
            <w:webHidden/>
          </w:rPr>
          <w:fldChar w:fldCharType="begin"/>
        </w:r>
        <w:r>
          <w:rPr>
            <w:webHidden/>
          </w:rPr>
          <w:instrText xml:space="preserve"> PAGEREF _Toc189845006 \h </w:instrText>
        </w:r>
        <w:r>
          <w:rPr>
            <w:webHidden/>
          </w:rPr>
        </w:r>
        <w:r>
          <w:rPr>
            <w:webHidden/>
          </w:rPr>
          <w:fldChar w:fldCharType="separate"/>
        </w:r>
        <w:r>
          <w:rPr>
            <w:webHidden/>
          </w:rPr>
          <w:t>3</w:t>
        </w:r>
        <w:r>
          <w:rPr>
            <w:webHidden/>
          </w:rPr>
          <w:fldChar w:fldCharType="end"/>
        </w:r>
      </w:hyperlink>
    </w:p>
    <w:p w14:paraId="54020D92" w14:textId="0A843275"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07" w:history="1">
        <w:r w:rsidRPr="00B8145E">
          <w:rPr>
            <w:rStyle w:val="Hyperlink"/>
            <w:lang w:val="en-US"/>
          </w:rPr>
          <w:t>2.1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Cases with AI/ML model hosted in the UE (Case 1)</w:t>
        </w:r>
        <w:r>
          <w:rPr>
            <w:webHidden/>
          </w:rPr>
          <w:tab/>
        </w:r>
        <w:r>
          <w:rPr>
            <w:webHidden/>
          </w:rPr>
          <w:fldChar w:fldCharType="begin"/>
        </w:r>
        <w:r>
          <w:rPr>
            <w:webHidden/>
          </w:rPr>
          <w:instrText xml:space="preserve"> PAGEREF _Toc189845007 \h </w:instrText>
        </w:r>
        <w:r>
          <w:rPr>
            <w:webHidden/>
          </w:rPr>
        </w:r>
        <w:r>
          <w:rPr>
            <w:webHidden/>
          </w:rPr>
          <w:fldChar w:fldCharType="separate"/>
        </w:r>
        <w:r>
          <w:rPr>
            <w:webHidden/>
          </w:rPr>
          <w:t>4</w:t>
        </w:r>
        <w:r>
          <w:rPr>
            <w:webHidden/>
          </w:rPr>
          <w:fldChar w:fldCharType="end"/>
        </w:r>
      </w:hyperlink>
    </w:p>
    <w:p w14:paraId="6DCF8A81" w14:textId="572D4655"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08" w:history="1">
        <w:r w:rsidRPr="00B8145E">
          <w:rPr>
            <w:rStyle w:val="Hyperlink"/>
            <w:lang w:val="en-US"/>
          </w:rPr>
          <w:t>2.2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Case with AI/ML model hosted in the TRP/gNB (Case 3a)</w:t>
        </w:r>
        <w:r>
          <w:rPr>
            <w:webHidden/>
          </w:rPr>
          <w:tab/>
        </w:r>
        <w:r>
          <w:rPr>
            <w:webHidden/>
          </w:rPr>
          <w:fldChar w:fldCharType="begin"/>
        </w:r>
        <w:r>
          <w:rPr>
            <w:webHidden/>
          </w:rPr>
          <w:instrText xml:space="preserve"> PAGEREF _Toc189845008 \h </w:instrText>
        </w:r>
        <w:r>
          <w:rPr>
            <w:webHidden/>
          </w:rPr>
        </w:r>
        <w:r>
          <w:rPr>
            <w:webHidden/>
          </w:rPr>
          <w:fldChar w:fldCharType="separate"/>
        </w:r>
        <w:r>
          <w:rPr>
            <w:webHidden/>
          </w:rPr>
          <w:t>4</w:t>
        </w:r>
        <w:r>
          <w:rPr>
            <w:webHidden/>
          </w:rPr>
          <w:fldChar w:fldCharType="end"/>
        </w:r>
      </w:hyperlink>
    </w:p>
    <w:p w14:paraId="4E01695A" w14:textId="2BD1263E"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09" w:history="1">
        <w:r w:rsidRPr="00B8145E">
          <w:rPr>
            <w:rStyle w:val="Hyperlink"/>
            <w:lang w:val="en-US"/>
          </w:rPr>
          <w:t>2.3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Case with AI/ML model hosted in the LMF (case 3b)</w:t>
        </w:r>
        <w:r>
          <w:rPr>
            <w:webHidden/>
          </w:rPr>
          <w:tab/>
        </w:r>
        <w:r>
          <w:rPr>
            <w:webHidden/>
          </w:rPr>
          <w:fldChar w:fldCharType="begin"/>
        </w:r>
        <w:r>
          <w:rPr>
            <w:webHidden/>
          </w:rPr>
          <w:instrText xml:space="preserve"> PAGEREF _Toc189845009 \h </w:instrText>
        </w:r>
        <w:r>
          <w:rPr>
            <w:webHidden/>
          </w:rPr>
        </w:r>
        <w:r>
          <w:rPr>
            <w:webHidden/>
          </w:rPr>
          <w:fldChar w:fldCharType="separate"/>
        </w:r>
        <w:r>
          <w:rPr>
            <w:webHidden/>
          </w:rPr>
          <w:t>5</w:t>
        </w:r>
        <w:r>
          <w:rPr>
            <w:webHidden/>
          </w:rPr>
          <w:fldChar w:fldCharType="end"/>
        </w:r>
      </w:hyperlink>
    </w:p>
    <w:p w14:paraId="27339084" w14:textId="15D7E3D1"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10" w:history="1">
        <w:r w:rsidRPr="00B8145E">
          <w:rPr>
            <w:rStyle w:val="Hyperlink"/>
            <w:lang w:val="en-US"/>
          </w:rPr>
          <w:t>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Signaling enhancement for model inputs</w:t>
        </w:r>
        <w:r>
          <w:rPr>
            <w:webHidden/>
          </w:rPr>
          <w:tab/>
        </w:r>
        <w:r>
          <w:rPr>
            <w:webHidden/>
          </w:rPr>
          <w:fldChar w:fldCharType="begin"/>
        </w:r>
        <w:r>
          <w:rPr>
            <w:webHidden/>
          </w:rPr>
          <w:instrText xml:space="preserve"> PAGEREF _Toc189845010 \h </w:instrText>
        </w:r>
        <w:r>
          <w:rPr>
            <w:webHidden/>
          </w:rPr>
        </w:r>
        <w:r>
          <w:rPr>
            <w:webHidden/>
          </w:rPr>
          <w:fldChar w:fldCharType="separate"/>
        </w:r>
        <w:r>
          <w:rPr>
            <w:webHidden/>
          </w:rPr>
          <w:t>6</w:t>
        </w:r>
        <w:r>
          <w:rPr>
            <w:webHidden/>
          </w:rPr>
          <w:fldChar w:fldCharType="end"/>
        </w:r>
      </w:hyperlink>
    </w:p>
    <w:p w14:paraId="003BE43C" w14:textId="4218DE50"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11" w:history="1">
        <w:r w:rsidRPr="00B8145E">
          <w:rPr>
            <w:rStyle w:val="Hyperlink"/>
            <w:lang w:val="en-US"/>
          </w:rPr>
          <w:t>3.1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Remaining issues for sample-based measurements for model input</w:t>
        </w:r>
        <w:r>
          <w:rPr>
            <w:webHidden/>
          </w:rPr>
          <w:tab/>
        </w:r>
        <w:r>
          <w:rPr>
            <w:webHidden/>
          </w:rPr>
          <w:fldChar w:fldCharType="begin"/>
        </w:r>
        <w:r>
          <w:rPr>
            <w:webHidden/>
          </w:rPr>
          <w:instrText xml:space="preserve"> PAGEREF _Toc189845011 \h </w:instrText>
        </w:r>
        <w:r>
          <w:rPr>
            <w:webHidden/>
          </w:rPr>
        </w:r>
        <w:r>
          <w:rPr>
            <w:webHidden/>
          </w:rPr>
          <w:fldChar w:fldCharType="separate"/>
        </w:r>
        <w:r>
          <w:rPr>
            <w:webHidden/>
          </w:rPr>
          <w:t>7</w:t>
        </w:r>
        <w:r>
          <w:rPr>
            <w:webHidden/>
          </w:rPr>
          <w:fldChar w:fldCharType="end"/>
        </w:r>
      </w:hyperlink>
    </w:p>
    <w:p w14:paraId="14AF81D4" w14:textId="7A564402"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2" w:history="1">
        <w:r w:rsidRPr="00B8145E">
          <w:rPr>
            <w:rStyle w:val="Hyperlink"/>
          </w:rPr>
          <w:t>3.1.1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Value range for parameters {N</w:t>
        </w:r>
        <w:r w:rsidRPr="00B8145E">
          <w:rPr>
            <w:rStyle w:val="Hyperlink"/>
            <w:vertAlign w:val="subscript"/>
            <w:lang w:val="en-US"/>
          </w:rPr>
          <w:t>t</w:t>
        </w:r>
        <w:r w:rsidRPr="00B8145E">
          <w:rPr>
            <w:rStyle w:val="Hyperlink"/>
            <w:lang w:val="en-US"/>
          </w:rPr>
          <w:t>, N</w:t>
        </w:r>
        <w:r w:rsidRPr="00B8145E">
          <w:rPr>
            <w:rStyle w:val="Hyperlink"/>
            <w:vertAlign w:val="subscript"/>
            <w:lang w:val="en-US"/>
          </w:rPr>
          <w:t>t</w:t>
        </w:r>
        <w:r w:rsidRPr="00B8145E">
          <w:rPr>
            <w:rStyle w:val="Hyperlink"/>
            <w:lang w:val="en-US"/>
          </w:rPr>
          <w:t>', k}</w:t>
        </w:r>
        <w:r>
          <w:rPr>
            <w:webHidden/>
          </w:rPr>
          <w:tab/>
        </w:r>
        <w:r>
          <w:rPr>
            <w:webHidden/>
          </w:rPr>
          <w:fldChar w:fldCharType="begin"/>
        </w:r>
        <w:r>
          <w:rPr>
            <w:webHidden/>
          </w:rPr>
          <w:instrText xml:space="preserve"> PAGEREF _Toc189845012 \h </w:instrText>
        </w:r>
        <w:r>
          <w:rPr>
            <w:webHidden/>
          </w:rPr>
        </w:r>
        <w:r>
          <w:rPr>
            <w:webHidden/>
          </w:rPr>
          <w:fldChar w:fldCharType="separate"/>
        </w:r>
        <w:r>
          <w:rPr>
            <w:webHidden/>
          </w:rPr>
          <w:t>9</w:t>
        </w:r>
        <w:r>
          <w:rPr>
            <w:webHidden/>
          </w:rPr>
          <w:fldChar w:fldCharType="end"/>
        </w:r>
      </w:hyperlink>
    </w:p>
    <w:p w14:paraId="2C14660E" w14:textId="6D334662"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3" w:history="1">
        <w:r w:rsidRPr="00B8145E">
          <w:rPr>
            <w:rStyle w:val="Hyperlink"/>
          </w:rPr>
          <w:t>3.1.2</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LMF handling of sample-based or path-based reporting</w:t>
        </w:r>
        <w:r>
          <w:rPr>
            <w:webHidden/>
          </w:rPr>
          <w:tab/>
        </w:r>
        <w:r>
          <w:rPr>
            <w:webHidden/>
          </w:rPr>
          <w:fldChar w:fldCharType="begin"/>
        </w:r>
        <w:r>
          <w:rPr>
            <w:webHidden/>
          </w:rPr>
          <w:instrText xml:space="preserve"> PAGEREF _Toc189845013 \h </w:instrText>
        </w:r>
        <w:r>
          <w:rPr>
            <w:webHidden/>
          </w:rPr>
        </w:r>
        <w:r>
          <w:rPr>
            <w:webHidden/>
          </w:rPr>
          <w:fldChar w:fldCharType="separate"/>
        </w:r>
        <w:r>
          <w:rPr>
            <w:webHidden/>
          </w:rPr>
          <w:t>12</w:t>
        </w:r>
        <w:r>
          <w:rPr>
            <w:webHidden/>
          </w:rPr>
          <w:fldChar w:fldCharType="end"/>
        </w:r>
      </w:hyperlink>
    </w:p>
    <w:p w14:paraId="259BE63C" w14:textId="0D59A85C"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4" w:history="1">
        <w:r w:rsidRPr="00B8145E">
          <w:rPr>
            <w:rStyle w:val="Hyperlink"/>
          </w:rPr>
          <w:t>3.1.3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Total-power PDP report for Rel-19</w:t>
        </w:r>
        <w:r>
          <w:rPr>
            <w:webHidden/>
          </w:rPr>
          <w:tab/>
        </w:r>
        <w:r>
          <w:rPr>
            <w:webHidden/>
          </w:rPr>
          <w:fldChar w:fldCharType="begin"/>
        </w:r>
        <w:r>
          <w:rPr>
            <w:webHidden/>
          </w:rPr>
          <w:instrText xml:space="preserve"> PAGEREF _Toc189845014 \h </w:instrText>
        </w:r>
        <w:r>
          <w:rPr>
            <w:webHidden/>
          </w:rPr>
        </w:r>
        <w:r>
          <w:rPr>
            <w:webHidden/>
          </w:rPr>
          <w:fldChar w:fldCharType="separate"/>
        </w:r>
        <w:r>
          <w:rPr>
            <w:webHidden/>
          </w:rPr>
          <w:t>13</w:t>
        </w:r>
        <w:r>
          <w:rPr>
            <w:webHidden/>
          </w:rPr>
          <w:fldChar w:fldCharType="end"/>
        </w:r>
      </w:hyperlink>
    </w:p>
    <w:p w14:paraId="68DC4BDC" w14:textId="584C20CF"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15" w:history="1">
        <w:r w:rsidRPr="00B8145E">
          <w:rPr>
            <w:rStyle w:val="Hyperlink"/>
            <w:lang w:val="en-US"/>
          </w:rPr>
          <w:t>3.2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Analysis of supporting phase information measurement</w:t>
        </w:r>
        <w:r>
          <w:rPr>
            <w:webHidden/>
          </w:rPr>
          <w:tab/>
        </w:r>
        <w:r>
          <w:rPr>
            <w:webHidden/>
          </w:rPr>
          <w:fldChar w:fldCharType="begin"/>
        </w:r>
        <w:r>
          <w:rPr>
            <w:webHidden/>
          </w:rPr>
          <w:instrText xml:space="preserve"> PAGEREF _Toc189845015 \h </w:instrText>
        </w:r>
        <w:r>
          <w:rPr>
            <w:webHidden/>
          </w:rPr>
        </w:r>
        <w:r>
          <w:rPr>
            <w:webHidden/>
          </w:rPr>
          <w:fldChar w:fldCharType="separate"/>
        </w:r>
        <w:r>
          <w:rPr>
            <w:webHidden/>
          </w:rPr>
          <w:t>15</w:t>
        </w:r>
        <w:r>
          <w:rPr>
            <w:webHidden/>
          </w:rPr>
          <w:fldChar w:fldCharType="end"/>
        </w:r>
      </w:hyperlink>
    </w:p>
    <w:p w14:paraId="66571C5F" w14:textId="06B6EB7A"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6" w:history="1">
        <w:r w:rsidRPr="00B8145E">
          <w:rPr>
            <w:rStyle w:val="Hyperlink"/>
            <w:lang w:val="en-US"/>
          </w:rPr>
          <w:t>3.2.1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Inapplicability of Rel-18 carrier phase positioning</w:t>
        </w:r>
        <w:r>
          <w:rPr>
            <w:webHidden/>
          </w:rPr>
          <w:tab/>
        </w:r>
        <w:r>
          <w:rPr>
            <w:webHidden/>
          </w:rPr>
          <w:fldChar w:fldCharType="begin"/>
        </w:r>
        <w:r>
          <w:rPr>
            <w:webHidden/>
          </w:rPr>
          <w:instrText xml:space="preserve"> PAGEREF _Toc189845016 \h </w:instrText>
        </w:r>
        <w:r>
          <w:rPr>
            <w:webHidden/>
          </w:rPr>
        </w:r>
        <w:r>
          <w:rPr>
            <w:webHidden/>
          </w:rPr>
          <w:fldChar w:fldCharType="separate"/>
        </w:r>
        <w:r>
          <w:rPr>
            <w:webHidden/>
          </w:rPr>
          <w:t>16</w:t>
        </w:r>
        <w:r>
          <w:rPr>
            <w:webHidden/>
          </w:rPr>
          <w:fldChar w:fldCharType="end"/>
        </w:r>
      </w:hyperlink>
    </w:p>
    <w:p w14:paraId="36E86678" w14:textId="557F022F"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7" w:history="1">
        <w:r w:rsidRPr="00B8145E">
          <w:rPr>
            <w:rStyle w:val="Hyperlink"/>
            <w:lang w:val="en-US"/>
          </w:rPr>
          <w:t>3.2.2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Issues with random initial phase</w:t>
        </w:r>
        <w:r>
          <w:rPr>
            <w:webHidden/>
          </w:rPr>
          <w:tab/>
        </w:r>
        <w:r>
          <w:rPr>
            <w:webHidden/>
          </w:rPr>
          <w:fldChar w:fldCharType="begin"/>
        </w:r>
        <w:r>
          <w:rPr>
            <w:webHidden/>
          </w:rPr>
          <w:instrText xml:space="preserve"> PAGEREF _Toc189845017 \h </w:instrText>
        </w:r>
        <w:r>
          <w:rPr>
            <w:webHidden/>
          </w:rPr>
        </w:r>
        <w:r>
          <w:rPr>
            <w:webHidden/>
          </w:rPr>
          <w:fldChar w:fldCharType="separate"/>
        </w:r>
        <w:r>
          <w:rPr>
            <w:webHidden/>
          </w:rPr>
          <w:t>16</w:t>
        </w:r>
        <w:r>
          <w:rPr>
            <w:webHidden/>
          </w:rPr>
          <w:fldChar w:fldCharType="end"/>
        </w:r>
      </w:hyperlink>
    </w:p>
    <w:p w14:paraId="0CAFCA09" w14:textId="3DA38B43"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8" w:history="1">
        <w:r w:rsidRPr="00B8145E">
          <w:rPr>
            <w:rStyle w:val="Hyperlink"/>
          </w:rPr>
          <w:t>3.2.3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Difficulty to align phase measurements between model training and model inference</w:t>
        </w:r>
        <w:r>
          <w:rPr>
            <w:webHidden/>
          </w:rPr>
          <w:tab/>
        </w:r>
        <w:r>
          <w:rPr>
            <w:webHidden/>
          </w:rPr>
          <w:fldChar w:fldCharType="begin"/>
        </w:r>
        <w:r>
          <w:rPr>
            <w:webHidden/>
          </w:rPr>
          <w:instrText xml:space="preserve"> PAGEREF _Toc189845018 \h </w:instrText>
        </w:r>
        <w:r>
          <w:rPr>
            <w:webHidden/>
          </w:rPr>
        </w:r>
        <w:r>
          <w:rPr>
            <w:webHidden/>
          </w:rPr>
          <w:fldChar w:fldCharType="separate"/>
        </w:r>
        <w:r>
          <w:rPr>
            <w:webHidden/>
          </w:rPr>
          <w:t>20</w:t>
        </w:r>
        <w:r>
          <w:rPr>
            <w:webHidden/>
          </w:rPr>
          <w:fldChar w:fldCharType="end"/>
        </w:r>
      </w:hyperlink>
    </w:p>
    <w:p w14:paraId="4EE676D6" w14:textId="21B1CE3A"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19" w:history="1">
        <w:r w:rsidRPr="00B8145E">
          <w:rPr>
            <w:rStyle w:val="Hyperlink"/>
            <w:lang w:val="en-US"/>
          </w:rPr>
          <w:t>3.2.4</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Signaling size vs positioning accuracy tradeoff analysis</w:t>
        </w:r>
        <w:r>
          <w:rPr>
            <w:webHidden/>
          </w:rPr>
          <w:tab/>
        </w:r>
        <w:r>
          <w:rPr>
            <w:webHidden/>
          </w:rPr>
          <w:fldChar w:fldCharType="begin"/>
        </w:r>
        <w:r>
          <w:rPr>
            <w:webHidden/>
          </w:rPr>
          <w:instrText xml:space="preserve"> PAGEREF _Toc189845019 \h </w:instrText>
        </w:r>
        <w:r>
          <w:rPr>
            <w:webHidden/>
          </w:rPr>
        </w:r>
        <w:r>
          <w:rPr>
            <w:webHidden/>
          </w:rPr>
          <w:fldChar w:fldCharType="separate"/>
        </w:r>
        <w:r>
          <w:rPr>
            <w:webHidden/>
          </w:rPr>
          <w:t>22</w:t>
        </w:r>
        <w:r>
          <w:rPr>
            <w:webHidden/>
          </w:rPr>
          <w:fldChar w:fldCharType="end"/>
        </w:r>
      </w:hyperlink>
    </w:p>
    <w:p w14:paraId="7A69D917" w14:textId="0486A8ED" w:rsidR="00C713E4" w:rsidRDefault="00C713E4">
      <w:pPr>
        <w:pStyle w:val="TOC4"/>
        <w:rPr>
          <w:rFonts w:asciiTheme="minorHAnsi" w:eastAsiaTheme="minorEastAsia" w:hAnsiTheme="minorHAnsi" w:cstheme="minorBidi"/>
          <w:kern w:val="2"/>
          <w:sz w:val="24"/>
          <w:szCs w:val="24"/>
          <w:lang w:val="en-US" w:eastAsia="en-US"/>
          <w14:ligatures w14:val="standardContextual"/>
        </w:rPr>
      </w:pPr>
      <w:hyperlink w:anchor="_Toc189845020" w:history="1">
        <w:r w:rsidRPr="00B8145E">
          <w:rPr>
            <w:rStyle w:val="Hyperlink"/>
            <w:lang w:val="en-US"/>
          </w:rPr>
          <w:t>3.2.4.1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Simple signaling size comparison based on the number of real numbers to signal</w:t>
        </w:r>
        <w:r>
          <w:rPr>
            <w:webHidden/>
          </w:rPr>
          <w:tab/>
        </w:r>
        <w:r>
          <w:rPr>
            <w:webHidden/>
          </w:rPr>
          <w:fldChar w:fldCharType="begin"/>
        </w:r>
        <w:r>
          <w:rPr>
            <w:webHidden/>
          </w:rPr>
          <w:instrText xml:space="preserve"> PAGEREF _Toc189845020 \h </w:instrText>
        </w:r>
        <w:r>
          <w:rPr>
            <w:webHidden/>
          </w:rPr>
        </w:r>
        <w:r>
          <w:rPr>
            <w:webHidden/>
          </w:rPr>
          <w:fldChar w:fldCharType="separate"/>
        </w:r>
        <w:r>
          <w:rPr>
            <w:webHidden/>
          </w:rPr>
          <w:t>23</w:t>
        </w:r>
        <w:r>
          <w:rPr>
            <w:webHidden/>
          </w:rPr>
          <w:fldChar w:fldCharType="end"/>
        </w:r>
      </w:hyperlink>
    </w:p>
    <w:p w14:paraId="49BA3008" w14:textId="2DA8C9E1" w:rsidR="00C713E4" w:rsidRDefault="00C713E4">
      <w:pPr>
        <w:pStyle w:val="TOC4"/>
        <w:rPr>
          <w:rFonts w:asciiTheme="minorHAnsi" w:eastAsiaTheme="minorEastAsia" w:hAnsiTheme="minorHAnsi" w:cstheme="minorBidi"/>
          <w:kern w:val="2"/>
          <w:sz w:val="24"/>
          <w:szCs w:val="24"/>
          <w:lang w:val="en-US" w:eastAsia="en-US"/>
          <w14:ligatures w14:val="standardContextual"/>
        </w:rPr>
      </w:pPr>
      <w:hyperlink w:anchor="_Toc189845021" w:history="1">
        <w:r w:rsidRPr="00B8145E">
          <w:rPr>
            <w:rStyle w:val="Hyperlink"/>
            <w:lang w:val="en-US"/>
          </w:rPr>
          <w:t>3.2.4.2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Signaling sizes based on simple direct sample timing bitmaps</w:t>
        </w:r>
        <w:r>
          <w:rPr>
            <w:webHidden/>
          </w:rPr>
          <w:tab/>
        </w:r>
        <w:r>
          <w:rPr>
            <w:webHidden/>
          </w:rPr>
          <w:fldChar w:fldCharType="begin"/>
        </w:r>
        <w:r>
          <w:rPr>
            <w:webHidden/>
          </w:rPr>
          <w:instrText xml:space="preserve"> PAGEREF _Toc189845021 \h </w:instrText>
        </w:r>
        <w:r>
          <w:rPr>
            <w:webHidden/>
          </w:rPr>
        </w:r>
        <w:r>
          <w:rPr>
            <w:webHidden/>
          </w:rPr>
          <w:fldChar w:fldCharType="separate"/>
        </w:r>
        <w:r>
          <w:rPr>
            <w:webHidden/>
          </w:rPr>
          <w:t>27</w:t>
        </w:r>
        <w:r>
          <w:rPr>
            <w:webHidden/>
          </w:rPr>
          <w:fldChar w:fldCharType="end"/>
        </w:r>
      </w:hyperlink>
    </w:p>
    <w:p w14:paraId="06D1734F" w14:textId="02D02BB3"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22" w:history="1">
        <w:r w:rsidRPr="00B8145E">
          <w:rPr>
            <w:rStyle w:val="Hyperlink"/>
            <w:lang w:val="en-US"/>
          </w:rPr>
          <w:t>3.3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Impact of AI/ML model location for Case 3a</w:t>
        </w:r>
        <w:r>
          <w:rPr>
            <w:webHidden/>
          </w:rPr>
          <w:tab/>
        </w:r>
        <w:r>
          <w:rPr>
            <w:webHidden/>
          </w:rPr>
          <w:fldChar w:fldCharType="begin"/>
        </w:r>
        <w:r>
          <w:rPr>
            <w:webHidden/>
          </w:rPr>
          <w:instrText xml:space="preserve"> PAGEREF _Toc189845022 \h </w:instrText>
        </w:r>
        <w:r>
          <w:rPr>
            <w:webHidden/>
          </w:rPr>
        </w:r>
        <w:r>
          <w:rPr>
            <w:webHidden/>
          </w:rPr>
          <w:fldChar w:fldCharType="separate"/>
        </w:r>
        <w:r>
          <w:rPr>
            <w:webHidden/>
          </w:rPr>
          <w:t>29</w:t>
        </w:r>
        <w:r>
          <w:rPr>
            <w:webHidden/>
          </w:rPr>
          <w:fldChar w:fldCharType="end"/>
        </w:r>
      </w:hyperlink>
    </w:p>
    <w:p w14:paraId="2C414D5B" w14:textId="4A0D693C"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23" w:history="1">
        <w:r w:rsidRPr="00B8145E">
          <w:rPr>
            <w:rStyle w:val="Hyperlink"/>
            <w:lang w:val="en-US"/>
          </w:rPr>
          <w:t>4</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Model output of AI/ML assisted positioning</w:t>
        </w:r>
        <w:r>
          <w:rPr>
            <w:webHidden/>
          </w:rPr>
          <w:tab/>
        </w:r>
        <w:r>
          <w:rPr>
            <w:webHidden/>
          </w:rPr>
          <w:fldChar w:fldCharType="begin"/>
        </w:r>
        <w:r>
          <w:rPr>
            <w:webHidden/>
          </w:rPr>
          <w:instrText xml:space="preserve"> PAGEREF _Toc189845023 \h </w:instrText>
        </w:r>
        <w:r>
          <w:rPr>
            <w:webHidden/>
          </w:rPr>
        </w:r>
        <w:r>
          <w:rPr>
            <w:webHidden/>
          </w:rPr>
          <w:fldChar w:fldCharType="separate"/>
        </w:r>
        <w:r>
          <w:rPr>
            <w:webHidden/>
          </w:rPr>
          <w:t>30</w:t>
        </w:r>
        <w:r>
          <w:rPr>
            <w:webHidden/>
          </w:rPr>
          <w:fldChar w:fldCharType="end"/>
        </w:r>
      </w:hyperlink>
    </w:p>
    <w:p w14:paraId="6041639D" w14:textId="42F722D3"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24" w:history="1">
        <w:r w:rsidRPr="00B8145E">
          <w:rPr>
            <w:rStyle w:val="Hyperlink"/>
            <w:rFonts w:cs="Arial"/>
            <w:lang w:val="en-US"/>
          </w:rPr>
          <w:t>4.1</w:t>
        </w:r>
        <w:r>
          <w:rPr>
            <w:rFonts w:asciiTheme="minorHAnsi" w:eastAsiaTheme="minorEastAsia" w:hAnsiTheme="minorHAnsi" w:cstheme="minorBidi"/>
            <w:kern w:val="2"/>
            <w:sz w:val="24"/>
            <w:szCs w:val="24"/>
            <w:lang w:val="en-US" w:eastAsia="en-US"/>
            <w14:ligatures w14:val="standardContextual"/>
          </w:rPr>
          <w:tab/>
        </w:r>
        <w:r w:rsidRPr="00B8145E">
          <w:rPr>
            <w:rStyle w:val="Hyperlink"/>
            <w:rFonts w:cs="Arial"/>
            <w:lang w:val="en-US"/>
          </w:rPr>
          <w:t>Details for reporting model output of AI/ML assisted positioning</w:t>
        </w:r>
        <w:r>
          <w:rPr>
            <w:webHidden/>
          </w:rPr>
          <w:tab/>
        </w:r>
        <w:r>
          <w:rPr>
            <w:webHidden/>
          </w:rPr>
          <w:fldChar w:fldCharType="begin"/>
        </w:r>
        <w:r>
          <w:rPr>
            <w:webHidden/>
          </w:rPr>
          <w:instrText xml:space="preserve"> PAGEREF _Toc189845024 \h </w:instrText>
        </w:r>
        <w:r>
          <w:rPr>
            <w:webHidden/>
          </w:rPr>
        </w:r>
        <w:r>
          <w:rPr>
            <w:webHidden/>
          </w:rPr>
          <w:fldChar w:fldCharType="separate"/>
        </w:r>
        <w:r>
          <w:rPr>
            <w:webHidden/>
          </w:rPr>
          <w:t>30</w:t>
        </w:r>
        <w:r>
          <w:rPr>
            <w:webHidden/>
          </w:rPr>
          <w:fldChar w:fldCharType="end"/>
        </w:r>
      </w:hyperlink>
    </w:p>
    <w:p w14:paraId="479769C8" w14:textId="019CD908"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25" w:history="1">
        <w:r w:rsidRPr="00B8145E">
          <w:rPr>
            <w:rStyle w:val="Hyperlink"/>
            <w:lang w:val="en-US"/>
          </w:rPr>
          <w:t>4.1.1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LOS/NLOS indicator</w:t>
        </w:r>
        <w:r>
          <w:rPr>
            <w:webHidden/>
          </w:rPr>
          <w:tab/>
        </w:r>
        <w:r>
          <w:rPr>
            <w:webHidden/>
          </w:rPr>
          <w:fldChar w:fldCharType="begin"/>
        </w:r>
        <w:r>
          <w:rPr>
            <w:webHidden/>
          </w:rPr>
          <w:instrText xml:space="preserve"> PAGEREF _Toc189845025 \h </w:instrText>
        </w:r>
        <w:r>
          <w:rPr>
            <w:webHidden/>
          </w:rPr>
        </w:r>
        <w:r>
          <w:rPr>
            <w:webHidden/>
          </w:rPr>
          <w:fldChar w:fldCharType="separate"/>
        </w:r>
        <w:r>
          <w:rPr>
            <w:webHidden/>
          </w:rPr>
          <w:t>30</w:t>
        </w:r>
        <w:r>
          <w:rPr>
            <w:webHidden/>
          </w:rPr>
          <w:fldChar w:fldCharType="end"/>
        </w:r>
      </w:hyperlink>
    </w:p>
    <w:p w14:paraId="16C1FF24" w14:textId="25F3537D" w:rsidR="00C713E4" w:rsidRDefault="00C713E4">
      <w:pPr>
        <w:pStyle w:val="TOC4"/>
        <w:rPr>
          <w:rFonts w:asciiTheme="minorHAnsi" w:eastAsiaTheme="minorEastAsia" w:hAnsiTheme="minorHAnsi" w:cstheme="minorBidi"/>
          <w:kern w:val="2"/>
          <w:sz w:val="24"/>
          <w:szCs w:val="24"/>
          <w:lang w:val="en-US" w:eastAsia="en-US"/>
          <w14:ligatures w14:val="standardContextual"/>
        </w:rPr>
      </w:pPr>
      <w:hyperlink w:anchor="_Toc189845026" w:history="1">
        <w:r w:rsidRPr="00B8145E">
          <w:rPr>
            <w:rStyle w:val="Hyperlink"/>
            <w:lang w:val="en-US"/>
          </w:rPr>
          <w:t>4.1.1.1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Interpretation of LOS/NLOS indicator and associated timing information</w:t>
        </w:r>
        <w:r>
          <w:rPr>
            <w:webHidden/>
          </w:rPr>
          <w:tab/>
        </w:r>
        <w:r>
          <w:rPr>
            <w:webHidden/>
          </w:rPr>
          <w:fldChar w:fldCharType="begin"/>
        </w:r>
        <w:r>
          <w:rPr>
            <w:webHidden/>
          </w:rPr>
          <w:instrText xml:space="preserve"> PAGEREF _Toc189845026 \h </w:instrText>
        </w:r>
        <w:r>
          <w:rPr>
            <w:webHidden/>
          </w:rPr>
        </w:r>
        <w:r>
          <w:rPr>
            <w:webHidden/>
          </w:rPr>
          <w:fldChar w:fldCharType="separate"/>
        </w:r>
        <w:r>
          <w:rPr>
            <w:webHidden/>
          </w:rPr>
          <w:t>31</w:t>
        </w:r>
        <w:r>
          <w:rPr>
            <w:webHidden/>
          </w:rPr>
          <w:fldChar w:fldCharType="end"/>
        </w:r>
      </w:hyperlink>
    </w:p>
    <w:p w14:paraId="2B65C79E" w14:textId="4D299B20" w:rsidR="00C713E4" w:rsidRDefault="00C713E4">
      <w:pPr>
        <w:pStyle w:val="TOC4"/>
        <w:rPr>
          <w:rFonts w:asciiTheme="minorHAnsi" w:eastAsiaTheme="minorEastAsia" w:hAnsiTheme="minorHAnsi" w:cstheme="minorBidi"/>
          <w:kern w:val="2"/>
          <w:sz w:val="24"/>
          <w:szCs w:val="24"/>
          <w:lang w:val="en-US" w:eastAsia="en-US"/>
          <w14:ligatures w14:val="standardContextual"/>
        </w:rPr>
      </w:pPr>
      <w:hyperlink w:anchor="_Toc189845027" w:history="1">
        <w:r w:rsidRPr="00B8145E">
          <w:rPr>
            <w:rStyle w:val="Hyperlink"/>
          </w:rPr>
          <w:t>4.1.1.2</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Reporting of a of LOS/NLOS indicator based on model output</w:t>
        </w:r>
        <w:r>
          <w:rPr>
            <w:webHidden/>
          </w:rPr>
          <w:tab/>
        </w:r>
        <w:r>
          <w:rPr>
            <w:webHidden/>
          </w:rPr>
          <w:fldChar w:fldCharType="begin"/>
        </w:r>
        <w:r>
          <w:rPr>
            <w:webHidden/>
          </w:rPr>
          <w:instrText xml:space="preserve"> PAGEREF _Toc189845027 \h </w:instrText>
        </w:r>
        <w:r>
          <w:rPr>
            <w:webHidden/>
          </w:rPr>
        </w:r>
        <w:r>
          <w:rPr>
            <w:webHidden/>
          </w:rPr>
          <w:fldChar w:fldCharType="separate"/>
        </w:r>
        <w:r>
          <w:rPr>
            <w:webHidden/>
          </w:rPr>
          <w:t>34</w:t>
        </w:r>
        <w:r>
          <w:rPr>
            <w:webHidden/>
          </w:rPr>
          <w:fldChar w:fldCharType="end"/>
        </w:r>
      </w:hyperlink>
    </w:p>
    <w:p w14:paraId="7AA7D36F" w14:textId="1B734819" w:rsidR="00C713E4" w:rsidRDefault="00C713E4">
      <w:pPr>
        <w:pStyle w:val="TOC4"/>
        <w:rPr>
          <w:rFonts w:asciiTheme="minorHAnsi" w:eastAsiaTheme="minorEastAsia" w:hAnsiTheme="minorHAnsi" w:cstheme="minorBidi"/>
          <w:kern w:val="2"/>
          <w:sz w:val="24"/>
          <w:szCs w:val="24"/>
          <w:lang w:val="en-US" w:eastAsia="en-US"/>
          <w14:ligatures w14:val="standardContextual"/>
        </w:rPr>
      </w:pPr>
      <w:hyperlink w:anchor="_Toc189845028" w:history="1">
        <w:r w:rsidRPr="00B8145E">
          <w:rPr>
            <w:rStyle w:val="Hyperlink"/>
          </w:rPr>
          <w:t>4.1.1.3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Summary of LOS/NLOS indicator reporting</w:t>
        </w:r>
        <w:r>
          <w:rPr>
            <w:webHidden/>
          </w:rPr>
          <w:tab/>
        </w:r>
        <w:r>
          <w:rPr>
            <w:webHidden/>
          </w:rPr>
          <w:fldChar w:fldCharType="begin"/>
        </w:r>
        <w:r>
          <w:rPr>
            <w:webHidden/>
          </w:rPr>
          <w:instrText xml:space="preserve"> PAGEREF _Toc189845028 \h </w:instrText>
        </w:r>
        <w:r>
          <w:rPr>
            <w:webHidden/>
          </w:rPr>
        </w:r>
        <w:r>
          <w:rPr>
            <w:webHidden/>
          </w:rPr>
          <w:fldChar w:fldCharType="separate"/>
        </w:r>
        <w:r>
          <w:rPr>
            <w:webHidden/>
          </w:rPr>
          <w:t>34</w:t>
        </w:r>
        <w:r>
          <w:rPr>
            <w:webHidden/>
          </w:rPr>
          <w:fldChar w:fldCharType="end"/>
        </w:r>
      </w:hyperlink>
    </w:p>
    <w:p w14:paraId="13673DC4" w14:textId="087D50B0"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29" w:history="1">
        <w:r w:rsidRPr="00B8145E">
          <w:rPr>
            <w:rStyle w:val="Hyperlink"/>
            <w:lang w:val="en-US"/>
          </w:rPr>
          <w:t>4.1.2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Timing information</w:t>
        </w:r>
        <w:r>
          <w:rPr>
            <w:webHidden/>
          </w:rPr>
          <w:tab/>
        </w:r>
        <w:r>
          <w:rPr>
            <w:webHidden/>
          </w:rPr>
          <w:fldChar w:fldCharType="begin"/>
        </w:r>
        <w:r>
          <w:rPr>
            <w:webHidden/>
          </w:rPr>
          <w:instrText xml:space="preserve"> PAGEREF _Toc189845029 \h </w:instrText>
        </w:r>
        <w:r>
          <w:rPr>
            <w:webHidden/>
          </w:rPr>
        </w:r>
        <w:r>
          <w:rPr>
            <w:webHidden/>
          </w:rPr>
          <w:fldChar w:fldCharType="separate"/>
        </w:r>
        <w:r>
          <w:rPr>
            <w:webHidden/>
          </w:rPr>
          <w:t>36</w:t>
        </w:r>
        <w:r>
          <w:rPr>
            <w:webHidden/>
          </w:rPr>
          <w:fldChar w:fldCharType="end"/>
        </w:r>
      </w:hyperlink>
    </w:p>
    <w:p w14:paraId="7AB9462A" w14:textId="73E9E407"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0" w:history="1">
        <w:r w:rsidRPr="00B8145E">
          <w:rPr>
            <w:rStyle w:val="Hyperlink"/>
          </w:rPr>
          <w:t>4.1.3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Indication of AI/ML assistance in generating measurement reports</w:t>
        </w:r>
        <w:r>
          <w:rPr>
            <w:webHidden/>
          </w:rPr>
          <w:tab/>
        </w:r>
        <w:r>
          <w:rPr>
            <w:webHidden/>
          </w:rPr>
          <w:fldChar w:fldCharType="begin"/>
        </w:r>
        <w:r>
          <w:rPr>
            <w:webHidden/>
          </w:rPr>
          <w:instrText xml:space="preserve"> PAGEREF _Toc189845030 \h </w:instrText>
        </w:r>
        <w:r>
          <w:rPr>
            <w:webHidden/>
          </w:rPr>
        </w:r>
        <w:r>
          <w:rPr>
            <w:webHidden/>
          </w:rPr>
          <w:fldChar w:fldCharType="separate"/>
        </w:r>
        <w:r>
          <w:rPr>
            <w:webHidden/>
          </w:rPr>
          <w:t>38</w:t>
        </w:r>
        <w:r>
          <w:rPr>
            <w:webHidden/>
          </w:rPr>
          <w:fldChar w:fldCharType="end"/>
        </w:r>
      </w:hyperlink>
    </w:p>
    <w:p w14:paraId="30C5C1C7" w14:textId="305F9B58"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31" w:history="1">
        <w:r w:rsidRPr="00B8145E">
          <w:rPr>
            <w:rStyle w:val="Hyperlink"/>
            <w:lang w:val="en-US"/>
          </w:rPr>
          <w:t>5</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Training data collection</w:t>
        </w:r>
        <w:r>
          <w:rPr>
            <w:webHidden/>
          </w:rPr>
          <w:tab/>
        </w:r>
        <w:r>
          <w:rPr>
            <w:webHidden/>
          </w:rPr>
          <w:fldChar w:fldCharType="begin"/>
        </w:r>
        <w:r>
          <w:rPr>
            <w:webHidden/>
          </w:rPr>
          <w:instrText xml:space="preserve"> PAGEREF _Toc189845031 \h </w:instrText>
        </w:r>
        <w:r>
          <w:rPr>
            <w:webHidden/>
          </w:rPr>
        </w:r>
        <w:r>
          <w:rPr>
            <w:webHidden/>
          </w:rPr>
          <w:fldChar w:fldCharType="separate"/>
        </w:r>
        <w:r>
          <w:rPr>
            <w:webHidden/>
          </w:rPr>
          <w:t>38</w:t>
        </w:r>
        <w:r>
          <w:rPr>
            <w:webHidden/>
          </w:rPr>
          <w:fldChar w:fldCharType="end"/>
        </w:r>
      </w:hyperlink>
    </w:p>
    <w:p w14:paraId="2DA7C756" w14:textId="2B080901"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32" w:history="1">
        <w:r w:rsidRPr="00B8145E">
          <w:rPr>
            <w:rStyle w:val="Hyperlink"/>
            <w:lang w:val="en-US"/>
          </w:rPr>
          <w:t>5.1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Content of training data samples</w:t>
        </w:r>
        <w:r>
          <w:rPr>
            <w:webHidden/>
          </w:rPr>
          <w:tab/>
        </w:r>
        <w:r>
          <w:rPr>
            <w:webHidden/>
          </w:rPr>
          <w:fldChar w:fldCharType="begin"/>
        </w:r>
        <w:r>
          <w:rPr>
            <w:webHidden/>
          </w:rPr>
          <w:instrText xml:space="preserve"> PAGEREF _Toc189845032 \h </w:instrText>
        </w:r>
        <w:r>
          <w:rPr>
            <w:webHidden/>
          </w:rPr>
        </w:r>
        <w:r>
          <w:rPr>
            <w:webHidden/>
          </w:rPr>
          <w:fldChar w:fldCharType="separate"/>
        </w:r>
        <w:r>
          <w:rPr>
            <w:webHidden/>
          </w:rPr>
          <w:t>38</w:t>
        </w:r>
        <w:r>
          <w:rPr>
            <w:webHidden/>
          </w:rPr>
          <w:fldChar w:fldCharType="end"/>
        </w:r>
      </w:hyperlink>
    </w:p>
    <w:p w14:paraId="1896F221" w14:textId="19C262D8"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3" w:history="1">
        <w:r w:rsidRPr="00B8145E">
          <w:rPr>
            <w:rStyle w:val="Hyperlink"/>
          </w:rPr>
          <w:t>5.1.1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Time stamp of training data samples</w:t>
        </w:r>
        <w:r>
          <w:rPr>
            <w:webHidden/>
          </w:rPr>
          <w:tab/>
        </w:r>
        <w:r>
          <w:rPr>
            <w:webHidden/>
          </w:rPr>
          <w:fldChar w:fldCharType="begin"/>
        </w:r>
        <w:r>
          <w:rPr>
            <w:webHidden/>
          </w:rPr>
          <w:instrText xml:space="preserve"> PAGEREF _Toc189845033 \h </w:instrText>
        </w:r>
        <w:r>
          <w:rPr>
            <w:webHidden/>
          </w:rPr>
        </w:r>
        <w:r>
          <w:rPr>
            <w:webHidden/>
          </w:rPr>
          <w:fldChar w:fldCharType="separate"/>
        </w:r>
        <w:r>
          <w:rPr>
            <w:webHidden/>
          </w:rPr>
          <w:t>39</w:t>
        </w:r>
        <w:r>
          <w:rPr>
            <w:webHidden/>
          </w:rPr>
          <w:fldChar w:fldCharType="end"/>
        </w:r>
      </w:hyperlink>
    </w:p>
    <w:p w14:paraId="71D3A531" w14:textId="5451EE80"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4" w:history="1">
        <w:r w:rsidRPr="00B8145E">
          <w:rPr>
            <w:rStyle w:val="Hyperlink"/>
          </w:rPr>
          <w:t>5.1.2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Signalling and quality reporting for Part A</w:t>
        </w:r>
        <w:r>
          <w:rPr>
            <w:webHidden/>
          </w:rPr>
          <w:tab/>
        </w:r>
        <w:r>
          <w:rPr>
            <w:webHidden/>
          </w:rPr>
          <w:fldChar w:fldCharType="begin"/>
        </w:r>
        <w:r>
          <w:rPr>
            <w:webHidden/>
          </w:rPr>
          <w:instrText xml:space="preserve"> PAGEREF _Toc189845034 \h </w:instrText>
        </w:r>
        <w:r>
          <w:rPr>
            <w:webHidden/>
          </w:rPr>
        </w:r>
        <w:r>
          <w:rPr>
            <w:webHidden/>
          </w:rPr>
          <w:fldChar w:fldCharType="separate"/>
        </w:r>
        <w:r>
          <w:rPr>
            <w:webHidden/>
          </w:rPr>
          <w:t>43</w:t>
        </w:r>
        <w:r>
          <w:rPr>
            <w:webHidden/>
          </w:rPr>
          <w:fldChar w:fldCharType="end"/>
        </w:r>
      </w:hyperlink>
    </w:p>
    <w:p w14:paraId="5F753465" w14:textId="4BFFDE31"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5" w:history="1">
        <w:r w:rsidRPr="00B8145E">
          <w:rPr>
            <w:rStyle w:val="Hyperlink"/>
          </w:rPr>
          <w:t>5.1.3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Signalling and quality reporting for Part B</w:t>
        </w:r>
        <w:r>
          <w:rPr>
            <w:webHidden/>
          </w:rPr>
          <w:tab/>
        </w:r>
        <w:r>
          <w:rPr>
            <w:webHidden/>
          </w:rPr>
          <w:fldChar w:fldCharType="begin"/>
        </w:r>
        <w:r>
          <w:rPr>
            <w:webHidden/>
          </w:rPr>
          <w:instrText xml:space="preserve"> PAGEREF _Toc189845035 \h </w:instrText>
        </w:r>
        <w:r>
          <w:rPr>
            <w:webHidden/>
          </w:rPr>
        </w:r>
        <w:r>
          <w:rPr>
            <w:webHidden/>
          </w:rPr>
          <w:fldChar w:fldCharType="separate"/>
        </w:r>
        <w:r>
          <w:rPr>
            <w:webHidden/>
          </w:rPr>
          <w:t>44</w:t>
        </w:r>
        <w:r>
          <w:rPr>
            <w:webHidden/>
          </w:rPr>
          <w:fldChar w:fldCharType="end"/>
        </w:r>
      </w:hyperlink>
    </w:p>
    <w:p w14:paraId="2E68009A" w14:textId="0A2F217E"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6" w:history="1">
        <w:r w:rsidRPr="00B8145E">
          <w:rPr>
            <w:rStyle w:val="Hyperlink"/>
          </w:rPr>
          <w:t>5.1.4</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Pairing of Part A and Part B in data collection</w:t>
        </w:r>
        <w:r>
          <w:rPr>
            <w:webHidden/>
          </w:rPr>
          <w:tab/>
        </w:r>
        <w:r>
          <w:rPr>
            <w:webHidden/>
          </w:rPr>
          <w:fldChar w:fldCharType="begin"/>
        </w:r>
        <w:r>
          <w:rPr>
            <w:webHidden/>
          </w:rPr>
          <w:instrText xml:space="preserve"> PAGEREF _Toc189845036 \h </w:instrText>
        </w:r>
        <w:r>
          <w:rPr>
            <w:webHidden/>
          </w:rPr>
        </w:r>
        <w:r>
          <w:rPr>
            <w:webHidden/>
          </w:rPr>
          <w:fldChar w:fldCharType="separate"/>
        </w:r>
        <w:r>
          <w:rPr>
            <w:webHidden/>
          </w:rPr>
          <w:t>49</w:t>
        </w:r>
        <w:r>
          <w:rPr>
            <w:webHidden/>
          </w:rPr>
          <w:fldChar w:fldCharType="end"/>
        </w:r>
      </w:hyperlink>
    </w:p>
    <w:p w14:paraId="66EBDBB9" w14:textId="2415B04B"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37" w:history="1">
        <w:r w:rsidRPr="00B8145E">
          <w:rPr>
            <w:rStyle w:val="Hyperlink"/>
            <w:lang w:val="en-US"/>
          </w:rPr>
          <w:t>5.2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Metadata for training dataset</w:t>
        </w:r>
        <w:r>
          <w:rPr>
            <w:webHidden/>
          </w:rPr>
          <w:tab/>
        </w:r>
        <w:r>
          <w:rPr>
            <w:webHidden/>
          </w:rPr>
          <w:fldChar w:fldCharType="begin"/>
        </w:r>
        <w:r>
          <w:rPr>
            <w:webHidden/>
          </w:rPr>
          <w:instrText xml:space="preserve"> PAGEREF _Toc189845037 \h </w:instrText>
        </w:r>
        <w:r>
          <w:rPr>
            <w:webHidden/>
          </w:rPr>
        </w:r>
        <w:r>
          <w:rPr>
            <w:webHidden/>
          </w:rPr>
          <w:fldChar w:fldCharType="separate"/>
        </w:r>
        <w:r>
          <w:rPr>
            <w:webHidden/>
          </w:rPr>
          <w:t>50</w:t>
        </w:r>
        <w:r>
          <w:rPr>
            <w:webHidden/>
          </w:rPr>
          <w:fldChar w:fldCharType="end"/>
        </w:r>
      </w:hyperlink>
    </w:p>
    <w:p w14:paraId="015948DD" w14:textId="64675217"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8" w:history="1">
        <w:r w:rsidRPr="00B8145E">
          <w:rPr>
            <w:rStyle w:val="Hyperlink"/>
          </w:rPr>
          <w:t>5.2.1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Elements in metadata of the training dataset</w:t>
        </w:r>
        <w:r>
          <w:rPr>
            <w:webHidden/>
          </w:rPr>
          <w:tab/>
        </w:r>
        <w:r>
          <w:rPr>
            <w:webHidden/>
          </w:rPr>
          <w:fldChar w:fldCharType="begin"/>
        </w:r>
        <w:r>
          <w:rPr>
            <w:webHidden/>
          </w:rPr>
          <w:instrText xml:space="preserve"> PAGEREF _Toc189845038 \h </w:instrText>
        </w:r>
        <w:r>
          <w:rPr>
            <w:webHidden/>
          </w:rPr>
        </w:r>
        <w:r>
          <w:rPr>
            <w:webHidden/>
          </w:rPr>
          <w:fldChar w:fldCharType="separate"/>
        </w:r>
        <w:r>
          <w:rPr>
            <w:webHidden/>
          </w:rPr>
          <w:t>50</w:t>
        </w:r>
        <w:r>
          <w:rPr>
            <w:webHidden/>
          </w:rPr>
          <w:fldChar w:fldCharType="end"/>
        </w:r>
      </w:hyperlink>
    </w:p>
    <w:p w14:paraId="594CF50A" w14:textId="7B5070E4"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39" w:history="1">
        <w:r w:rsidRPr="00B8145E">
          <w:rPr>
            <w:rStyle w:val="Hyperlink"/>
          </w:rPr>
          <w:t>5.2.2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Assistance data for consistency between training and inference</w:t>
        </w:r>
        <w:r>
          <w:rPr>
            <w:webHidden/>
          </w:rPr>
          <w:tab/>
        </w:r>
        <w:r>
          <w:rPr>
            <w:webHidden/>
          </w:rPr>
          <w:fldChar w:fldCharType="begin"/>
        </w:r>
        <w:r>
          <w:rPr>
            <w:webHidden/>
          </w:rPr>
          <w:instrText xml:space="preserve"> PAGEREF _Toc189845039 \h </w:instrText>
        </w:r>
        <w:r>
          <w:rPr>
            <w:webHidden/>
          </w:rPr>
        </w:r>
        <w:r>
          <w:rPr>
            <w:webHidden/>
          </w:rPr>
          <w:fldChar w:fldCharType="separate"/>
        </w:r>
        <w:r>
          <w:rPr>
            <w:webHidden/>
          </w:rPr>
          <w:t>53</w:t>
        </w:r>
        <w:r>
          <w:rPr>
            <w:webHidden/>
          </w:rPr>
          <w:fldChar w:fldCharType="end"/>
        </w:r>
      </w:hyperlink>
    </w:p>
    <w:p w14:paraId="786167A8" w14:textId="498E684D"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40" w:history="1">
        <w:r w:rsidRPr="00B8145E">
          <w:rPr>
            <w:rStyle w:val="Hyperlink"/>
            <w:lang w:val="en-US"/>
          </w:rPr>
          <w:t>6</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LCM and Model performance monitoring</w:t>
        </w:r>
        <w:r>
          <w:rPr>
            <w:webHidden/>
          </w:rPr>
          <w:tab/>
        </w:r>
        <w:r>
          <w:rPr>
            <w:webHidden/>
          </w:rPr>
          <w:fldChar w:fldCharType="begin"/>
        </w:r>
        <w:r>
          <w:rPr>
            <w:webHidden/>
          </w:rPr>
          <w:instrText xml:space="preserve"> PAGEREF _Toc189845040 \h </w:instrText>
        </w:r>
        <w:r>
          <w:rPr>
            <w:webHidden/>
          </w:rPr>
        </w:r>
        <w:r>
          <w:rPr>
            <w:webHidden/>
          </w:rPr>
          <w:fldChar w:fldCharType="separate"/>
        </w:r>
        <w:r>
          <w:rPr>
            <w:webHidden/>
          </w:rPr>
          <w:t>56</w:t>
        </w:r>
        <w:r>
          <w:rPr>
            <w:webHidden/>
          </w:rPr>
          <w:fldChar w:fldCharType="end"/>
        </w:r>
      </w:hyperlink>
    </w:p>
    <w:p w14:paraId="4BD29A55" w14:textId="0AD780D9"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41" w:history="1">
        <w:r w:rsidRPr="00B8145E">
          <w:rPr>
            <w:rStyle w:val="Hyperlink"/>
            <w:lang w:val="en-US"/>
          </w:rPr>
          <w:t>6.1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Model-level and functionality-level</w:t>
        </w:r>
        <w:r w:rsidRPr="00B8145E">
          <w:rPr>
            <w:rStyle w:val="Hyperlink"/>
            <w:lang w:val="en-US"/>
          </w:rPr>
          <w:t xml:space="preserve"> monitoring</w:t>
        </w:r>
        <w:r>
          <w:rPr>
            <w:webHidden/>
          </w:rPr>
          <w:tab/>
        </w:r>
        <w:r>
          <w:rPr>
            <w:webHidden/>
          </w:rPr>
          <w:fldChar w:fldCharType="begin"/>
        </w:r>
        <w:r>
          <w:rPr>
            <w:webHidden/>
          </w:rPr>
          <w:instrText xml:space="preserve"> PAGEREF _Toc189845041 \h </w:instrText>
        </w:r>
        <w:r>
          <w:rPr>
            <w:webHidden/>
          </w:rPr>
        </w:r>
        <w:r>
          <w:rPr>
            <w:webHidden/>
          </w:rPr>
          <w:fldChar w:fldCharType="separate"/>
        </w:r>
        <w:r>
          <w:rPr>
            <w:webHidden/>
          </w:rPr>
          <w:t>56</w:t>
        </w:r>
        <w:r>
          <w:rPr>
            <w:webHidden/>
          </w:rPr>
          <w:fldChar w:fldCharType="end"/>
        </w:r>
      </w:hyperlink>
    </w:p>
    <w:p w14:paraId="697783EC" w14:textId="56306D24"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42" w:history="1">
        <w:r w:rsidRPr="00B8145E">
          <w:rPr>
            <w:rStyle w:val="Hyperlink"/>
          </w:rPr>
          <w:t>6.2</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Self-monitoring: Label-free or label-based</w:t>
        </w:r>
        <w:r>
          <w:rPr>
            <w:webHidden/>
          </w:rPr>
          <w:tab/>
        </w:r>
        <w:r>
          <w:rPr>
            <w:webHidden/>
          </w:rPr>
          <w:fldChar w:fldCharType="begin"/>
        </w:r>
        <w:r>
          <w:rPr>
            <w:webHidden/>
          </w:rPr>
          <w:instrText xml:space="preserve"> PAGEREF _Toc189845042 \h </w:instrText>
        </w:r>
        <w:r>
          <w:rPr>
            <w:webHidden/>
          </w:rPr>
        </w:r>
        <w:r>
          <w:rPr>
            <w:webHidden/>
          </w:rPr>
          <w:fldChar w:fldCharType="separate"/>
        </w:r>
        <w:r>
          <w:rPr>
            <w:webHidden/>
          </w:rPr>
          <w:t>60</w:t>
        </w:r>
        <w:r>
          <w:rPr>
            <w:webHidden/>
          </w:rPr>
          <w:fldChar w:fldCharType="end"/>
        </w:r>
      </w:hyperlink>
    </w:p>
    <w:p w14:paraId="290CD4CB" w14:textId="653DE282"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43" w:history="1">
        <w:r w:rsidRPr="00B8145E">
          <w:rPr>
            <w:rStyle w:val="Hyperlink"/>
          </w:rPr>
          <w:t>6.3</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Model performance monitoring metric calculation for Case 1</w:t>
        </w:r>
        <w:r>
          <w:rPr>
            <w:webHidden/>
          </w:rPr>
          <w:tab/>
        </w:r>
        <w:r>
          <w:rPr>
            <w:webHidden/>
          </w:rPr>
          <w:fldChar w:fldCharType="begin"/>
        </w:r>
        <w:r>
          <w:rPr>
            <w:webHidden/>
          </w:rPr>
          <w:instrText xml:space="preserve"> PAGEREF _Toc189845043 \h </w:instrText>
        </w:r>
        <w:r>
          <w:rPr>
            <w:webHidden/>
          </w:rPr>
        </w:r>
        <w:r>
          <w:rPr>
            <w:webHidden/>
          </w:rPr>
          <w:fldChar w:fldCharType="separate"/>
        </w:r>
        <w:r>
          <w:rPr>
            <w:webHidden/>
          </w:rPr>
          <w:t>63</w:t>
        </w:r>
        <w:r>
          <w:rPr>
            <w:webHidden/>
          </w:rPr>
          <w:fldChar w:fldCharType="end"/>
        </w:r>
      </w:hyperlink>
    </w:p>
    <w:p w14:paraId="6C4C4456" w14:textId="69AB84D0"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44" w:history="1">
        <w:r w:rsidRPr="00B8145E">
          <w:rPr>
            <w:rStyle w:val="Hyperlink"/>
            <w:lang w:val="en-US"/>
          </w:rPr>
          <w:t>7</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Model inference</w:t>
        </w:r>
        <w:r>
          <w:rPr>
            <w:webHidden/>
          </w:rPr>
          <w:tab/>
        </w:r>
        <w:r>
          <w:rPr>
            <w:webHidden/>
          </w:rPr>
          <w:fldChar w:fldCharType="begin"/>
        </w:r>
        <w:r>
          <w:rPr>
            <w:webHidden/>
          </w:rPr>
          <w:instrText xml:space="preserve"> PAGEREF _Toc189845044 \h </w:instrText>
        </w:r>
        <w:r>
          <w:rPr>
            <w:webHidden/>
          </w:rPr>
        </w:r>
        <w:r>
          <w:rPr>
            <w:webHidden/>
          </w:rPr>
          <w:fldChar w:fldCharType="separate"/>
        </w:r>
        <w:r>
          <w:rPr>
            <w:webHidden/>
          </w:rPr>
          <w:t>65</w:t>
        </w:r>
        <w:r>
          <w:rPr>
            <w:webHidden/>
          </w:rPr>
          <w:fldChar w:fldCharType="end"/>
        </w:r>
      </w:hyperlink>
    </w:p>
    <w:p w14:paraId="44E69A38" w14:textId="3692059A"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45" w:history="1">
        <w:r w:rsidRPr="00B8145E">
          <w:rPr>
            <w:rStyle w:val="Hyperlink"/>
            <w:lang w:val="en-US"/>
          </w:rPr>
          <w:t>7.1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Signaling to support model inference</w:t>
        </w:r>
        <w:r>
          <w:rPr>
            <w:webHidden/>
          </w:rPr>
          <w:tab/>
        </w:r>
        <w:r>
          <w:rPr>
            <w:webHidden/>
          </w:rPr>
          <w:fldChar w:fldCharType="begin"/>
        </w:r>
        <w:r>
          <w:rPr>
            <w:webHidden/>
          </w:rPr>
          <w:instrText xml:space="preserve"> PAGEREF _Toc189845045 \h </w:instrText>
        </w:r>
        <w:r>
          <w:rPr>
            <w:webHidden/>
          </w:rPr>
        </w:r>
        <w:r>
          <w:rPr>
            <w:webHidden/>
          </w:rPr>
          <w:fldChar w:fldCharType="separate"/>
        </w:r>
        <w:r>
          <w:rPr>
            <w:webHidden/>
          </w:rPr>
          <w:t>65</w:t>
        </w:r>
        <w:r>
          <w:rPr>
            <w:webHidden/>
          </w:rPr>
          <w:fldChar w:fldCharType="end"/>
        </w:r>
      </w:hyperlink>
    </w:p>
    <w:p w14:paraId="5DB71D4D" w14:textId="128753DB"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46" w:history="1">
        <w:r w:rsidRPr="00B8145E">
          <w:rPr>
            <w:rStyle w:val="Hyperlink"/>
          </w:rPr>
          <w:t>7.2</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aspects in general</w:t>
        </w:r>
        <w:r>
          <w:rPr>
            <w:webHidden/>
          </w:rPr>
          <w:tab/>
        </w:r>
        <w:r>
          <w:rPr>
            <w:webHidden/>
          </w:rPr>
          <w:fldChar w:fldCharType="begin"/>
        </w:r>
        <w:r>
          <w:rPr>
            <w:webHidden/>
          </w:rPr>
          <w:instrText xml:space="preserve"> PAGEREF _Toc189845046 \h </w:instrText>
        </w:r>
        <w:r>
          <w:rPr>
            <w:webHidden/>
          </w:rPr>
        </w:r>
        <w:r>
          <w:rPr>
            <w:webHidden/>
          </w:rPr>
          <w:fldChar w:fldCharType="separate"/>
        </w:r>
        <w:r>
          <w:rPr>
            <w:webHidden/>
          </w:rPr>
          <w:t>66</w:t>
        </w:r>
        <w:r>
          <w:rPr>
            <w:webHidden/>
          </w:rPr>
          <w:fldChar w:fldCharType="end"/>
        </w:r>
      </w:hyperlink>
    </w:p>
    <w:p w14:paraId="54EBED56" w14:textId="18E76EEA"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47" w:history="1">
        <w:r w:rsidRPr="00B8145E">
          <w:rPr>
            <w:rStyle w:val="Hyperlink"/>
          </w:rPr>
          <w:t>7.2.1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of validity area</w:t>
        </w:r>
        <w:r>
          <w:rPr>
            <w:webHidden/>
          </w:rPr>
          <w:tab/>
        </w:r>
        <w:r>
          <w:rPr>
            <w:webHidden/>
          </w:rPr>
          <w:fldChar w:fldCharType="begin"/>
        </w:r>
        <w:r>
          <w:rPr>
            <w:webHidden/>
          </w:rPr>
          <w:instrText xml:space="preserve"> PAGEREF _Toc189845047 \h </w:instrText>
        </w:r>
        <w:r>
          <w:rPr>
            <w:webHidden/>
          </w:rPr>
        </w:r>
        <w:r>
          <w:rPr>
            <w:webHidden/>
          </w:rPr>
          <w:fldChar w:fldCharType="separate"/>
        </w:r>
        <w:r>
          <w:rPr>
            <w:webHidden/>
          </w:rPr>
          <w:t>67</w:t>
        </w:r>
        <w:r>
          <w:rPr>
            <w:webHidden/>
          </w:rPr>
          <w:fldChar w:fldCharType="end"/>
        </w:r>
      </w:hyperlink>
    </w:p>
    <w:p w14:paraId="79FCD853" w14:textId="1FD097EC"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48" w:history="1">
        <w:r w:rsidRPr="00B8145E">
          <w:rPr>
            <w:rStyle w:val="Hyperlink"/>
          </w:rPr>
          <w:t>7.2.2</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of RS configuration between model inference and model training</w:t>
        </w:r>
        <w:r>
          <w:rPr>
            <w:webHidden/>
          </w:rPr>
          <w:tab/>
        </w:r>
        <w:r>
          <w:rPr>
            <w:webHidden/>
          </w:rPr>
          <w:fldChar w:fldCharType="begin"/>
        </w:r>
        <w:r>
          <w:rPr>
            <w:webHidden/>
          </w:rPr>
          <w:instrText xml:space="preserve"> PAGEREF _Toc189845048 \h </w:instrText>
        </w:r>
        <w:r>
          <w:rPr>
            <w:webHidden/>
          </w:rPr>
        </w:r>
        <w:r>
          <w:rPr>
            <w:webHidden/>
          </w:rPr>
          <w:fldChar w:fldCharType="separate"/>
        </w:r>
        <w:r>
          <w:rPr>
            <w:webHidden/>
          </w:rPr>
          <w:t>69</w:t>
        </w:r>
        <w:r>
          <w:rPr>
            <w:webHidden/>
          </w:rPr>
          <w:fldChar w:fldCharType="end"/>
        </w:r>
      </w:hyperlink>
    </w:p>
    <w:p w14:paraId="7403F16B" w14:textId="54F14CCF"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49" w:history="1">
        <w:r w:rsidRPr="00B8145E">
          <w:rPr>
            <w:rStyle w:val="Hyperlink"/>
          </w:rPr>
          <w:t>7.2.3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of network-side additional conditions between model inference and model training</w:t>
        </w:r>
        <w:r>
          <w:rPr>
            <w:webHidden/>
          </w:rPr>
          <w:tab/>
        </w:r>
        <w:r>
          <w:rPr>
            <w:webHidden/>
          </w:rPr>
          <w:fldChar w:fldCharType="begin"/>
        </w:r>
        <w:r>
          <w:rPr>
            <w:webHidden/>
          </w:rPr>
          <w:instrText xml:space="preserve"> PAGEREF _Toc189845049 \h </w:instrText>
        </w:r>
        <w:r>
          <w:rPr>
            <w:webHidden/>
          </w:rPr>
        </w:r>
        <w:r>
          <w:rPr>
            <w:webHidden/>
          </w:rPr>
          <w:fldChar w:fldCharType="separate"/>
        </w:r>
        <w:r>
          <w:rPr>
            <w:webHidden/>
          </w:rPr>
          <w:t>70</w:t>
        </w:r>
        <w:r>
          <w:rPr>
            <w:webHidden/>
          </w:rPr>
          <w:fldChar w:fldCharType="end"/>
        </w:r>
      </w:hyperlink>
    </w:p>
    <w:p w14:paraId="56518D15" w14:textId="692E6340"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50" w:history="1">
        <w:r w:rsidRPr="00B8145E">
          <w:rPr>
            <w:rStyle w:val="Hyperlink"/>
          </w:rPr>
          <w:t>7.2.4</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of measurements reported between model inference and model training</w:t>
        </w:r>
        <w:r>
          <w:rPr>
            <w:webHidden/>
          </w:rPr>
          <w:tab/>
        </w:r>
        <w:r>
          <w:rPr>
            <w:webHidden/>
          </w:rPr>
          <w:fldChar w:fldCharType="begin"/>
        </w:r>
        <w:r>
          <w:rPr>
            <w:webHidden/>
          </w:rPr>
          <w:instrText xml:space="preserve"> PAGEREF _Toc189845050 \h </w:instrText>
        </w:r>
        <w:r>
          <w:rPr>
            <w:webHidden/>
          </w:rPr>
        </w:r>
        <w:r>
          <w:rPr>
            <w:webHidden/>
          </w:rPr>
          <w:fldChar w:fldCharType="separate"/>
        </w:r>
        <w:r>
          <w:rPr>
            <w:webHidden/>
          </w:rPr>
          <w:t>72</w:t>
        </w:r>
        <w:r>
          <w:rPr>
            <w:webHidden/>
          </w:rPr>
          <w:fldChar w:fldCharType="end"/>
        </w:r>
      </w:hyperlink>
    </w:p>
    <w:p w14:paraId="119E382C" w14:textId="3384D47A" w:rsidR="00C713E4" w:rsidRDefault="00C713E4">
      <w:pPr>
        <w:pStyle w:val="TOC2"/>
        <w:rPr>
          <w:rFonts w:asciiTheme="minorHAnsi" w:eastAsiaTheme="minorEastAsia" w:hAnsiTheme="minorHAnsi" w:cstheme="minorBidi"/>
          <w:kern w:val="2"/>
          <w:sz w:val="24"/>
          <w:szCs w:val="24"/>
          <w:lang w:val="en-US" w:eastAsia="en-US"/>
          <w14:ligatures w14:val="standardContextual"/>
        </w:rPr>
      </w:pPr>
      <w:hyperlink w:anchor="_Toc189845051" w:history="1">
        <w:r w:rsidRPr="00B8145E">
          <w:rPr>
            <w:rStyle w:val="Hyperlink"/>
          </w:rPr>
          <w:t>7.3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Consistency of network side conditions for Case 1</w:t>
        </w:r>
        <w:r>
          <w:rPr>
            <w:webHidden/>
          </w:rPr>
          <w:tab/>
        </w:r>
        <w:r>
          <w:rPr>
            <w:webHidden/>
          </w:rPr>
          <w:fldChar w:fldCharType="begin"/>
        </w:r>
        <w:r>
          <w:rPr>
            <w:webHidden/>
          </w:rPr>
          <w:instrText xml:space="preserve"> PAGEREF _Toc189845051 \h </w:instrText>
        </w:r>
        <w:r>
          <w:rPr>
            <w:webHidden/>
          </w:rPr>
        </w:r>
        <w:r>
          <w:rPr>
            <w:webHidden/>
          </w:rPr>
          <w:fldChar w:fldCharType="separate"/>
        </w:r>
        <w:r>
          <w:rPr>
            <w:webHidden/>
          </w:rPr>
          <w:t>72</w:t>
        </w:r>
        <w:r>
          <w:rPr>
            <w:webHidden/>
          </w:rPr>
          <w:fldChar w:fldCharType="end"/>
        </w:r>
      </w:hyperlink>
    </w:p>
    <w:p w14:paraId="7DDDA5C8" w14:textId="7E4B998E"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52" w:history="1">
        <w:r w:rsidRPr="00B8145E">
          <w:rPr>
            <w:rStyle w:val="Hyperlink"/>
            <w:lang w:val="en-US"/>
          </w:rPr>
          <w:t>8</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Conclusion</w:t>
        </w:r>
        <w:r>
          <w:rPr>
            <w:webHidden/>
          </w:rPr>
          <w:tab/>
        </w:r>
        <w:r>
          <w:rPr>
            <w:webHidden/>
          </w:rPr>
          <w:fldChar w:fldCharType="begin"/>
        </w:r>
        <w:r>
          <w:rPr>
            <w:webHidden/>
          </w:rPr>
          <w:instrText xml:space="preserve"> PAGEREF _Toc189845052 \h </w:instrText>
        </w:r>
        <w:r>
          <w:rPr>
            <w:webHidden/>
          </w:rPr>
        </w:r>
        <w:r>
          <w:rPr>
            <w:webHidden/>
          </w:rPr>
          <w:fldChar w:fldCharType="separate"/>
        </w:r>
        <w:r>
          <w:rPr>
            <w:webHidden/>
          </w:rPr>
          <w:t>74</w:t>
        </w:r>
        <w:r>
          <w:rPr>
            <w:webHidden/>
          </w:rPr>
          <w:fldChar w:fldCharType="end"/>
        </w:r>
      </w:hyperlink>
    </w:p>
    <w:p w14:paraId="3B2DD388" w14:textId="4F7193EE"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53" w:history="1">
        <w:r w:rsidRPr="00B8145E">
          <w:rPr>
            <w:rStyle w:val="Hyperlink"/>
            <w:lang w:val="en-US"/>
          </w:rPr>
          <w:t>9</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References</w:t>
        </w:r>
        <w:r>
          <w:rPr>
            <w:webHidden/>
          </w:rPr>
          <w:tab/>
        </w:r>
        <w:r>
          <w:rPr>
            <w:webHidden/>
          </w:rPr>
          <w:fldChar w:fldCharType="begin"/>
        </w:r>
        <w:r>
          <w:rPr>
            <w:webHidden/>
          </w:rPr>
          <w:instrText xml:space="preserve"> PAGEREF _Toc189845053 \h </w:instrText>
        </w:r>
        <w:r>
          <w:rPr>
            <w:webHidden/>
          </w:rPr>
        </w:r>
        <w:r>
          <w:rPr>
            <w:webHidden/>
          </w:rPr>
          <w:fldChar w:fldCharType="separate"/>
        </w:r>
        <w:r>
          <w:rPr>
            <w:webHidden/>
          </w:rPr>
          <w:t>85</w:t>
        </w:r>
        <w:r>
          <w:rPr>
            <w:webHidden/>
          </w:rPr>
          <w:fldChar w:fldCharType="end"/>
        </w:r>
      </w:hyperlink>
    </w:p>
    <w:p w14:paraId="6818D535" w14:textId="005EBC90"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54" w:history="1">
        <w:r w:rsidRPr="00B8145E">
          <w:rPr>
            <w:rStyle w:val="Hyperlink"/>
            <w:lang w:val="en-US"/>
          </w:rPr>
          <w:t>10</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Appendix A. High accuracy uncertainty and confidence as defined in TS 23.032</w:t>
        </w:r>
        <w:r>
          <w:rPr>
            <w:webHidden/>
          </w:rPr>
          <w:tab/>
        </w:r>
        <w:r>
          <w:rPr>
            <w:webHidden/>
          </w:rPr>
          <w:fldChar w:fldCharType="begin"/>
        </w:r>
        <w:r>
          <w:rPr>
            <w:webHidden/>
          </w:rPr>
          <w:instrText xml:space="preserve"> PAGEREF _Toc189845054 \h </w:instrText>
        </w:r>
        <w:r>
          <w:rPr>
            <w:webHidden/>
          </w:rPr>
        </w:r>
        <w:r>
          <w:rPr>
            <w:webHidden/>
          </w:rPr>
          <w:fldChar w:fldCharType="separate"/>
        </w:r>
        <w:r>
          <w:rPr>
            <w:webHidden/>
          </w:rPr>
          <w:t>85</w:t>
        </w:r>
        <w:r>
          <w:rPr>
            <w:webHidden/>
          </w:rPr>
          <w:fldChar w:fldCharType="end"/>
        </w:r>
      </w:hyperlink>
    </w:p>
    <w:p w14:paraId="1BB83310" w14:textId="48320DE6" w:rsidR="00C713E4" w:rsidRDefault="00C713E4">
      <w:pPr>
        <w:pStyle w:val="TOC1"/>
        <w:rPr>
          <w:rFonts w:asciiTheme="minorHAnsi" w:eastAsiaTheme="minorEastAsia" w:hAnsiTheme="minorHAnsi" w:cstheme="minorBidi"/>
          <w:kern w:val="2"/>
          <w:sz w:val="24"/>
          <w:szCs w:val="24"/>
          <w:lang w:val="en-US" w:eastAsia="en-US"/>
          <w14:ligatures w14:val="standardContextual"/>
        </w:rPr>
      </w:pPr>
      <w:hyperlink w:anchor="_Toc189845055" w:history="1">
        <w:r w:rsidRPr="00B8145E">
          <w:rPr>
            <w:rStyle w:val="Hyperlink"/>
          </w:rPr>
          <w:t>11</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 xml:space="preserve">Appendix B. </w:t>
        </w:r>
        <w:r w:rsidRPr="00B8145E">
          <w:rPr>
            <w:rStyle w:val="Hyperlink"/>
            <w:lang w:val="en-US"/>
          </w:rPr>
          <w:t>Model performance monitoring approaches</w:t>
        </w:r>
        <w:r>
          <w:rPr>
            <w:webHidden/>
          </w:rPr>
          <w:tab/>
        </w:r>
        <w:r>
          <w:rPr>
            <w:webHidden/>
          </w:rPr>
          <w:fldChar w:fldCharType="begin"/>
        </w:r>
        <w:r>
          <w:rPr>
            <w:webHidden/>
          </w:rPr>
          <w:instrText xml:space="preserve"> PAGEREF _Toc189845055 \h </w:instrText>
        </w:r>
        <w:r>
          <w:rPr>
            <w:webHidden/>
          </w:rPr>
        </w:r>
        <w:r>
          <w:rPr>
            <w:webHidden/>
          </w:rPr>
          <w:fldChar w:fldCharType="separate"/>
        </w:r>
        <w:r>
          <w:rPr>
            <w:webHidden/>
          </w:rPr>
          <w:t>87</w:t>
        </w:r>
        <w:r>
          <w:rPr>
            <w:webHidden/>
          </w:rPr>
          <w:fldChar w:fldCharType="end"/>
        </w:r>
      </w:hyperlink>
    </w:p>
    <w:p w14:paraId="048BBA5E" w14:textId="21DF6C5F"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56" w:history="1">
        <w:r w:rsidRPr="00B8145E">
          <w:rPr>
            <w:rStyle w:val="Hyperlink"/>
          </w:rPr>
          <w:t>11.1.1</w:t>
        </w:r>
        <w:r>
          <w:rPr>
            <w:rFonts w:asciiTheme="minorHAnsi" w:eastAsiaTheme="minorEastAsia" w:hAnsiTheme="minorHAnsi" w:cstheme="minorBidi"/>
            <w:kern w:val="2"/>
            <w:sz w:val="24"/>
            <w:szCs w:val="24"/>
            <w:lang w:val="en-US" w:eastAsia="en-US"/>
            <w14:ligatures w14:val="standardContextual"/>
          </w:rPr>
          <w:tab/>
        </w:r>
        <w:r w:rsidRPr="00B8145E">
          <w:rPr>
            <w:rStyle w:val="Hyperlink"/>
            <w:lang w:val="en-US"/>
          </w:rPr>
          <w:t>Monitoring approach 1 (Label-based): Opportunistic LoS links</w:t>
        </w:r>
        <w:r>
          <w:rPr>
            <w:webHidden/>
          </w:rPr>
          <w:tab/>
        </w:r>
        <w:r>
          <w:rPr>
            <w:webHidden/>
          </w:rPr>
          <w:fldChar w:fldCharType="begin"/>
        </w:r>
        <w:r>
          <w:rPr>
            <w:webHidden/>
          </w:rPr>
          <w:instrText xml:space="preserve"> PAGEREF _Toc189845056 \h </w:instrText>
        </w:r>
        <w:r>
          <w:rPr>
            <w:webHidden/>
          </w:rPr>
        </w:r>
        <w:r>
          <w:rPr>
            <w:webHidden/>
          </w:rPr>
          <w:fldChar w:fldCharType="separate"/>
        </w:r>
        <w:r>
          <w:rPr>
            <w:webHidden/>
          </w:rPr>
          <w:t>88</w:t>
        </w:r>
        <w:r>
          <w:rPr>
            <w:webHidden/>
          </w:rPr>
          <w:fldChar w:fldCharType="end"/>
        </w:r>
      </w:hyperlink>
    </w:p>
    <w:p w14:paraId="7F795B8C" w14:textId="5CBEB46A"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57" w:history="1">
        <w:r w:rsidRPr="00B8145E">
          <w:rPr>
            <w:rStyle w:val="Hyperlink"/>
          </w:rPr>
          <w:t>11.1.2</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 xml:space="preserve">Monitoring approach 2 </w:t>
        </w:r>
        <w:r w:rsidRPr="00B8145E">
          <w:rPr>
            <w:rStyle w:val="Hyperlink"/>
            <w:lang w:val="en-US"/>
          </w:rPr>
          <w:t>(Label-based)</w:t>
        </w:r>
        <w:r w:rsidRPr="00B8145E">
          <w:rPr>
            <w:rStyle w:val="Hyperlink"/>
          </w:rPr>
          <w:t xml:space="preserve"> for assisted AI/ML positioning</w:t>
        </w:r>
        <w:r>
          <w:rPr>
            <w:webHidden/>
          </w:rPr>
          <w:tab/>
        </w:r>
        <w:r>
          <w:rPr>
            <w:webHidden/>
          </w:rPr>
          <w:fldChar w:fldCharType="begin"/>
        </w:r>
        <w:r>
          <w:rPr>
            <w:webHidden/>
          </w:rPr>
          <w:instrText xml:space="preserve"> PAGEREF _Toc189845057 \h </w:instrText>
        </w:r>
        <w:r>
          <w:rPr>
            <w:webHidden/>
          </w:rPr>
        </w:r>
        <w:r>
          <w:rPr>
            <w:webHidden/>
          </w:rPr>
          <w:fldChar w:fldCharType="separate"/>
        </w:r>
        <w:r>
          <w:rPr>
            <w:webHidden/>
          </w:rPr>
          <w:t>92</w:t>
        </w:r>
        <w:r>
          <w:rPr>
            <w:webHidden/>
          </w:rPr>
          <w:fldChar w:fldCharType="end"/>
        </w:r>
      </w:hyperlink>
    </w:p>
    <w:p w14:paraId="6DB9FAEC" w14:textId="2029EB2C" w:rsidR="00C713E4" w:rsidRDefault="00C713E4">
      <w:pPr>
        <w:pStyle w:val="TOC3"/>
        <w:rPr>
          <w:rFonts w:asciiTheme="minorHAnsi" w:eastAsiaTheme="minorEastAsia" w:hAnsiTheme="minorHAnsi" w:cstheme="minorBidi"/>
          <w:kern w:val="2"/>
          <w:sz w:val="24"/>
          <w:szCs w:val="24"/>
          <w:lang w:val="en-US" w:eastAsia="en-US"/>
          <w14:ligatures w14:val="standardContextual"/>
        </w:rPr>
      </w:pPr>
      <w:hyperlink w:anchor="_Toc189845058" w:history="1">
        <w:r w:rsidRPr="00B8145E">
          <w:rPr>
            <w:rStyle w:val="Hyperlink"/>
          </w:rPr>
          <w:t>11.1.3</w:t>
        </w:r>
        <w:r>
          <w:rPr>
            <w:rFonts w:asciiTheme="minorHAnsi" w:eastAsiaTheme="minorEastAsia" w:hAnsiTheme="minorHAnsi" w:cstheme="minorBidi"/>
            <w:kern w:val="2"/>
            <w:sz w:val="24"/>
            <w:szCs w:val="24"/>
            <w:lang w:val="en-US" w:eastAsia="en-US"/>
            <w14:ligatures w14:val="standardContextual"/>
          </w:rPr>
          <w:tab/>
        </w:r>
        <w:r w:rsidRPr="00B8145E">
          <w:rPr>
            <w:rStyle w:val="Hyperlink"/>
          </w:rPr>
          <w:t xml:space="preserve">Monitoring approach 3 </w:t>
        </w:r>
        <w:r w:rsidRPr="00B8145E">
          <w:rPr>
            <w:rStyle w:val="Hyperlink"/>
            <w:lang w:val="en-US"/>
          </w:rPr>
          <w:t>(Label-free)</w:t>
        </w:r>
        <w:r w:rsidRPr="00B8145E">
          <w:rPr>
            <w:rStyle w:val="Hyperlink"/>
          </w:rPr>
          <w:t>: ML model self-monitoring</w:t>
        </w:r>
        <w:r>
          <w:rPr>
            <w:webHidden/>
          </w:rPr>
          <w:tab/>
        </w:r>
        <w:r>
          <w:rPr>
            <w:webHidden/>
          </w:rPr>
          <w:fldChar w:fldCharType="begin"/>
        </w:r>
        <w:r>
          <w:rPr>
            <w:webHidden/>
          </w:rPr>
          <w:instrText xml:space="preserve"> PAGEREF _Toc189845058 \h </w:instrText>
        </w:r>
        <w:r>
          <w:rPr>
            <w:webHidden/>
          </w:rPr>
        </w:r>
        <w:r>
          <w:rPr>
            <w:webHidden/>
          </w:rPr>
          <w:fldChar w:fldCharType="separate"/>
        </w:r>
        <w:r>
          <w:rPr>
            <w:webHidden/>
          </w:rPr>
          <w:t>94</w:t>
        </w:r>
        <w:r>
          <w:rPr>
            <w:webHidden/>
          </w:rPr>
          <w:fldChar w:fldCharType="end"/>
        </w:r>
      </w:hyperlink>
    </w:p>
    <w:p w14:paraId="658E08B7" w14:textId="12DC33B0" w:rsidR="000D3B37" w:rsidRPr="00CE0424" w:rsidRDefault="007F0535" w:rsidP="00EE0974">
      <w:pPr>
        <w:pStyle w:val="3GPPHeader"/>
      </w:pPr>
      <w:r>
        <w:fldChar w:fldCharType="end"/>
      </w:r>
    </w:p>
    <w:p w14:paraId="203458E0" w14:textId="60206F55" w:rsidR="00E90E49" w:rsidRPr="00E215F0" w:rsidRDefault="00E90E49" w:rsidP="002550D1">
      <w:pPr>
        <w:pStyle w:val="Heading1"/>
        <w:rPr>
          <w:lang w:val="en-US"/>
        </w:rPr>
      </w:pPr>
      <w:bookmarkStart w:id="0" w:name="_Toc165990973"/>
      <w:bookmarkStart w:id="1" w:name="_Toc189845005"/>
      <w:r w:rsidRPr="00E215F0">
        <w:rPr>
          <w:lang w:val="en-US"/>
        </w:rPr>
        <w:t>Introduction</w:t>
      </w:r>
      <w:bookmarkEnd w:id="0"/>
      <w:bookmarkEnd w:id="1"/>
    </w:p>
    <w:p w14:paraId="4E266DD4" w14:textId="5A293A51" w:rsidR="00024894" w:rsidRDefault="00024894" w:rsidP="00863FE5">
      <w:r>
        <w:t>In RAN#</w:t>
      </w:r>
      <w:r w:rsidR="00595496">
        <w:t xml:space="preserve">106 </w:t>
      </w:r>
      <w:r>
        <w:t xml:space="preserve">meeting, </w:t>
      </w:r>
      <w:r w:rsidR="005A6F68">
        <w:t>the</w:t>
      </w:r>
      <w:r>
        <w:t xml:space="preserve"> WID </w:t>
      </w:r>
      <w:r w:rsidR="005A6F68">
        <w:t>wa</w:t>
      </w:r>
      <w:r>
        <w:t xml:space="preserve">s </w:t>
      </w:r>
      <w:r w:rsidR="005A6F68">
        <w:t>revised</w:t>
      </w:r>
      <w:r>
        <w:t xml:space="preserve"> for </w:t>
      </w:r>
      <w:r w:rsidRPr="0006010D">
        <w:t xml:space="preserve">Artificial Intelligence (AI)/Machine Learning (ML) for NR </w:t>
      </w:r>
      <w:r>
        <w:t>a</w:t>
      </w:r>
      <w:r w:rsidRPr="0006010D">
        <w:t xml:space="preserve">ir </w:t>
      </w:r>
      <w:r>
        <w:t>i</w:t>
      </w:r>
      <w:r w:rsidRPr="0006010D">
        <w:t>nterface</w:t>
      </w:r>
      <w:r w:rsidR="00E91034">
        <w:t xml:space="preserve"> </w:t>
      </w:r>
      <w:r w:rsidR="00E70DE4">
        <w:fldChar w:fldCharType="begin"/>
      </w:r>
      <w:r w:rsidR="00E70DE4">
        <w:instrText xml:space="preserve"> REF _Ref155559231 \r </w:instrText>
      </w:r>
      <w:r w:rsidR="00E70DE4">
        <w:fldChar w:fldCharType="separate"/>
      </w:r>
      <w:r w:rsidR="00C713E4">
        <w:t>[5]</w:t>
      </w:r>
      <w:r w:rsidR="00E70DE4">
        <w:fldChar w:fldCharType="end"/>
      </w:r>
      <w:r>
        <w:t>.</w:t>
      </w:r>
    </w:p>
    <w:p w14:paraId="5325414E" w14:textId="14D5E72E" w:rsidR="00681679" w:rsidRDefault="00681679" w:rsidP="00024894">
      <w:pPr>
        <w:pStyle w:val="BodyText"/>
      </w:pPr>
      <w:r>
        <w:t>The objective of the normative work is copied below</w:t>
      </w:r>
      <w:r w:rsidR="00832441">
        <w:t>. In this contribution, we focus on the normative</w:t>
      </w:r>
      <w:r w:rsidR="000E2835">
        <w:t xml:space="preserve"> work</w:t>
      </w:r>
      <w:r w:rsidR="00832441">
        <w:t xml:space="preserve"> for the use case of p</w:t>
      </w:r>
      <w:r w:rsidR="00832441" w:rsidRPr="00832441">
        <w:t>ositioning accuracy enhancements</w:t>
      </w:r>
      <w:r w:rsidR="00832441">
        <w:t>.</w:t>
      </w:r>
    </w:p>
    <w:tbl>
      <w:tblPr>
        <w:tblStyle w:val="TableGrid"/>
        <w:tblW w:w="0" w:type="auto"/>
        <w:tblLook w:val="04A0" w:firstRow="1" w:lastRow="0" w:firstColumn="1" w:lastColumn="0" w:noHBand="0" w:noVBand="1"/>
      </w:tblPr>
      <w:tblGrid>
        <w:gridCol w:w="9629"/>
      </w:tblGrid>
      <w:tr w:rsidR="00024894" w:rsidRPr="00E373A5" w14:paraId="4AC401F0" w14:textId="77777777" w:rsidTr="00747F70">
        <w:tc>
          <w:tcPr>
            <w:tcW w:w="9629" w:type="dxa"/>
          </w:tcPr>
          <w:p w14:paraId="33502C64" w14:textId="77777777" w:rsidR="00024894" w:rsidRPr="00E373A5" w:rsidRDefault="00024894" w:rsidP="00E373A5">
            <w:pPr>
              <w:spacing w:after="0"/>
              <w:rPr>
                <w:color w:val="0070C0"/>
                <w:sz w:val="20"/>
                <w:szCs w:val="20"/>
                <w:lang w:eastAsia="en-GB"/>
              </w:rPr>
            </w:pPr>
            <w:r w:rsidRPr="00E373A5">
              <w:rPr>
                <w:color w:val="0070C0"/>
                <w:sz w:val="20"/>
                <w:szCs w:val="20"/>
                <w:lang w:eastAsia="en-GB"/>
              </w:rPr>
              <w:t>Provide specification support for the following aspects:</w:t>
            </w:r>
          </w:p>
          <w:p w14:paraId="6DD26E83" w14:textId="77777777" w:rsidR="00DB26D6" w:rsidRPr="00E373A5" w:rsidRDefault="00DB26D6" w:rsidP="00E373A5">
            <w:pPr>
              <w:numPr>
                <w:ilvl w:val="0"/>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 xml:space="preserve">AI/ML general framework for one-sided AI/ML models within the realm of what has been studied in the </w:t>
            </w:r>
            <w:proofErr w:type="spellStart"/>
            <w:r w:rsidRPr="00E373A5">
              <w:rPr>
                <w:rFonts w:eastAsia="Malgun Gothic"/>
                <w:sz w:val="20"/>
                <w:szCs w:val="20"/>
                <w:lang w:val="en-GB" w:eastAsia="en-GB"/>
              </w:rPr>
              <w:t>FS_NR_AIML_Air</w:t>
            </w:r>
            <w:proofErr w:type="spellEnd"/>
            <w:r w:rsidRPr="00E373A5">
              <w:rPr>
                <w:rFonts w:eastAsia="Malgun Gothic"/>
                <w:sz w:val="20"/>
                <w:szCs w:val="20"/>
                <w:lang w:val="en-GB" w:eastAsia="en-GB"/>
              </w:rPr>
              <w:t xml:space="preserve"> project [RAN2]:</w:t>
            </w:r>
          </w:p>
          <w:p w14:paraId="3CE67DF1"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 xml:space="preserve">Signalling and protocol aspects of Life Cycle </w:t>
            </w:r>
            <w:r w:rsidRPr="00E373A5">
              <w:rPr>
                <w:sz w:val="20"/>
                <w:szCs w:val="20"/>
                <w:lang w:eastAsia="en-GB"/>
              </w:rPr>
              <w:t>Management (LCM) enabling functionality and model (if justified) selection, activation, deactivation, switching, fallback</w:t>
            </w:r>
          </w:p>
          <w:p w14:paraId="717A652F" w14:textId="77777777" w:rsidR="00DB26D6" w:rsidRPr="00E373A5" w:rsidRDefault="00DB26D6" w:rsidP="00E373A5">
            <w:pPr>
              <w:numPr>
                <w:ilvl w:val="2"/>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 xml:space="preserve">Identification related signalling is part of the above objective </w:t>
            </w:r>
          </w:p>
          <w:p w14:paraId="7F88A5B8"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84A888B"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Signalling mechanism of applicable functionalities/models</w:t>
            </w:r>
          </w:p>
          <w:p w14:paraId="1E650A59" w14:textId="77777777" w:rsidR="00DB26D6" w:rsidRPr="00E373A5" w:rsidRDefault="00DB26D6" w:rsidP="00E373A5">
            <w:pPr>
              <w:overflowPunct w:val="0"/>
              <w:autoSpaceDE w:val="0"/>
              <w:autoSpaceDN w:val="0"/>
              <w:adjustRightInd w:val="0"/>
              <w:spacing w:after="0"/>
              <w:ind w:left="720"/>
              <w:textAlignment w:val="baseline"/>
              <w:rPr>
                <w:rFonts w:eastAsia="Malgun Gothic"/>
                <w:sz w:val="20"/>
                <w:szCs w:val="20"/>
                <w:lang w:val="en-GB" w:eastAsia="en-GB"/>
              </w:rPr>
            </w:pPr>
          </w:p>
          <w:p w14:paraId="254AC79C" w14:textId="77777777" w:rsidR="00DB26D6" w:rsidRPr="00E373A5" w:rsidRDefault="00DB26D6" w:rsidP="00E373A5">
            <w:pPr>
              <w:numPr>
                <w:ilvl w:val="0"/>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Beam management - DL Tx beam prediction for both UE-sided model and NW-sided model, encompassing [RAN1/RAN2]:</w:t>
            </w:r>
          </w:p>
          <w:p w14:paraId="40D865E4"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Spatial-domain DL Tx beam prediction for Set A of beams based on measurement results of Set B of beams (“BM-Case1”)</w:t>
            </w:r>
          </w:p>
          <w:p w14:paraId="48C9BAD6"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Temporal DL Tx beam prediction for Set A of beams based on the historic measurement results of Set B of beams (“BM-Case2”)</w:t>
            </w:r>
          </w:p>
          <w:p w14:paraId="7E1189DE"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Specify necessary signalling/mechanism(s) to facilitate LCM operations specific to the Beam Management use cases, if any</w:t>
            </w:r>
          </w:p>
          <w:p w14:paraId="01E2F998" w14:textId="77777777"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 xml:space="preserve">Enabling method(s) to ensure consistency between training and inference regarding NW-side additional conditions (if identified) for inference at UE </w:t>
            </w:r>
          </w:p>
          <w:p w14:paraId="7B8DFE14" w14:textId="77777777" w:rsidR="00DB26D6" w:rsidRPr="00E373A5" w:rsidRDefault="00DB26D6" w:rsidP="00E373A5">
            <w:pPr>
              <w:overflowPunct w:val="0"/>
              <w:autoSpaceDE w:val="0"/>
              <w:autoSpaceDN w:val="0"/>
              <w:adjustRightInd w:val="0"/>
              <w:spacing w:after="0"/>
              <w:ind w:left="360" w:firstLine="720"/>
              <w:textAlignment w:val="baseline"/>
              <w:rPr>
                <w:rFonts w:eastAsia="Malgun Gothic"/>
                <w:sz w:val="20"/>
                <w:szCs w:val="20"/>
                <w:lang w:val="en-GB" w:eastAsia="en-GB"/>
              </w:rPr>
            </w:pPr>
            <w:r w:rsidRPr="00E373A5">
              <w:rPr>
                <w:rFonts w:eastAsia="Malgun Gothic"/>
                <w:sz w:val="20"/>
                <w:szCs w:val="20"/>
                <w:lang w:val="en-GB" w:eastAsia="en-GB"/>
              </w:rPr>
              <w:t>NOTE: Strive for common framework design to support both BM-Case1 and BM-Case2</w:t>
            </w:r>
          </w:p>
          <w:p w14:paraId="11593883" w14:textId="77777777" w:rsidR="00DB26D6" w:rsidRPr="00E373A5" w:rsidRDefault="00DB26D6" w:rsidP="00E373A5">
            <w:pPr>
              <w:overflowPunct w:val="0"/>
              <w:autoSpaceDE w:val="0"/>
              <w:autoSpaceDN w:val="0"/>
              <w:adjustRightInd w:val="0"/>
              <w:spacing w:after="0"/>
              <w:ind w:left="720"/>
              <w:textAlignment w:val="baseline"/>
              <w:rPr>
                <w:rFonts w:eastAsia="Malgun Gothic"/>
                <w:sz w:val="20"/>
                <w:szCs w:val="20"/>
                <w:lang w:val="en-GB" w:eastAsia="en-GB"/>
              </w:rPr>
            </w:pPr>
          </w:p>
          <w:p w14:paraId="26D9ABB8" w14:textId="77777777" w:rsidR="00DB26D6" w:rsidRPr="00E373A5" w:rsidRDefault="00DB26D6" w:rsidP="00E373A5">
            <w:pPr>
              <w:numPr>
                <w:ilvl w:val="0"/>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lastRenderedPageBreak/>
              <w:t>Positioning accuracy enhancements, encompassing [RAN1/RAN2/RAN3]:</w:t>
            </w:r>
          </w:p>
          <w:p w14:paraId="079D792E" w14:textId="77777777" w:rsidR="00DB26D6" w:rsidRPr="00E373A5" w:rsidRDefault="00DB26D6" w:rsidP="00E373A5">
            <w:pPr>
              <w:numPr>
                <w:ilvl w:val="1"/>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 xml:space="preserve">Direct AI/ML </w:t>
            </w:r>
            <w:r w:rsidRPr="00E373A5">
              <w:rPr>
                <w:color w:val="0070C0"/>
                <w:sz w:val="20"/>
                <w:szCs w:val="20"/>
                <w:lang w:eastAsia="en-GB"/>
              </w:rPr>
              <w:t>positioning:</w:t>
            </w:r>
          </w:p>
          <w:p w14:paraId="3F3E8A31" w14:textId="77777777" w:rsidR="00DB26D6" w:rsidRPr="00E373A5" w:rsidRDefault="00DB26D6" w:rsidP="00E373A5">
            <w:pPr>
              <w:numPr>
                <w:ilvl w:val="2"/>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(1</w:t>
            </w:r>
            <w:proofErr w:type="spellStart"/>
            <w:r w:rsidRPr="00E373A5">
              <w:rPr>
                <w:color w:val="0070C0"/>
                <w:sz w:val="20"/>
                <w:szCs w:val="20"/>
                <w:vertAlign w:val="superscript"/>
                <w:lang w:eastAsia="en-GB"/>
              </w:rPr>
              <w:t>st</w:t>
            </w:r>
            <w:proofErr w:type="spellEnd"/>
            <w:r w:rsidRPr="00E373A5">
              <w:rPr>
                <w:color w:val="0070C0"/>
                <w:sz w:val="20"/>
                <w:szCs w:val="20"/>
                <w:lang w:eastAsia="en-GB"/>
              </w:rPr>
              <w:t xml:space="preserve"> priority) Case 1: UE-based positioning with UE-side model, direct AI/ML positioning</w:t>
            </w:r>
          </w:p>
          <w:p w14:paraId="5D484148" w14:textId="77777777" w:rsidR="00DB26D6" w:rsidRPr="00E373A5" w:rsidRDefault="00DB26D6" w:rsidP="00E373A5">
            <w:pPr>
              <w:numPr>
                <w:ilvl w:val="2"/>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(2</w:t>
            </w:r>
            <w:proofErr w:type="spellStart"/>
            <w:r w:rsidRPr="00E373A5">
              <w:rPr>
                <w:color w:val="0070C0"/>
                <w:sz w:val="20"/>
                <w:szCs w:val="20"/>
                <w:vertAlign w:val="superscript"/>
                <w:lang w:eastAsia="en-GB"/>
              </w:rPr>
              <w:t>nd</w:t>
            </w:r>
            <w:proofErr w:type="spellEnd"/>
            <w:r w:rsidRPr="00E373A5">
              <w:rPr>
                <w:color w:val="0070C0"/>
                <w:sz w:val="20"/>
                <w:szCs w:val="20"/>
                <w:lang w:eastAsia="en-GB"/>
              </w:rPr>
              <w:t xml:space="preserve"> priority) Case 2b: UE-assisted/LMF-based positioning with LMF-side model, direct AI/ML positioning</w:t>
            </w:r>
          </w:p>
          <w:p w14:paraId="37FD4BF0" w14:textId="77777777" w:rsidR="00DB26D6" w:rsidRPr="00E373A5" w:rsidRDefault="00DB26D6" w:rsidP="00E373A5">
            <w:pPr>
              <w:numPr>
                <w:ilvl w:val="2"/>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(1</w:t>
            </w:r>
            <w:proofErr w:type="spellStart"/>
            <w:r w:rsidRPr="00E373A5">
              <w:rPr>
                <w:color w:val="0070C0"/>
                <w:sz w:val="20"/>
                <w:szCs w:val="20"/>
                <w:vertAlign w:val="superscript"/>
                <w:lang w:eastAsia="en-GB"/>
              </w:rPr>
              <w:t>st</w:t>
            </w:r>
            <w:proofErr w:type="spellEnd"/>
            <w:r w:rsidRPr="00E373A5">
              <w:rPr>
                <w:color w:val="0070C0"/>
                <w:sz w:val="20"/>
                <w:szCs w:val="20"/>
                <w:lang w:eastAsia="en-GB"/>
              </w:rPr>
              <w:t xml:space="preserve"> priority) Case 3b: NG-RAN node assisted positioning with LMF-side model, direct AI/ML positioning</w:t>
            </w:r>
          </w:p>
          <w:p w14:paraId="0B56F56E" w14:textId="77777777" w:rsidR="00DB26D6" w:rsidRPr="00E373A5" w:rsidRDefault="00DB26D6" w:rsidP="00E373A5">
            <w:pPr>
              <w:numPr>
                <w:ilvl w:val="1"/>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 xml:space="preserve">AI/ML assisted positioning </w:t>
            </w:r>
            <w:r w:rsidRPr="00E373A5">
              <w:rPr>
                <w:rFonts w:eastAsia="Malgun Gothic"/>
                <w:color w:val="0070C0"/>
                <w:sz w:val="20"/>
                <w:szCs w:val="20"/>
                <w:lang w:val="en-GB" w:eastAsia="en-GB"/>
              </w:rPr>
              <w:tab/>
            </w:r>
            <w:r w:rsidRPr="00E373A5">
              <w:rPr>
                <w:rFonts w:eastAsia="Malgun Gothic"/>
                <w:color w:val="0070C0"/>
                <w:sz w:val="20"/>
                <w:szCs w:val="20"/>
                <w:lang w:val="en-GB" w:eastAsia="en-GB"/>
              </w:rPr>
              <w:tab/>
              <w:t xml:space="preserve"> </w:t>
            </w:r>
          </w:p>
          <w:p w14:paraId="22123C21" w14:textId="77777777" w:rsidR="00DB26D6" w:rsidRPr="00E373A5" w:rsidRDefault="00DB26D6" w:rsidP="00E373A5">
            <w:pPr>
              <w:numPr>
                <w:ilvl w:val="2"/>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(2</w:t>
            </w:r>
            <w:proofErr w:type="spellStart"/>
            <w:r w:rsidRPr="00E373A5">
              <w:rPr>
                <w:color w:val="0070C0"/>
                <w:sz w:val="20"/>
                <w:szCs w:val="20"/>
                <w:vertAlign w:val="superscript"/>
                <w:lang w:eastAsia="en-GB"/>
              </w:rPr>
              <w:t>nd</w:t>
            </w:r>
            <w:proofErr w:type="spellEnd"/>
            <w:r w:rsidRPr="00E373A5">
              <w:rPr>
                <w:color w:val="0070C0"/>
                <w:sz w:val="20"/>
                <w:szCs w:val="20"/>
                <w:lang w:eastAsia="en-GB"/>
              </w:rPr>
              <w:t xml:space="preserve"> priority) Case 2a: UE-assisted/LMF-based positioning with UE-side model, AI/ML assisted positioning</w:t>
            </w:r>
            <w:r w:rsidRPr="00E373A5">
              <w:rPr>
                <w:color w:val="0070C0"/>
                <w:sz w:val="20"/>
                <w:szCs w:val="20"/>
                <w:lang w:eastAsia="en-GB"/>
              </w:rPr>
              <w:tab/>
            </w:r>
          </w:p>
          <w:p w14:paraId="30997630" w14:textId="77777777" w:rsidR="00DB26D6" w:rsidRPr="00E373A5" w:rsidRDefault="00DB26D6" w:rsidP="00E373A5">
            <w:pPr>
              <w:numPr>
                <w:ilvl w:val="2"/>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(1</w:t>
            </w:r>
            <w:proofErr w:type="spellStart"/>
            <w:r w:rsidRPr="00E373A5">
              <w:rPr>
                <w:color w:val="0070C0"/>
                <w:sz w:val="20"/>
                <w:szCs w:val="20"/>
                <w:vertAlign w:val="superscript"/>
                <w:lang w:eastAsia="en-GB"/>
              </w:rPr>
              <w:t>st</w:t>
            </w:r>
            <w:proofErr w:type="spellEnd"/>
            <w:r w:rsidRPr="00E373A5">
              <w:rPr>
                <w:color w:val="0070C0"/>
                <w:sz w:val="20"/>
                <w:szCs w:val="20"/>
                <w:lang w:eastAsia="en-GB"/>
              </w:rPr>
              <w:t xml:space="preserve"> priority) Case 3a: NG-RAN node assisted positioning with </w:t>
            </w:r>
            <w:proofErr w:type="spellStart"/>
            <w:r w:rsidRPr="00E373A5">
              <w:rPr>
                <w:color w:val="0070C0"/>
                <w:sz w:val="20"/>
                <w:szCs w:val="20"/>
                <w:lang w:eastAsia="en-GB"/>
              </w:rPr>
              <w:t>gNB</w:t>
            </w:r>
            <w:proofErr w:type="spellEnd"/>
            <w:r w:rsidRPr="00E373A5">
              <w:rPr>
                <w:color w:val="0070C0"/>
                <w:sz w:val="20"/>
                <w:szCs w:val="20"/>
                <w:lang w:eastAsia="en-GB"/>
              </w:rPr>
              <w:t>-side model, AI/ML assisted positioning</w:t>
            </w:r>
          </w:p>
          <w:p w14:paraId="0A57CBC2" w14:textId="77777777" w:rsidR="00DB26D6" w:rsidRPr="00E373A5" w:rsidRDefault="00DB26D6" w:rsidP="00E373A5">
            <w:pPr>
              <w:numPr>
                <w:ilvl w:val="1"/>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Specify necessary measurements, signalling/mechanism(s) to facilitate LCM operations specific to the Positioning accuracy enhancements use cases, if any</w:t>
            </w:r>
          </w:p>
          <w:p w14:paraId="65308D6B" w14:textId="77777777" w:rsidR="00DB26D6" w:rsidRPr="00E373A5" w:rsidRDefault="00DB26D6" w:rsidP="00E373A5">
            <w:pPr>
              <w:numPr>
                <w:ilvl w:val="1"/>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Investigate and specify the necessary signalling of necessary measurement enhancements (if any)</w:t>
            </w:r>
          </w:p>
          <w:p w14:paraId="12AE27B4" w14:textId="77777777" w:rsidR="00DB26D6" w:rsidRPr="00E373A5" w:rsidRDefault="00DB26D6" w:rsidP="00E373A5">
            <w:pPr>
              <w:numPr>
                <w:ilvl w:val="1"/>
                <w:numId w:val="14"/>
              </w:numPr>
              <w:overflowPunct w:val="0"/>
              <w:autoSpaceDE w:val="0"/>
              <w:autoSpaceDN w:val="0"/>
              <w:adjustRightInd w:val="0"/>
              <w:spacing w:after="0"/>
              <w:textAlignment w:val="baseline"/>
              <w:rPr>
                <w:color w:val="0070C0"/>
                <w:sz w:val="20"/>
                <w:szCs w:val="20"/>
                <w:lang w:eastAsia="en-GB"/>
              </w:rPr>
            </w:pPr>
            <w:r w:rsidRPr="00E373A5">
              <w:rPr>
                <w:rFonts w:eastAsia="Malgun Gothic"/>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3E35D219" w14:textId="77777777" w:rsidR="00DB26D6" w:rsidRPr="00E373A5" w:rsidRDefault="00DB26D6" w:rsidP="00E373A5">
            <w:pPr>
              <w:numPr>
                <w:ilvl w:val="1"/>
                <w:numId w:val="14"/>
              </w:numPr>
              <w:overflowPunct w:val="0"/>
              <w:autoSpaceDE w:val="0"/>
              <w:autoSpaceDN w:val="0"/>
              <w:adjustRightInd w:val="0"/>
              <w:spacing w:after="0"/>
              <w:textAlignment w:val="baseline"/>
              <w:rPr>
                <w:rFonts w:eastAsia="Malgun Gothic"/>
                <w:color w:val="0070C0"/>
                <w:sz w:val="20"/>
                <w:szCs w:val="20"/>
                <w:lang w:val="en-GB" w:eastAsia="en-GB"/>
              </w:rPr>
            </w:pPr>
            <w:r w:rsidRPr="00E373A5">
              <w:rPr>
                <w:rFonts w:eastAsia="Malgun Gothic"/>
                <w:color w:val="0070C0"/>
                <w:sz w:val="20"/>
                <w:szCs w:val="20"/>
                <w:lang w:val="en-GB" w:eastAsia="en-GB"/>
              </w:rPr>
              <w:t>Note: RAN1 will not discuss any proposals targeting 2</w:t>
            </w:r>
            <w:r w:rsidRPr="00E373A5">
              <w:rPr>
                <w:rFonts w:eastAsia="Malgun Gothic"/>
                <w:color w:val="0070C0"/>
                <w:sz w:val="20"/>
                <w:szCs w:val="20"/>
                <w:vertAlign w:val="superscript"/>
                <w:lang w:val="en-GB" w:eastAsia="en-GB"/>
              </w:rPr>
              <w:t>nd</w:t>
            </w:r>
            <w:r w:rsidRPr="00E373A5">
              <w:rPr>
                <w:rFonts w:eastAsia="Malgun Gothic"/>
                <w:color w:val="0070C0"/>
                <w:sz w:val="20"/>
                <w:szCs w:val="20"/>
                <w:lang w:val="en-GB" w:eastAsia="en-GB"/>
              </w:rPr>
              <w:t xml:space="preserve"> priority issues in Q4 of 2024.</w:t>
            </w:r>
          </w:p>
          <w:p w14:paraId="31C9DB48" w14:textId="77777777" w:rsidR="00DB26D6" w:rsidRPr="00E373A5" w:rsidRDefault="00DB26D6" w:rsidP="00E373A5">
            <w:pPr>
              <w:overflowPunct w:val="0"/>
              <w:autoSpaceDE w:val="0"/>
              <w:autoSpaceDN w:val="0"/>
              <w:adjustRightInd w:val="0"/>
              <w:spacing w:after="0"/>
              <w:textAlignment w:val="baseline"/>
              <w:rPr>
                <w:rFonts w:eastAsia="Malgun Gothic"/>
                <w:sz w:val="20"/>
                <w:szCs w:val="20"/>
                <w:lang w:val="en-GB" w:eastAsia="en-GB"/>
              </w:rPr>
            </w:pPr>
          </w:p>
          <w:p w14:paraId="27EE1699" w14:textId="77777777" w:rsidR="00DB26D6" w:rsidRPr="00E373A5" w:rsidRDefault="00DB26D6" w:rsidP="00E373A5">
            <w:pPr>
              <w:numPr>
                <w:ilvl w:val="0"/>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Malgun Gothic"/>
                <w:sz w:val="20"/>
                <w:szCs w:val="20"/>
                <w:lang w:val="en-GB" w:eastAsia="en-GB"/>
              </w:rPr>
              <w:t xml:space="preserve">CSI feedback enhancement, encompassing [RAN1/RAN2]: </w:t>
            </w:r>
          </w:p>
          <w:p w14:paraId="73E5C352" w14:textId="77777777" w:rsidR="00DB26D6" w:rsidRPr="00E373A5" w:rsidRDefault="00DB26D6" w:rsidP="00E373A5">
            <w:pPr>
              <w:numPr>
                <w:ilvl w:val="1"/>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Malgun Gothic"/>
                <w:sz w:val="20"/>
                <w:szCs w:val="20"/>
                <w:lang w:val="en-GB" w:eastAsia="en-GB"/>
              </w:rPr>
              <w:t xml:space="preserve">CSI prediction (UE-sided model): </w:t>
            </w:r>
          </w:p>
          <w:p w14:paraId="50831587" w14:textId="77777777" w:rsidR="00DB26D6" w:rsidRPr="00E373A5" w:rsidRDefault="00DB26D6" w:rsidP="00E373A5">
            <w:pPr>
              <w:numPr>
                <w:ilvl w:val="2"/>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Malgun Gothic"/>
                <w:sz w:val="20"/>
                <w:szCs w:val="20"/>
                <w:lang w:val="en-GB" w:eastAsia="en-GB"/>
              </w:rPr>
              <w:t>Functionality-based LCM leveraged from other use cases, when necessary and applicable,</w:t>
            </w:r>
          </w:p>
          <w:p w14:paraId="4FDDB5E2" w14:textId="77777777" w:rsidR="00DB26D6" w:rsidRPr="00E373A5" w:rsidRDefault="00DB26D6" w:rsidP="00E373A5">
            <w:pPr>
              <w:numPr>
                <w:ilvl w:val="2"/>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Malgun Gothic"/>
                <w:sz w:val="20"/>
                <w:szCs w:val="20"/>
                <w:lang w:val="en-GB" w:eastAsia="en-GB"/>
              </w:rPr>
              <w:t>Study, and if necessary, specify consistency of training/inference,</w:t>
            </w:r>
          </w:p>
          <w:p w14:paraId="079770C7" w14:textId="77777777" w:rsidR="00DB26D6" w:rsidRPr="00E373A5" w:rsidRDefault="00DB26D6" w:rsidP="00E373A5">
            <w:pPr>
              <w:numPr>
                <w:ilvl w:val="2"/>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Malgun Gothic"/>
                <w:sz w:val="20"/>
                <w:szCs w:val="20"/>
                <w:lang w:val="en-GB" w:eastAsia="en-GB"/>
              </w:rPr>
              <w:t>Note: Normative work in RAN1 for CSI prediction will start from Q1 of 2025</w:t>
            </w:r>
          </w:p>
          <w:p w14:paraId="57CE3551" w14:textId="77777777" w:rsidR="00DB26D6" w:rsidRPr="00E373A5" w:rsidRDefault="00DB26D6" w:rsidP="00E373A5">
            <w:pPr>
              <w:overflowPunct w:val="0"/>
              <w:autoSpaceDE w:val="0"/>
              <w:autoSpaceDN w:val="0"/>
              <w:adjustRightInd w:val="0"/>
              <w:spacing w:after="0"/>
              <w:ind w:left="720"/>
              <w:textAlignment w:val="baseline"/>
              <w:rPr>
                <w:rFonts w:eastAsia="Malgun Gothic"/>
                <w:sz w:val="20"/>
                <w:szCs w:val="20"/>
                <w:lang w:val="en-GB" w:eastAsia="en-GB"/>
              </w:rPr>
            </w:pPr>
          </w:p>
          <w:p w14:paraId="1CE05904" w14:textId="77777777" w:rsidR="00DB26D6" w:rsidRPr="00E373A5" w:rsidRDefault="00DB26D6" w:rsidP="00E373A5">
            <w:pPr>
              <w:numPr>
                <w:ilvl w:val="0"/>
                <w:numId w:val="14"/>
              </w:numPr>
              <w:overflowPunct w:val="0"/>
              <w:autoSpaceDE w:val="0"/>
              <w:autoSpaceDN w:val="0"/>
              <w:adjustRightInd w:val="0"/>
              <w:spacing w:after="0"/>
              <w:textAlignment w:val="baseline"/>
              <w:rPr>
                <w:rFonts w:eastAsia="Malgun Gothic"/>
                <w:sz w:val="20"/>
                <w:szCs w:val="20"/>
                <w:lang w:eastAsia="en-GB"/>
              </w:rPr>
            </w:pPr>
            <w:r w:rsidRPr="00E373A5">
              <w:rPr>
                <w:rFonts w:eastAsia="Batang"/>
                <w:sz w:val="20"/>
                <w:szCs w:val="20"/>
                <w:lang w:val="en-GB" w:eastAsia="x-none"/>
              </w:rPr>
              <w:t xml:space="preserve">Core requirements for </w:t>
            </w:r>
            <w:r w:rsidRPr="00E373A5">
              <w:rPr>
                <w:rFonts w:eastAsia="Malgun Gothic"/>
                <w:sz w:val="20"/>
                <w:szCs w:val="20"/>
                <w:lang w:eastAsia="en-GB"/>
              </w:rPr>
              <w:t xml:space="preserve">the above two use cases for AI/ML </w:t>
            </w:r>
            <w:r w:rsidRPr="00E373A5">
              <w:rPr>
                <w:sz w:val="20"/>
                <w:szCs w:val="20"/>
              </w:rPr>
              <w:t>LCM procedures and UE features [RAN4]:</w:t>
            </w:r>
          </w:p>
          <w:p w14:paraId="65C3BA34" w14:textId="245770CF" w:rsidR="00DB26D6" w:rsidRPr="00E373A5" w:rsidRDefault="00DB26D6" w:rsidP="00E373A5">
            <w:pPr>
              <w:numPr>
                <w:ilvl w:val="1"/>
                <w:numId w:val="14"/>
              </w:numPr>
              <w:overflowPunct w:val="0"/>
              <w:autoSpaceDE w:val="0"/>
              <w:autoSpaceDN w:val="0"/>
              <w:adjustRightInd w:val="0"/>
              <w:spacing w:after="0"/>
              <w:textAlignment w:val="baseline"/>
              <w:rPr>
                <w:sz w:val="20"/>
                <w:szCs w:val="20"/>
                <w:lang w:eastAsia="en-GB"/>
              </w:rPr>
            </w:pPr>
            <w:r w:rsidRPr="00E373A5">
              <w:rPr>
                <w:rFonts w:eastAsia="Malgun Gothic"/>
                <w:sz w:val="20"/>
                <w:szCs w:val="20"/>
                <w:lang w:val="en-GB" w:eastAsia="en-GB"/>
              </w:rPr>
              <w:t>Specify necessary RAN4 core requirements for the above three use cases. This includes the test setup and methodology for the beam management use case.</w:t>
            </w:r>
          </w:p>
          <w:p w14:paraId="3CFCD6AA" w14:textId="1AAA408B" w:rsidR="00024894" w:rsidRPr="00E373A5" w:rsidRDefault="00DB26D6" w:rsidP="00E373A5">
            <w:pPr>
              <w:numPr>
                <w:ilvl w:val="1"/>
                <w:numId w:val="14"/>
              </w:numPr>
              <w:overflowPunct w:val="0"/>
              <w:autoSpaceDE w:val="0"/>
              <w:autoSpaceDN w:val="0"/>
              <w:adjustRightInd w:val="0"/>
              <w:spacing w:after="0"/>
              <w:textAlignment w:val="baseline"/>
              <w:rPr>
                <w:rFonts w:eastAsia="Malgun Gothic"/>
                <w:sz w:val="20"/>
                <w:szCs w:val="20"/>
                <w:lang w:val="en-GB" w:eastAsia="en-GB"/>
              </w:rPr>
            </w:pPr>
            <w:r w:rsidRPr="00E373A5">
              <w:rPr>
                <w:rFonts w:eastAsia="Batang"/>
                <w:sz w:val="20"/>
                <w:szCs w:val="20"/>
                <w:lang w:val="en-GB" w:eastAsia="x-none"/>
              </w:rPr>
              <w:t>Specify necessary RAN4 core requirements for LCM procedures including performance monitoring.</w:t>
            </w:r>
          </w:p>
        </w:tc>
      </w:tr>
    </w:tbl>
    <w:p w14:paraId="5C8B2748" w14:textId="77777777" w:rsidR="00024894" w:rsidRPr="00CE0424" w:rsidRDefault="00024894" w:rsidP="00024894">
      <w:pPr>
        <w:pStyle w:val="BodyText"/>
      </w:pPr>
    </w:p>
    <w:p w14:paraId="42A3A09B" w14:textId="2074CEE0" w:rsidR="00B77F2C" w:rsidRDefault="003E7A63" w:rsidP="001B0F2D">
      <w:pPr>
        <w:pStyle w:val="Heading1"/>
        <w:rPr>
          <w:lang w:val="en-US"/>
        </w:rPr>
      </w:pPr>
      <w:bookmarkStart w:id="2" w:name="_Toc165990974"/>
      <w:bookmarkStart w:id="3" w:name="_Toc189845006"/>
      <w:r>
        <w:rPr>
          <w:lang w:val="en-US"/>
        </w:rPr>
        <w:t>Integrating AI/ML based p</w:t>
      </w:r>
      <w:r w:rsidR="00FE0482">
        <w:rPr>
          <w:lang w:val="en-US"/>
        </w:rPr>
        <w:t xml:space="preserve">ositioning methods </w:t>
      </w:r>
      <w:r>
        <w:rPr>
          <w:lang w:val="en-US"/>
        </w:rPr>
        <w:t>with existing protocol</w:t>
      </w:r>
      <w:bookmarkEnd w:id="3"/>
      <w:r w:rsidR="00FE0482">
        <w:rPr>
          <w:lang w:val="en-US"/>
        </w:rPr>
        <w:t xml:space="preserve"> </w:t>
      </w:r>
    </w:p>
    <w:p w14:paraId="7B9206C8" w14:textId="65DDF018" w:rsidR="00BC06AB" w:rsidRPr="0037719E" w:rsidRDefault="001E272C" w:rsidP="00BC06AB">
      <w:proofErr w:type="gramStart"/>
      <w:r>
        <w:t>In order to</w:t>
      </w:r>
      <w:proofErr w:type="gramEnd"/>
      <w:r>
        <w:t xml:space="preserve"> specify enhancements to enable AI/ML based positioning, a framework issue to consider is how to integrate the AI/ML based methods with existing protocol</w:t>
      </w:r>
      <w:r w:rsidR="002A4AC1">
        <w:t>.</w:t>
      </w:r>
      <w:r>
        <w:t xml:space="preserve"> </w:t>
      </w:r>
      <w:r w:rsidR="00BC06AB" w:rsidRPr="0037719E">
        <w:t xml:space="preserve">Different phases of AIML operations will map to different procedures and it is important to understand what is already available and what must be introduced to </w:t>
      </w:r>
      <w:r w:rsidR="00045E5A">
        <w:t xml:space="preserve">the </w:t>
      </w:r>
      <w:r w:rsidR="00BC06AB" w:rsidRPr="0037719E">
        <w:t xml:space="preserve">specifications. Even if RAN2 is the driving force for such new </w:t>
      </w:r>
      <w:proofErr w:type="gramStart"/>
      <w:r w:rsidR="00BC06AB" w:rsidRPr="0037719E">
        <w:t>high level</w:t>
      </w:r>
      <w:proofErr w:type="gramEnd"/>
      <w:r w:rsidR="00BC06AB" w:rsidRPr="0037719E">
        <w:t xml:space="preserve"> </w:t>
      </w:r>
      <w:r w:rsidR="00754BBA" w:rsidRPr="0037719E">
        <w:t>procedure, RAN</w:t>
      </w:r>
      <w:r w:rsidR="00BC06AB" w:rsidRPr="0037719E">
        <w:t>1 needs to understand these procedure</w:t>
      </w:r>
      <w:r w:rsidR="000A2296">
        <w:t>s</w:t>
      </w:r>
      <w:r w:rsidR="00BC06AB" w:rsidRPr="0037719E">
        <w:t xml:space="preserve"> to go forward.  In our RAN2 contribution, we present our view for AI</w:t>
      </w:r>
      <w:r w:rsidR="00703205">
        <w:t>/</w:t>
      </w:r>
      <w:r w:rsidR="00BC06AB" w:rsidRPr="0037719E">
        <w:t>ML positioning integration into the positioning framework</w:t>
      </w:r>
      <w:r w:rsidR="00FD4343">
        <w:t xml:space="preserve">.  At a high level, the </w:t>
      </w:r>
      <w:r w:rsidR="003E7A63">
        <w:t xml:space="preserve">LCM </w:t>
      </w:r>
      <w:r w:rsidR="00FD4343">
        <w:t>procedures for each case are model inference, model monitoring</w:t>
      </w:r>
      <w:r w:rsidR="00444B08">
        <w:t xml:space="preserve"> and</w:t>
      </w:r>
      <w:r w:rsidR="00FD4343">
        <w:t xml:space="preserve"> data collection</w:t>
      </w:r>
      <w:r w:rsidR="00444B08">
        <w:t>.</w:t>
      </w:r>
    </w:p>
    <w:p w14:paraId="4CADC347" w14:textId="239E55F2" w:rsidR="00233E1A" w:rsidRPr="0037719E" w:rsidRDefault="00FE16BE" w:rsidP="00233E1A">
      <w:pPr>
        <w:pStyle w:val="Heading2"/>
        <w:rPr>
          <w:lang w:val="en-US"/>
        </w:rPr>
      </w:pPr>
      <w:bookmarkStart w:id="4" w:name="_Toc189845007"/>
      <w:r>
        <w:rPr>
          <w:lang w:val="en-US"/>
        </w:rPr>
        <w:lastRenderedPageBreak/>
        <w:t xml:space="preserve">Cases </w:t>
      </w:r>
      <w:r w:rsidR="0095069F">
        <w:rPr>
          <w:lang w:val="en-US"/>
        </w:rPr>
        <w:t>with</w:t>
      </w:r>
      <w:r>
        <w:rPr>
          <w:lang w:val="en-US"/>
        </w:rPr>
        <w:t xml:space="preserve"> AI</w:t>
      </w:r>
      <w:r w:rsidR="00703205">
        <w:rPr>
          <w:lang w:val="en-US"/>
        </w:rPr>
        <w:t>/</w:t>
      </w:r>
      <w:r>
        <w:rPr>
          <w:lang w:val="en-US"/>
        </w:rPr>
        <w:t>ML model hosted in the UE (</w:t>
      </w:r>
      <w:r w:rsidR="00754BBA">
        <w:rPr>
          <w:lang w:val="en-US"/>
        </w:rPr>
        <w:t>C</w:t>
      </w:r>
      <w:r>
        <w:rPr>
          <w:lang w:val="en-US"/>
        </w:rPr>
        <w:t>ase 1)</w:t>
      </w:r>
      <w:bookmarkEnd w:id="4"/>
    </w:p>
    <w:p w14:paraId="2F27E357" w14:textId="4B226A0C" w:rsidR="0057672E" w:rsidRPr="0037719E" w:rsidRDefault="0057672E" w:rsidP="00B53CFF">
      <w:r w:rsidRPr="0037719E">
        <w:t>Case 1 is a UE based positioning case. The 3GPP positioning framework currently supports two methods for UE based positioning, namely DL-</w:t>
      </w:r>
      <w:proofErr w:type="spellStart"/>
      <w:r w:rsidR="00754BBA" w:rsidRPr="0037719E">
        <w:t>A</w:t>
      </w:r>
      <w:r w:rsidR="00754BBA">
        <w:t>o</w:t>
      </w:r>
      <w:r w:rsidR="00754BBA" w:rsidRPr="0037719E">
        <w:t>D</w:t>
      </w:r>
      <w:proofErr w:type="spellEnd"/>
      <w:r w:rsidR="00754BBA" w:rsidRPr="0037719E">
        <w:t xml:space="preserve"> </w:t>
      </w:r>
      <w:r w:rsidRPr="0037719E">
        <w:t xml:space="preserve">and DL-TDOA based positioning. </w:t>
      </w:r>
      <w:r w:rsidR="00754BBA">
        <w:t>A</w:t>
      </w:r>
      <w:r w:rsidRPr="0037719E">
        <w:t xml:space="preserve">dditionally, these methods can be initiated either by the network (LMF) via MT LR procedures, or by the UE via MO LR procedures. To support </w:t>
      </w:r>
      <w:r w:rsidR="00754BBA">
        <w:t>C</w:t>
      </w:r>
      <w:r w:rsidRPr="0037719E">
        <w:t xml:space="preserve">ase 1, an existing procedure can be reused or a completely new procedure with associated AD transfer, capability </w:t>
      </w:r>
      <w:proofErr w:type="gramStart"/>
      <w:r w:rsidRPr="0037719E">
        <w:t>transfer</w:t>
      </w:r>
      <w:proofErr w:type="gramEnd"/>
      <w:r w:rsidRPr="0037719E">
        <w:t xml:space="preserve"> and location request procedures can be designed. </w:t>
      </w:r>
      <w:r w:rsidR="00D60E4E">
        <w:t xml:space="preserve"> </w:t>
      </w:r>
    </w:p>
    <w:p w14:paraId="28494C23" w14:textId="771D29A3" w:rsidR="0057672E" w:rsidRPr="0037719E" w:rsidRDefault="00212723" w:rsidP="0057672E">
      <w:r>
        <w:t xml:space="preserve">Assistance data for case 1 was agreed to cover </w:t>
      </w:r>
      <w:r w:rsidR="00592F1F">
        <w:t xml:space="preserve">the assistance data for DL TDOA in RAN1#119. </w:t>
      </w:r>
      <w:r w:rsidR="00FD4343">
        <w:t xml:space="preserve"> </w:t>
      </w:r>
      <w:r w:rsidR="0057672E" w:rsidRPr="0037719E">
        <w:t xml:space="preserve">In our view, </w:t>
      </w:r>
      <w:r w:rsidR="00D30306">
        <w:t xml:space="preserve">the agreement is sufficient, and there is no need to consider further methods. </w:t>
      </w:r>
    </w:p>
    <w:p w14:paraId="04C23170" w14:textId="5E1A4143" w:rsidR="00EA1B13" w:rsidRPr="0037719E" w:rsidRDefault="00E2448C" w:rsidP="00894767">
      <w:pPr>
        <w:pStyle w:val="Proposal"/>
      </w:pPr>
      <w:bookmarkStart w:id="5" w:name="_Toc189845097"/>
      <w:r>
        <w:t xml:space="preserve">RAN1 assumes </w:t>
      </w:r>
      <w:r w:rsidR="0057672E" w:rsidRPr="0037719E">
        <w:t xml:space="preserve">Case 1 </w:t>
      </w:r>
      <w:r>
        <w:t>is</w:t>
      </w:r>
      <w:r w:rsidR="0057672E" w:rsidRPr="0037719E">
        <w:t xml:space="preserve"> supported using UE based DL-TDOA procedure</w:t>
      </w:r>
      <w:r w:rsidR="0054601B">
        <w:t>s</w:t>
      </w:r>
      <w:r w:rsidR="0057672E" w:rsidRPr="0037719E">
        <w:t xml:space="preserve"> as a foundation. </w:t>
      </w:r>
      <w:r w:rsidR="000D22B1">
        <w:t xml:space="preserve">It is up to RAN2 to decide whether a set of new procedure is to be defined for Case 1, or extension to DL-TDOA suffices. </w:t>
      </w:r>
      <w:r w:rsidR="00894767">
        <w:t>RAN1 c</w:t>
      </w:r>
      <w:r w:rsidR="0057672E" w:rsidRPr="0037719E">
        <w:t>onfirm</w:t>
      </w:r>
      <w:r w:rsidR="00894767">
        <w:t>s</w:t>
      </w:r>
      <w:r w:rsidR="0057672E" w:rsidRPr="0037719E">
        <w:t xml:space="preserve"> the understanding with RAN2.</w:t>
      </w:r>
      <w:bookmarkEnd w:id="5"/>
      <w:r w:rsidR="0057672E" w:rsidRPr="0037719E">
        <w:t xml:space="preserve"> </w:t>
      </w:r>
      <w:r w:rsidR="00FE16BE">
        <w:t xml:space="preserve"> </w:t>
      </w:r>
    </w:p>
    <w:p w14:paraId="2D79C58D" w14:textId="568C5E57" w:rsidR="005505F8" w:rsidRPr="0037719E" w:rsidRDefault="005505F8" w:rsidP="005505F8">
      <w:pPr>
        <w:pStyle w:val="Heading2"/>
        <w:rPr>
          <w:lang w:val="en-US"/>
        </w:rPr>
      </w:pPr>
      <w:bookmarkStart w:id="6" w:name="_Toc178704927"/>
      <w:bookmarkStart w:id="7" w:name="_Toc178705829"/>
      <w:bookmarkStart w:id="8" w:name="_Toc178708807"/>
      <w:bookmarkStart w:id="9" w:name="_Toc178772529"/>
      <w:bookmarkStart w:id="10" w:name="_Toc178929503"/>
      <w:bookmarkStart w:id="11" w:name="_Toc178704928"/>
      <w:bookmarkStart w:id="12" w:name="_Toc178705830"/>
      <w:bookmarkStart w:id="13" w:name="_Toc178708808"/>
      <w:bookmarkStart w:id="14" w:name="_Toc178772530"/>
      <w:bookmarkStart w:id="15" w:name="_Toc178929504"/>
      <w:bookmarkStart w:id="16" w:name="_Toc178704929"/>
      <w:bookmarkStart w:id="17" w:name="_Toc178705831"/>
      <w:bookmarkStart w:id="18" w:name="_Toc178708809"/>
      <w:bookmarkStart w:id="19" w:name="_Toc178772531"/>
      <w:bookmarkStart w:id="20" w:name="_Toc178929505"/>
      <w:bookmarkStart w:id="21" w:name="_Toc178704930"/>
      <w:bookmarkStart w:id="22" w:name="_Toc178705832"/>
      <w:bookmarkStart w:id="23" w:name="_Toc178708810"/>
      <w:bookmarkStart w:id="24" w:name="_Toc178772532"/>
      <w:bookmarkStart w:id="25" w:name="_Toc178929506"/>
      <w:bookmarkStart w:id="26" w:name="_Toc178704931"/>
      <w:bookmarkStart w:id="27" w:name="_Toc178705833"/>
      <w:bookmarkStart w:id="28" w:name="_Toc178708811"/>
      <w:bookmarkStart w:id="29" w:name="_Toc178772533"/>
      <w:bookmarkStart w:id="30" w:name="_Toc178929507"/>
      <w:bookmarkStart w:id="31" w:name="_Toc1898450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lang w:val="en-US"/>
        </w:rPr>
        <w:t xml:space="preserve">Case </w:t>
      </w:r>
      <w:r w:rsidR="0095069F">
        <w:rPr>
          <w:lang w:val="en-US"/>
        </w:rPr>
        <w:t>with</w:t>
      </w:r>
      <w:r>
        <w:rPr>
          <w:lang w:val="en-US"/>
        </w:rPr>
        <w:t xml:space="preserve"> AI</w:t>
      </w:r>
      <w:r w:rsidR="00703205">
        <w:rPr>
          <w:lang w:val="en-US"/>
        </w:rPr>
        <w:t>/</w:t>
      </w:r>
      <w:r>
        <w:rPr>
          <w:lang w:val="en-US"/>
        </w:rPr>
        <w:t>ML model hosted in the TRP/</w:t>
      </w:r>
      <w:proofErr w:type="spellStart"/>
      <w:r>
        <w:rPr>
          <w:lang w:val="en-US"/>
        </w:rPr>
        <w:t>gNB</w:t>
      </w:r>
      <w:proofErr w:type="spellEnd"/>
      <w:r>
        <w:rPr>
          <w:lang w:val="en-US"/>
        </w:rPr>
        <w:t xml:space="preserve"> (</w:t>
      </w:r>
      <w:r w:rsidR="000D22B1">
        <w:rPr>
          <w:lang w:val="en-US"/>
        </w:rPr>
        <w:t>C</w:t>
      </w:r>
      <w:r>
        <w:rPr>
          <w:lang w:val="en-US"/>
        </w:rPr>
        <w:t>ase 3a)</w:t>
      </w:r>
      <w:bookmarkEnd w:id="31"/>
    </w:p>
    <w:p w14:paraId="10821E94" w14:textId="20698BBF" w:rsidR="00DE5F43" w:rsidRDefault="008A66C5" w:rsidP="00DE5F43">
      <w:r>
        <w:t>In RAN1#118, u</w:t>
      </w:r>
      <w:r w:rsidR="00DE5F43">
        <w:t>plink positioning for case 3a was discussed with the following outcome:</w:t>
      </w:r>
    </w:p>
    <w:tbl>
      <w:tblPr>
        <w:tblStyle w:val="TableGrid"/>
        <w:tblW w:w="0" w:type="auto"/>
        <w:tblLook w:val="04A0" w:firstRow="1" w:lastRow="0" w:firstColumn="1" w:lastColumn="0" w:noHBand="0" w:noVBand="1"/>
      </w:tblPr>
      <w:tblGrid>
        <w:gridCol w:w="9962"/>
      </w:tblGrid>
      <w:tr w:rsidR="00DE5F43" w:rsidRPr="008A66C5" w14:paraId="7620C242" w14:textId="77777777">
        <w:tc>
          <w:tcPr>
            <w:tcW w:w="9962" w:type="dxa"/>
          </w:tcPr>
          <w:p w14:paraId="6ADBCE22" w14:textId="77777777" w:rsidR="00DE5F43" w:rsidRPr="008A66C5" w:rsidRDefault="00DE5F43" w:rsidP="008A66C5">
            <w:pPr>
              <w:spacing w:after="0"/>
              <w:rPr>
                <w:rFonts w:ascii="Times New Roman" w:eastAsia="DengXian" w:hAnsi="Times New Roman" w:cs="Times New Roman"/>
                <w:sz w:val="20"/>
                <w:szCs w:val="20"/>
                <w:lang w:eastAsia="zh-CN"/>
              </w:rPr>
            </w:pPr>
            <w:r w:rsidRPr="008A66C5">
              <w:rPr>
                <w:rFonts w:ascii="Times New Roman" w:eastAsia="DengXian" w:hAnsi="Times New Roman" w:cs="Times New Roman"/>
                <w:sz w:val="20"/>
                <w:szCs w:val="20"/>
                <w:lang w:eastAsia="zh-CN"/>
              </w:rPr>
              <w:t>Conclusion</w:t>
            </w:r>
          </w:p>
          <w:p w14:paraId="0D7FDB4D" w14:textId="77777777" w:rsidR="00DE5F43" w:rsidRPr="008A66C5" w:rsidRDefault="00DE5F43" w:rsidP="008A66C5">
            <w:pPr>
              <w:spacing w:after="0"/>
              <w:rPr>
                <w:rFonts w:ascii="Times New Roman" w:hAnsi="Times New Roman" w:cs="Times New Roman"/>
                <w:sz w:val="20"/>
                <w:szCs w:val="20"/>
              </w:rPr>
            </w:pPr>
            <w:r w:rsidRPr="008A66C5">
              <w:rPr>
                <w:rFonts w:ascii="Times New Roman" w:eastAsia="Calibri" w:hAnsi="Times New Roman" w:cs="Times New Roman"/>
                <w:sz w:val="20"/>
                <w:szCs w:val="20"/>
              </w:rPr>
              <w:t>From RAN1 perspective,</w:t>
            </w:r>
            <w:r w:rsidRPr="008A66C5">
              <w:rPr>
                <w:rFonts w:ascii="Times New Roman" w:hAnsi="Times New Roman" w:cs="Times New Roman"/>
                <w:sz w:val="20"/>
                <w:szCs w:val="20"/>
              </w:rPr>
              <w:t xml:space="preserve"> for Case 3a measurements,  </w:t>
            </w:r>
          </w:p>
          <w:p w14:paraId="7D0CD07E" w14:textId="77777777" w:rsidR="00DE5F43" w:rsidRPr="008A66C5" w:rsidRDefault="00DE5F43" w:rsidP="005925D5">
            <w:pPr>
              <w:pStyle w:val="ListParagraph"/>
              <w:numPr>
                <w:ilvl w:val="0"/>
                <w:numId w:val="77"/>
              </w:numPr>
              <w:spacing w:line="276" w:lineRule="auto"/>
              <w:rPr>
                <w:rFonts w:ascii="Times New Roman" w:hAnsi="Times New Roman" w:cs="Times New Roman"/>
                <w:sz w:val="20"/>
              </w:rPr>
            </w:pPr>
            <w:r w:rsidRPr="008A66C5">
              <w:rPr>
                <w:rFonts w:ascii="Times New Roman" w:hAnsi="Times New Roman" w:cs="Times New Roman"/>
                <w:sz w:val="20"/>
              </w:rPr>
              <w:t xml:space="preserve">The existing procedures </w:t>
            </w:r>
            <w:r w:rsidRPr="008A66C5">
              <w:rPr>
                <w:rFonts w:ascii="Times New Roman" w:eastAsia="DengXian" w:hAnsi="Times New Roman" w:cs="Times New Roman"/>
                <w:sz w:val="20"/>
              </w:rPr>
              <w:t xml:space="preserve">can be </w:t>
            </w:r>
            <w:r w:rsidRPr="008A66C5">
              <w:rPr>
                <w:rFonts w:ascii="Times New Roman" w:hAnsi="Times New Roman" w:cs="Times New Roman"/>
                <w:sz w:val="20"/>
              </w:rPr>
              <w:t>reused in terms of SRS configuration.</w:t>
            </w:r>
          </w:p>
          <w:p w14:paraId="6FA76277" w14:textId="77777777" w:rsidR="00DE5F43" w:rsidRPr="008A66C5" w:rsidRDefault="00DE5F43" w:rsidP="005925D5">
            <w:pPr>
              <w:pStyle w:val="ListParagraph"/>
              <w:numPr>
                <w:ilvl w:val="1"/>
                <w:numId w:val="77"/>
              </w:numPr>
              <w:spacing w:line="276" w:lineRule="auto"/>
              <w:rPr>
                <w:rFonts w:ascii="Times New Roman" w:hAnsi="Times New Roman" w:cs="Times New Roman"/>
                <w:sz w:val="20"/>
              </w:rPr>
            </w:pPr>
            <w:r w:rsidRPr="008A66C5">
              <w:rPr>
                <w:rFonts w:ascii="Times New Roman" w:hAnsi="Times New Roman" w:cs="Times New Roman"/>
                <w:sz w:val="20"/>
              </w:rPr>
              <w:t>Note: parameter values for SRS configuration can be further discussed</w:t>
            </w:r>
          </w:p>
          <w:p w14:paraId="03795044" w14:textId="77777777" w:rsidR="00DE5F43" w:rsidRPr="008A66C5" w:rsidRDefault="00DE5F43" w:rsidP="005925D5">
            <w:pPr>
              <w:pStyle w:val="ListParagraph"/>
              <w:numPr>
                <w:ilvl w:val="0"/>
                <w:numId w:val="77"/>
              </w:numPr>
              <w:spacing w:line="276" w:lineRule="auto"/>
              <w:rPr>
                <w:rFonts w:ascii="Times New Roman" w:hAnsi="Times New Roman" w:cs="Times New Roman"/>
                <w:sz w:val="20"/>
              </w:rPr>
            </w:pPr>
            <w:r w:rsidRPr="008A66C5">
              <w:rPr>
                <w:rFonts w:ascii="Times New Roman" w:hAnsi="Times New Roman" w:cs="Times New Roman"/>
                <w:sz w:val="20"/>
              </w:rPr>
              <w:t xml:space="preserve">These measurements can be used for multiple aspects related to case 3a, e.g. training data collection, monitoring, or inference procedures. </w:t>
            </w:r>
          </w:p>
          <w:p w14:paraId="6008FCDE" w14:textId="77777777" w:rsidR="00DE5F43" w:rsidRPr="008A66C5" w:rsidRDefault="00DE5F43" w:rsidP="005925D5">
            <w:pPr>
              <w:numPr>
                <w:ilvl w:val="0"/>
                <w:numId w:val="77"/>
              </w:numPr>
              <w:spacing w:after="0"/>
              <w:rPr>
                <w:rFonts w:ascii="Times New Roman" w:hAnsi="Times New Roman" w:cs="Times New Roman"/>
                <w:sz w:val="20"/>
                <w:szCs w:val="20"/>
              </w:rPr>
            </w:pPr>
            <w:r w:rsidRPr="008A66C5">
              <w:rPr>
                <w:rFonts w:ascii="Times New Roman" w:hAnsi="Times New Roman" w:cs="Times New Roman"/>
                <w:sz w:val="20"/>
                <w:szCs w:val="20"/>
              </w:rPr>
              <w:t>Note: Purpose, such as the</w:t>
            </w:r>
            <w:r w:rsidRPr="008A66C5">
              <w:rPr>
                <w:rFonts w:ascii="Times New Roman" w:eastAsia="DengXian" w:hAnsi="Times New Roman" w:cs="Times New Roman"/>
                <w:sz w:val="20"/>
                <w:szCs w:val="20"/>
                <w:lang w:eastAsia="zh-CN"/>
              </w:rPr>
              <w:t xml:space="preserve"> training</w:t>
            </w:r>
            <w:r w:rsidRPr="008A66C5">
              <w:rPr>
                <w:rFonts w:ascii="Times New Roman" w:hAnsi="Times New Roman" w:cs="Times New Roman"/>
                <w:sz w:val="20"/>
                <w:szCs w:val="20"/>
              </w:rPr>
              <w:t xml:space="preserve"> data collection</w:t>
            </w:r>
            <w:r w:rsidRPr="008A66C5">
              <w:rPr>
                <w:rFonts w:ascii="Times New Roman" w:eastAsia="DengXian" w:hAnsi="Times New Roman" w:cs="Times New Roman"/>
                <w:sz w:val="20"/>
                <w:szCs w:val="20"/>
                <w:lang w:eastAsia="zh-CN"/>
              </w:rPr>
              <w:t>,</w:t>
            </w:r>
            <w:r w:rsidRPr="008A66C5">
              <w:rPr>
                <w:rFonts w:ascii="Times New Roman" w:hAnsi="Times New Roman" w:cs="Times New Roman"/>
                <w:sz w:val="20"/>
                <w:szCs w:val="20"/>
              </w:rPr>
              <w:t xml:space="preserve"> monitoring, or inference procedures mentioned above, will not necessarily be specified in RAN 1 specifications</w:t>
            </w:r>
          </w:p>
          <w:p w14:paraId="53D9CB61" w14:textId="77777777" w:rsidR="00DE5F43" w:rsidRPr="008A66C5" w:rsidRDefault="00DE5F43" w:rsidP="008A66C5">
            <w:pPr>
              <w:spacing w:after="0"/>
              <w:rPr>
                <w:rFonts w:ascii="Times New Roman" w:eastAsia="DengXian" w:hAnsi="Times New Roman" w:cs="Times New Roman"/>
                <w:b/>
                <w:bCs/>
                <w:sz w:val="20"/>
                <w:szCs w:val="20"/>
                <w:highlight w:val="green"/>
                <w:lang w:eastAsia="zh-CN"/>
              </w:rPr>
            </w:pPr>
            <w:r w:rsidRPr="008A66C5">
              <w:rPr>
                <w:rFonts w:ascii="Times New Roman" w:eastAsia="DengXian" w:hAnsi="Times New Roman" w:cs="Times New Roman"/>
                <w:b/>
                <w:bCs/>
                <w:sz w:val="20"/>
                <w:szCs w:val="20"/>
                <w:highlight w:val="green"/>
                <w:lang w:eastAsia="zh-CN"/>
              </w:rPr>
              <w:t>Agreement</w:t>
            </w:r>
          </w:p>
          <w:p w14:paraId="655C364E" w14:textId="77777777" w:rsidR="00DE5F43" w:rsidRPr="008A66C5" w:rsidRDefault="00DE5F43" w:rsidP="008A66C5">
            <w:pPr>
              <w:spacing w:after="0"/>
              <w:rPr>
                <w:rFonts w:ascii="Times New Roman" w:hAnsi="Times New Roman" w:cs="Times New Roman"/>
                <w:sz w:val="20"/>
                <w:szCs w:val="20"/>
              </w:rPr>
            </w:pPr>
            <w:r w:rsidRPr="008A66C5">
              <w:rPr>
                <w:rFonts w:ascii="Times New Roman" w:hAnsi="Times New Roman" w:cs="Times New Roman"/>
                <w:sz w:val="20"/>
                <w:szCs w:val="20"/>
              </w:rPr>
              <w:t xml:space="preserve">For AI/ML assisted positioning Case 3a, at least LOS/NLOS indicator and/or timing information are supported for reporting. </w:t>
            </w:r>
          </w:p>
          <w:p w14:paraId="1D9C4806" w14:textId="77777777" w:rsidR="00DE5F43" w:rsidRPr="008A66C5" w:rsidRDefault="00DE5F43" w:rsidP="005925D5">
            <w:pPr>
              <w:pStyle w:val="ListParagraph"/>
              <w:widowControl w:val="0"/>
              <w:numPr>
                <w:ilvl w:val="0"/>
                <w:numId w:val="55"/>
              </w:numPr>
              <w:jc w:val="both"/>
              <w:rPr>
                <w:rFonts w:ascii="Times New Roman" w:hAnsi="Times New Roman" w:cs="Times New Roman"/>
                <w:sz w:val="20"/>
              </w:rPr>
            </w:pPr>
            <w:r w:rsidRPr="008A66C5">
              <w:rPr>
                <w:rFonts w:ascii="Times New Roman" w:hAnsi="Times New Roman" w:cs="Times New Roman"/>
                <w:sz w:val="20"/>
              </w:rPr>
              <w:t>If LOS/NLOS indicator is reported, the indicator can be reported as soft indicator or hard indicator as defined in 38.214.</w:t>
            </w:r>
          </w:p>
          <w:p w14:paraId="0F83C10F" w14:textId="77777777" w:rsidR="00DE5F43" w:rsidRPr="008A66C5" w:rsidRDefault="00DE5F43" w:rsidP="005925D5">
            <w:pPr>
              <w:pStyle w:val="ListParagraph"/>
              <w:widowControl w:val="0"/>
              <w:numPr>
                <w:ilvl w:val="0"/>
                <w:numId w:val="55"/>
              </w:numPr>
              <w:jc w:val="both"/>
              <w:rPr>
                <w:rFonts w:ascii="Times New Roman" w:hAnsi="Times New Roman" w:cs="Times New Roman"/>
                <w:sz w:val="20"/>
              </w:rPr>
            </w:pPr>
            <w:r w:rsidRPr="008A66C5">
              <w:rPr>
                <w:rFonts w:ascii="Times New Roman" w:hAnsi="Times New Roman" w:cs="Times New Roman"/>
                <w:sz w:val="20"/>
              </w:rPr>
              <w:t xml:space="preserve">If timing information is reported, the timing information at least can be reported via UL RTOA or </w:t>
            </w:r>
            <w:proofErr w:type="spellStart"/>
            <w:r w:rsidRPr="008A66C5">
              <w:rPr>
                <w:rFonts w:ascii="Times New Roman" w:hAnsi="Times New Roman" w:cs="Times New Roman"/>
                <w:sz w:val="20"/>
              </w:rPr>
              <w:t>gNB</w:t>
            </w:r>
            <w:proofErr w:type="spellEnd"/>
            <w:r w:rsidRPr="008A66C5">
              <w:rPr>
                <w:rFonts w:ascii="Times New Roman" w:hAnsi="Times New Roman" w:cs="Times New Roman"/>
                <w:sz w:val="20"/>
              </w:rPr>
              <w:t xml:space="preserve"> Rx-Tx time difference as defined in 38.215.</w:t>
            </w:r>
          </w:p>
          <w:p w14:paraId="4C921CBD" w14:textId="77777777" w:rsidR="00DE5F43" w:rsidRPr="008A66C5" w:rsidRDefault="00DE5F43" w:rsidP="005925D5">
            <w:pPr>
              <w:pStyle w:val="ListParagraph"/>
              <w:widowControl w:val="0"/>
              <w:numPr>
                <w:ilvl w:val="0"/>
                <w:numId w:val="55"/>
              </w:numPr>
              <w:jc w:val="both"/>
              <w:rPr>
                <w:rFonts w:ascii="Times New Roman" w:hAnsi="Times New Roman" w:cs="Times New Roman"/>
                <w:sz w:val="20"/>
              </w:rPr>
            </w:pPr>
            <w:r w:rsidRPr="008A66C5">
              <w:rPr>
                <w:rFonts w:ascii="Times New Roman" w:hAnsi="Times New Roman" w:cs="Times New Roman"/>
                <w:sz w:val="20"/>
              </w:rPr>
              <w:t>Note: details of the report are pending further discussion.</w:t>
            </w:r>
          </w:p>
          <w:p w14:paraId="1C6552A8" w14:textId="77777777" w:rsidR="00DE5F43" w:rsidRPr="008A66C5" w:rsidRDefault="00DE5F43" w:rsidP="008A66C5">
            <w:pPr>
              <w:spacing w:after="0"/>
              <w:rPr>
                <w:rFonts w:ascii="Times New Roman" w:hAnsi="Times New Roman" w:cs="Times New Roman"/>
                <w:sz w:val="20"/>
                <w:szCs w:val="20"/>
              </w:rPr>
            </w:pPr>
          </w:p>
        </w:tc>
      </w:tr>
    </w:tbl>
    <w:p w14:paraId="60394D7B" w14:textId="77777777" w:rsidR="005E23EB" w:rsidRDefault="005E23EB" w:rsidP="00F50D06"/>
    <w:p w14:paraId="0092C1E3" w14:textId="28EFF95D" w:rsidR="009C1353" w:rsidRDefault="009C1353" w:rsidP="00F50D06">
      <w:r>
        <w:t xml:space="preserve">RAN3 further confirmed </w:t>
      </w:r>
      <w:r w:rsidR="00FF784A">
        <w:t>that legacy methods were re-used for case 3</w:t>
      </w:r>
      <w:r w:rsidR="00F67CEF">
        <w:t>a</w:t>
      </w:r>
      <w:r w:rsidR="00FF784A">
        <w:t>:</w:t>
      </w:r>
    </w:p>
    <w:tbl>
      <w:tblPr>
        <w:tblStyle w:val="TableGrid"/>
        <w:tblW w:w="0" w:type="auto"/>
        <w:tblLook w:val="04A0" w:firstRow="1" w:lastRow="0" w:firstColumn="1" w:lastColumn="0" w:noHBand="0" w:noVBand="1"/>
      </w:tblPr>
      <w:tblGrid>
        <w:gridCol w:w="9962"/>
      </w:tblGrid>
      <w:tr w:rsidR="00FF784A" w14:paraId="4B7B33BE" w14:textId="77777777" w:rsidTr="00FF784A">
        <w:tc>
          <w:tcPr>
            <w:tcW w:w="9962" w:type="dxa"/>
          </w:tcPr>
          <w:p w14:paraId="14C1306E" w14:textId="12E5504C" w:rsidR="00FF784A" w:rsidRPr="00B53CFF" w:rsidRDefault="00FF784A" w:rsidP="00B53CFF">
            <w:pPr>
              <w:tabs>
                <w:tab w:val="left" w:pos="3516"/>
              </w:tabs>
              <w:spacing w:after="0"/>
              <w:contextualSpacing/>
              <w:rPr>
                <w:rFonts w:eastAsia="SimSun" w:cs="Calibri"/>
                <w:b/>
                <w:color w:val="008000"/>
                <w:kern w:val="24"/>
                <w:sz w:val="20"/>
                <w:szCs w:val="20"/>
                <w14:ligatures w14:val="none"/>
              </w:rPr>
            </w:pPr>
            <w:r w:rsidRPr="00B53CFF">
              <w:rPr>
                <w:rFonts w:eastAsia="SimSun" w:cs="Calibri"/>
                <w:b/>
                <w:color w:val="008000"/>
                <w:kern w:val="24"/>
                <w:sz w:val="20"/>
                <w:szCs w:val="20"/>
                <w14:ligatures w14:val="none"/>
              </w:rPr>
              <w:t>RAN3 agreement, RAN3#126</w:t>
            </w:r>
          </w:p>
          <w:p w14:paraId="79BC6760" w14:textId="77777777" w:rsidR="00FF784A" w:rsidRPr="00B53CFF" w:rsidRDefault="00FF784A" w:rsidP="00FF784A">
            <w:pPr>
              <w:spacing w:after="0"/>
              <w:contextualSpacing/>
              <w:rPr>
                <w:rFonts w:eastAsia="SimSun" w:cs="Calibri"/>
                <w:b/>
                <w:color w:val="008000"/>
                <w:kern w:val="24"/>
                <w:sz w:val="20"/>
                <w:szCs w:val="20"/>
                <w14:ligatures w14:val="none"/>
              </w:rPr>
            </w:pPr>
          </w:p>
          <w:p w14:paraId="10313998" w14:textId="690F9329" w:rsidR="00FF784A" w:rsidRPr="00B53CFF" w:rsidRDefault="00FF784A" w:rsidP="00B53CFF">
            <w:pPr>
              <w:spacing w:after="0"/>
              <w:contextualSpacing/>
              <w:rPr>
                <w:sz w:val="20"/>
                <w:szCs w:val="20"/>
              </w:rPr>
            </w:pPr>
            <w:proofErr w:type="spellStart"/>
            <w:r w:rsidRPr="00B53CFF">
              <w:rPr>
                <w:rFonts w:eastAsia="SimSun" w:cs="Calibri"/>
                <w:b/>
                <w:color w:val="008000"/>
                <w:kern w:val="24"/>
                <w:sz w:val="20"/>
                <w:szCs w:val="20"/>
                <w14:ligatures w14:val="none"/>
              </w:rPr>
              <w:t>Signalling</w:t>
            </w:r>
            <w:proofErr w:type="spellEnd"/>
            <w:r w:rsidRPr="00B53CFF">
              <w:rPr>
                <w:rFonts w:eastAsia="SimSun" w:cs="Calibri"/>
                <w:b/>
                <w:color w:val="008000"/>
                <w:kern w:val="24"/>
                <w:sz w:val="20"/>
                <w:szCs w:val="20"/>
                <w14:ligatures w14:val="none"/>
              </w:rPr>
              <w:t xml:space="preserve"> of measurements as the inference output for case 3a can re-use the existing procedures for positioning measurement specified over </w:t>
            </w:r>
            <w:proofErr w:type="spellStart"/>
            <w:r w:rsidRPr="00B53CFF">
              <w:rPr>
                <w:rFonts w:eastAsia="SimSun" w:cs="Calibri"/>
                <w:b/>
                <w:color w:val="008000"/>
                <w:kern w:val="24"/>
                <w:sz w:val="20"/>
                <w:szCs w:val="20"/>
                <w14:ligatures w14:val="none"/>
              </w:rPr>
              <w:t>NRPPa</w:t>
            </w:r>
            <w:proofErr w:type="spellEnd"/>
            <w:r w:rsidRPr="00B53CFF">
              <w:rPr>
                <w:rFonts w:eastAsia="SimSun" w:cs="Calibri"/>
                <w:b/>
                <w:color w:val="008000"/>
                <w:kern w:val="24"/>
                <w:sz w:val="20"/>
                <w:szCs w:val="20"/>
                <w14:ligatures w14:val="none"/>
              </w:rPr>
              <w:t>.</w:t>
            </w:r>
          </w:p>
        </w:tc>
      </w:tr>
    </w:tbl>
    <w:p w14:paraId="5852066A" w14:textId="77777777" w:rsidR="00FF784A" w:rsidRDefault="00FF784A" w:rsidP="00F50D06"/>
    <w:p w14:paraId="107C7725" w14:textId="3D75F577" w:rsidR="00F50D06" w:rsidRDefault="005E23EB" w:rsidP="00F50D06">
      <w:r>
        <w:lastRenderedPageBreak/>
        <w:t xml:space="preserve">Even though some measurement reporting </w:t>
      </w:r>
      <w:r w:rsidR="00E2448C">
        <w:t>has been</w:t>
      </w:r>
      <w:r>
        <w:t xml:space="preserve"> agreed, </w:t>
      </w:r>
      <w:r w:rsidR="005C7796">
        <w:t>it was not clarified</w:t>
      </w:r>
      <w:r>
        <w:t xml:space="preserve"> what </w:t>
      </w:r>
      <w:r w:rsidR="00754BBA">
        <w:t xml:space="preserve">legacy </w:t>
      </w:r>
      <w:r>
        <w:t xml:space="preserve">method should be </w:t>
      </w:r>
      <w:r w:rsidR="008B3A63">
        <w:t>used as a baseline for</w:t>
      </w:r>
      <w:r>
        <w:t xml:space="preserve"> </w:t>
      </w:r>
      <w:r w:rsidR="005C7796">
        <w:t>C</w:t>
      </w:r>
      <w:r>
        <w:t>ase</w:t>
      </w:r>
      <w:r w:rsidR="00552016">
        <w:t xml:space="preserve"> 3a. </w:t>
      </w:r>
      <w:r>
        <w:t xml:space="preserve"> </w:t>
      </w:r>
      <w:r w:rsidR="00F50D06">
        <w:t>For this RAN1 should consider the following:</w:t>
      </w:r>
    </w:p>
    <w:p w14:paraId="11F377D3" w14:textId="77777777" w:rsidR="00F50D06" w:rsidRPr="00E215F0" w:rsidRDefault="00F50D06" w:rsidP="00F50D06">
      <w:pPr>
        <w:pStyle w:val="ListParagraph"/>
        <w:numPr>
          <w:ilvl w:val="0"/>
          <w:numId w:val="14"/>
        </w:numPr>
      </w:pPr>
      <w:r w:rsidRPr="00E215F0">
        <w:t>The</w:t>
      </w:r>
      <w:r>
        <w:t xml:space="preserve"> Rel-18</w:t>
      </w:r>
      <w:r w:rsidRPr="00E215F0">
        <w:t xml:space="preserve"> study item phase of the AI</w:t>
      </w:r>
      <w:r>
        <w:t>/</w:t>
      </w:r>
      <w:r w:rsidRPr="00E215F0">
        <w:t xml:space="preserve">ML positioning work focused on time-based methods.  </w:t>
      </w:r>
    </w:p>
    <w:p w14:paraId="444881AA" w14:textId="77777777" w:rsidR="00F50D06" w:rsidRPr="00194B5B" w:rsidRDefault="00F50D06" w:rsidP="00F50D06">
      <w:pPr>
        <w:pStyle w:val="ListParagraph"/>
        <w:numPr>
          <w:ilvl w:val="0"/>
          <w:numId w:val="14"/>
        </w:numPr>
      </w:pPr>
      <w:r>
        <w:t>P</w:t>
      </w:r>
      <w:r w:rsidRPr="006F6085">
        <w:t xml:space="preserve">ositioning </w:t>
      </w:r>
      <w:r w:rsidRPr="00E215F0">
        <w:t>methods</w:t>
      </w:r>
      <w:r w:rsidRPr="006F6085">
        <w:t xml:space="preserve"> and enhancements introduced in </w:t>
      </w:r>
      <w:r>
        <w:t>R</w:t>
      </w:r>
      <w:r w:rsidRPr="006F6085">
        <w:t>el</w:t>
      </w:r>
      <w:r>
        <w:t>-</w:t>
      </w:r>
      <w:r w:rsidRPr="006F6085">
        <w:t xml:space="preserve">18 </w:t>
      </w:r>
      <w:r>
        <w:t xml:space="preserve">study item </w:t>
      </w:r>
      <w:r w:rsidRPr="006F6085">
        <w:t xml:space="preserve">have not been </w:t>
      </w:r>
      <w:r>
        <w:t>investigated thoroughly for specification</w:t>
      </w:r>
      <w:r w:rsidRPr="006F6085">
        <w:t>.</w:t>
      </w:r>
    </w:p>
    <w:p w14:paraId="0199C04D" w14:textId="6E4ADA88" w:rsidR="00F50D06" w:rsidRDefault="00F50D06" w:rsidP="00FA4B81">
      <w:r>
        <w:t>Based on the lack of studies on angle-based methods, it is reasonable to</w:t>
      </w:r>
      <w:r>
        <w:rPr>
          <w:rFonts w:cs="Arial"/>
        </w:rPr>
        <w:t xml:space="preserve"> focus only on time-based positioning methods that use the reported AI/ML model output as </w:t>
      </w:r>
      <w:r w:rsidR="009E283D">
        <w:rPr>
          <w:rFonts w:cs="Arial"/>
        </w:rPr>
        <w:t>model input, i.e.</w:t>
      </w:r>
      <w:r w:rsidRPr="00E215F0">
        <w:t xml:space="preserve"> UL-DTOA</w:t>
      </w:r>
      <w:r w:rsidR="009E283D">
        <w:t xml:space="preserve"> and </w:t>
      </w:r>
      <w:r w:rsidRPr="00E215F0">
        <w:t>Multi-RT</w:t>
      </w:r>
      <w:r w:rsidR="009E283D">
        <w:t xml:space="preserve">T. </w:t>
      </w:r>
      <w:proofErr w:type="gramStart"/>
      <w:r w:rsidR="009E283D">
        <w:t>Thus</w:t>
      </w:r>
      <w:proofErr w:type="gramEnd"/>
      <w:r w:rsidR="009E283D">
        <w:t xml:space="preserve"> </w:t>
      </w:r>
      <w:r>
        <w:t>the above agreement</w:t>
      </w:r>
      <w:r w:rsidR="002C51F6">
        <w:t xml:space="preserve"> and conclusion</w:t>
      </w:r>
      <w:r>
        <w:t xml:space="preserve"> are sufficient for defining model output types of assisted positioning. </w:t>
      </w:r>
      <w:r w:rsidR="009E283D">
        <w:t xml:space="preserve"> </w:t>
      </w:r>
      <w:r w:rsidR="008B3A63">
        <w:t>O</w:t>
      </w:r>
      <w:r w:rsidR="00FA4B81">
        <w:t>ther types of measurements, such as angle measurements</w:t>
      </w:r>
      <w:r w:rsidR="008B3A63">
        <w:t>,</w:t>
      </w:r>
      <w:r w:rsidR="00FA4B81">
        <w:t xml:space="preserve"> </w:t>
      </w:r>
      <w:r>
        <w:t>were not thoroughly evaluated in Rel-18 SI</w:t>
      </w:r>
      <w:r w:rsidR="008B3A63">
        <w:t xml:space="preserve"> and should not be considered for Rel-19</w:t>
      </w:r>
      <w:r>
        <w:t xml:space="preserve">.  </w:t>
      </w:r>
    </w:p>
    <w:p w14:paraId="018B865D" w14:textId="02B7607E" w:rsidR="00DE5F43" w:rsidRDefault="00DE5F43" w:rsidP="00DE5F43">
      <w:r>
        <w:t xml:space="preserve">Based on the agreements, RAN1 should assume that the procedures for UL-RTOA and multi RTT should be the basis for </w:t>
      </w:r>
      <w:r w:rsidR="009C3EA7">
        <w:t>C</w:t>
      </w:r>
      <w:r>
        <w:t>ase 3a.</w:t>
      </w:r>
      <w:r w:rsidR="009C3F5F">
        <w:t xml:space="preserve">  </w:t>
      </w:r>
      <w:r w:rsidR="009C3EA7">
        <w:t>S</w:t>
      </w:r>
      <w:r w:rsidR="0018099A">
        <w:t xml:space="preserve">ome of the </w:t>
      </w:r>
      <w:proofErr w:type="spellStart"/>
      <w:r w:rsidR="00BB1032">
        <w:t>signalling</w:t>
      </w:r>
      <w:proofErr w:type="spellEnd"/>
      <w:r w:rsidR="00BB1032">
        <w:t xml:space="preserve"> requests and reports </w:t>
      </w:r>
      <w:r w:rsidR="0018099A">
        <w:t xml:space="preserve">in the procedure may need further extension to properly support the </w:t>
      </w:r>
      <w:r w:rsidR="00756788">
        <w:t xml:space="preserve">training and </w:t>
      </w:r>
      <w:r w:rsidR="00BB1032">
        <w:t>operation</w:t>
      </w:r>
      <w:r w:rsidR="0018099A">
        <w:t xml:space="preserve"> of an AI model in the </w:t>
      </w:r>
      <w:proofErr w:type="spellStart"/>
      <w:r w:rsidR="0018099A">
        <w:t>gNB</w:t>
      </w:r>
      <w:proofErr w:type="spellEnd"/>
      <w:r w:rsidR="00756788">
        <w:rPr>
          <w:rFonts w:hint="eastAsia"/>
        </w:rPr>
        <w:t>/TRP</w:t>
      </w:r>
      <w:r w:rsidR="00CA7DD7">
        <w:t>.</w:t>
      </w:r>
    </w:p>
    <w:p w14:paraId="1EDD5E52" w14:textId="48AE9435" w:rsidR="00203864" w:rsidRPr="0037719E" w:rsidRDefault="00710408" w:rsidP="00E2448C">
      <w:pPr>
        <w:pStyle w:val="Proposal"/>
        <w:tabs>
          <w:tab w:val="clear" w:pos="1304"/>
        </w:tabs>
        <w:ind w:left="1701" w:hanging="1701"/>
      </w:pPr>
      <w:bookmarkStart w:id="32" w:name="_Toc189845098"/>
      <w:r>
        <w:t xml:space="preserve">RAN1 assumes </w:t>
      </w:r>
      <w:r w:rsidR="00203864" w:rsidRPr="0037719E">
        <w:t xml:space="preserve">Case </w:t>
      </w:r>
      <w:r w:rsidR="00203864">
        <w:t>3a</w:t>
      </w:r>
      <w:r w:rsidR="00203864" w:rsidRPr="0037719E">
        <w:t xml:space="preserve"> </w:t>
      </w:r>
      <w:r>
        <w:t>is supported</w:t>
      </w:r>
      <w:r w:rsidR="00203864" w:rsidRPr="0037719E">
        <w:t xml:space="preserve"> using</w:t>
      </w:r>
      <w:r w:rsidR="00203864">
        <w:t xml:space="preserve"> </w:t>
      </w:r>
      <w:r w:rsidR="00DC31D3">
        <w:t>UL</w:t>
      </w:r>
      <w:r w:rsidR="00362F09">
        <w:t>-</w:t>
      </w:r>
      <w:r w:rsidR="00DC31D3">
        <w:t xml:space="preserve">TDOA </w:t>
      </w:r>
      <w:r w:rsidR="00BB5AF6">
        <w:t>or multi RTT</w:t>
      </w:r>
      <w:r w:rsidR="00203864">
        <w:t xml:space="preserve"> </w:t>
      </w:r>
      <w:r w:rsidR="00203864" w:rsidRPr="0037719E">
        <w:t xml:space="preserve">procedure as a foundation. </w:t>
      </w:r>
      <w:r w:rsidR="000D22B1">
        <w:t xml:space="preserve">It is up to RAN3 to decide whether a set of new procedure is to be defined for Case 3a, or extension to existing procedure suffices. </w:t>
      </w:r>
      <w:r w:rsidR="00E2448C">
        <w:t>RAN1 c</w:t>
      </w:r>
      <w:r w:rsidR="00203864" w:rsidRPr="0037719E">
        <w:t>onfirm</w:t>
      </w:r>
      <w:r w:rsidR="00E2448C">
        <w:t>s</w:t>
      </w:r>
      <w:r w:rsidR="00203864" w:rsidRPr="0037719E">
        <w:t xml:space="preserve"> the understanding with RAN2</w:t>
      </w:r>
      <w:r w:rsidR="00203864">
        <w:t xml:space="preserve"> and RAN3</w:t>
      </w:r>
      <w:r w:rsidR="00E2448C">
        <w:t>.</w:t>
      </w:r>
      <w:bookmarkEnd w:id="32"/>
    </w:p>
    <w:p w14:paraId="17F3767F" w14:textId="11DC20BD" w:rsidR="00D04467" w:rsidRPr="0037719E" w:rsidRDefault="00D04467" w:rsidP="00D04467">
      <w:pPr>
        <w:pStyle w:val="Heading2"/>
        <w:rPr>
          <w:lang w:val="en-US"/>
        </w:rPr>
      </w:pPr>
      <w:bookmarkStart w:id="33" w:name="_Toc189845009"/>
      <w:r>
        <w:rPr>
          <w:lang w:val="en-US"/>
        </w:rPr>
        <w:t>Case with AI</w:t>
      </w:r>
      <w:r w:rsidR="00703205">
        <w:rPr>
          <w:lang w:val="en-US"/>
        </w:rPr>
        <w:t>/</w:t>
      </w:r>
      <w:r>
        <w:rPr>
          <w:lang w:val="en-US"/>
        </w:rPr>
        <w:t>ML model hosted in the LMF (</w:t>
      </w:r>
      <w:r w:rsidR="008600BA">
        <w:rPr>
          <w:lang w:val="en-US"/>
        </w:rPr>
        <w:t xml:space="preserve">case </w:t>
      </w:r>
      <w:r>
        <w:rPr>
          <w:lang w:val="en-US"/>
        </w:rPr>
        <w:t>3b)</w:t>
      </w:r>
      <w:bookmarkEnd w:id="33"/>
    </w:p>
    <w:p w14:paraId="6EE82E65" w14:textId="6D9BE9FC" w:rsidR="0064689C" w:rsidRDefault="00D04467" w:rsidP="00FE0482">
      <w:r>
        <w:t>For</w:t>
      </w:r>
      <w:r w:rsidR="000D22B1">
        <w:t xml:space="preserve"> model inference of</w:t>
      </w:r>
      <w:r>
        <w:t xml:space="preserve"> </w:t>
      </w:r>
      <w:r w:rsidR="000D22B1">
        <w:t>C</w:t>
      </w:r>
      <w:r>
        <w:t xml:space="preserve">ase 2b and 3b, the LMF requests measurements and </w:t>
      </w:r>
      <w:r w:rsidR="00133062">
        <w:t>runs it</w:t>
      </w:r>
      <w:r w:rsidR="000D22B1">
        <w:t>s</w:t>
      </w:r>
      <w:r w:rsidR="00133062">
        <w:t xml:space="preserve"> own model. </w:t>
      </w:r>
      <w:r w:rsidR="0064689C">
        <w:t xml:space="preserve"> </w:t>
      </w:r>
    </w:p>
    <w:p w14:paraId="4EFE5A07" w14:textId="77777777" w:rsidR="00A67CD3" w:rsidRDefault="0064689C" w:rsidP="00FE0482">
      <w:r>
        <w:t xml:space="preserve">For </w:t>
      </w:r>
      <w:r w:rsidR="000D22B1">
        <w:t>C</w:t>
      </w:r>
      <w:r>
        <w:t>ase 3b, the framework in RAN3 is flexible enough to be reused</w:t>
      </w:r>
      <w:r w:rsidR="000D22B1">
        <w:t xml:space="preserve">. </w:t>
      </w:r>
      <w:r w:rsidR="00A67CD3">
        <w:t xml:space="preserve">RAN1 agreed to support both sample and </w:t>
      </w:r>
      <w:proofErr w:type="gramStart"/>
      <w:r w:rsidR="00A67CD3">
        <w:t>path based</w:t>
      </w:r>
      <w:proofErr w:type="gramEnd"/>
      <w:r w:rsidR="00A67CD3">
        <w:t xml:space="preserve"> timing measurements in RAN1#119:</w:t>
      </w:r>
    </w:p>
    <w:tbl>
      <w:tblPr>
        <w:tblStyle w:val="TableGrid"/>
        <w:tblW w:w="0" w:type="auto"/>
        <w:tblLook w:val="04A0" w:firstRow="1" w:lastRow="0" w:firstColumn="1" w:lastColumn="0" w:noHBand="0" w:noVBand="1"/>
      </w:tblPr>
      <w:tblGrid>
        <w:gridCol w:w="9962"/>
      </w:tblGrid>
      <w:tr w:rsidR="00A67CD3" w14:paraId="7A3A2AB5" w14:textId="77777777" w:rsidTr="00A67CD3">
        <w:tc>
          <w:tcPr>
            <w:tcW w:w="9962" w:type="dxa"/>
          </w:tcPr>
          <w:p w14:paraId="758CB012" w14:textId="77777777" w:rsidR="00F94F77" w:rsidRPr="00B03E32" w:rsidRDefault="00F94F77" w:rsidP="00F94F77">
            <w:pPr>
              <w:rPr>
                <w:rFonts w:eastAsia="DengXian"/>
                <w:highlight w:val="green"/>
                <w:lang w:eastAsia="zh-CN"/>
              </w:rPr>
            </w:pPr>
            <w:r w:rsidRPr="00B03E32">
              <w:rPr>
                <w:rFonts w:eastAsia="DengXian" w:hint="eastAsia"/>
                <w:highlight w:val="green"/>
                <w:lang w:eastAsia="zh-CN"/>
              </w:rPr>
              <w:t>Agreement</w:t>
            </w:r>
          </w:p>
          <w:p w14:paraId="314BA717" w14:textId="77777777" w:rsidR="00F94F77" w:rsidRPr="000B3D68" w:rsidRDefault="00F94F77" w:rsidP="00F94F77">
            <w:r w:rsidRPr="002A4CE6">
              <w:t xml:space="preserve">For Rel-19 AI/ML based positioning, </w:t>
            </w:r>
            <w:r w:rsidRPr="002A4CE6">
              <w:rPr>
                <w:rFonts w:hint="eastAsia"/>
              </w:rPr>
              <w:t xml:space="preserve">for </w:t>
            </w:r>
            <w:r>
              <w:t>C</w:t>
            </w:r>
            <w:r w:rsidRPr="002A4CE6">
              <w:rPr>
                <w:rFonts w:hint="eastAsia"/>
              </w:rPr>
              <w:t xml:space="preserve">ase 3b, in addition to path-based measurement that is </w:t>
            </w:r>
            <w:r w:rsidRPr="002A4CE6">
              <w:rPr>
                <w:lang w:eastAsia="x-none"/>
              </w:rPr>
              <w:t>refer</w:t>
            </w:r>
            <w:r w:rsidRPr="002A4CE6">
              <w:rPr>
                <w:rFonts w:hint="eastAsia"/>
              </w:rPr>
              <w:t>ring</w:t>
            </w:r>
            <w:r w:rsidRPr="002A4CE6">
              <w:rPr>
                <w:lang w:eastAsia="x-none"/>
              </w:rPr>
              <w:t xml:space="preserve"> to the measurement in the existing specifications (up to Rel-18)</w:t>
            </w:r>
            <w:r w:rsidRPr="002A4CE6">
              <w:rPr>
                <w:rFonts w:hint="eastAsia"/>
              </w:rPr>
              <w:t xml:space="preserve">, additionally support </w:t>
            </w:r>
            <w:r w:rsidRPr="002A4CE6">
              <w:t xml:space="preserve">the following </w:t>
            </w:r>
            <w:r w:rsidRPr="002A4CE6">
              <w:rPr>
                <w:rFonts w:hint="eastAsia"/>
              </w:rPr>
              <w:t>enhancement to the measurement</w:t>
            </w:r>
            <w:r w:rsidRPr="002A4CE6">
              <w:t>,</w:t>
            </w:r>
            <w:r w:rsidRPr="000B3D68">
              <w:t xml:space="preserve"> </w:t>
            </w:r>
          </w:p>
          <w:p w14:paraId="3E55DD45" w14:textId="77777777" w:rsidR="00F94F77" w:rsidRPr="000B3D68" w:rsidRDefault="00F94F77" w:rsidP="00F94F77">
            <w:pPr>
              <w:widowControl w:val="0"/>
              <w:numPr>
                <w:ilvl w:val="0"/>
                <w:numId w:val="64"/>
              </w:numPr>
              <w:suppressAutoHyphens/>
              <w:spacing w:after="80"/>
            </w:pPr>
            <w:r w:rsidRPr="000B3D68">
              <w:t xml:space="preserve">The measurement is composed of </w:t>
            </w:r>
            <w:proofErr w:type="spellStart"/>
            <w:r w:rsidRPr="000B3D68">
              <w:t>N</w:t>
            </w:r>
            <w:r w:rsidRPr="007B60EB">
              <w:rPr>
                <w:vertAlign w:val="subscript"/>
              </w:rPr>
              <w:t>t</w:t>
            </w:r>
            <w:proofErr w:type="spellEnd"/>
            <w:r w:rsidRPr="000B3D68">
              <w:t>' values</w:t>
            </w:r>
            <w:r w:rsidRPr="000B3D68">
              <w:rPr>
                <w:rFonts w:hint="eastAsia"/>
              </w:rPr>
              <w:t xml:space="preserve"> </w:t>
            </w:r>
            <w:r w:rsidRPr="000B3D68">
              <w:t xml:space="preserve">of the estimated channel response in time domain. The </w:t>
            </w:r>
            <w:proofErr w:type="spellStart"/>
            <w:r w:rsidRPr="000B3D68">
              <w:t>N</w:t>
            </w:r>
            <w:r w:rsidRPr="007B60EB">
              <w:rPr>
                <w:vertAlign w:val="subscript"/>
              </w:rPr>
              <w:t>t</w:t>
            </w:r>
            <w:proofErr w:type="spellEnd"/>
            <w:r w:rsidRPr="000B3D68">
              <w:t xml:space="preserve">’ values are selected from a list of </w:t>
            </w:r>
            <w:proofErr w:type="spellStart"/>
            <w:r w:rsidRPr="000B3D68">
              <w:t>N</w:t>
            </w:r>
            <w:r w:rsidRPr="000B3D68">
              <w:rPr>
                <w:vertAlign w:val="subscript"/>
              </w:rPr>
              <w:t>t</w:t>
            </w:r>
            <w:proofErr w:type="spellEnd"/>
            <w:r w:rsidRPr="000B3D68">
              <w:t xml:space="preserve"> consecutive channel response values, which have timing granularity T. </w:t>
            </w:r>
          </w:p>
          <w:p w14:paraId="7F167794" w14:textId="77777777" w:rsidR="00F94F77" w:rsidRPr="000B3D68" w:rsidRDefault="00F94F77" w:rsidP="00F94F77">
            <w:pPr>
              <w:widowControl w:val="0"/>
              <w:numPr>
                <w:ilvl w:val="0"/>
                <w:numId w:val="64"/>
              </w:numPr>
              <w:suppressAutoHyphens/>
              <w:spacing w:after="80"/>
            </w:pPr>
            <w:r w:rsidRPr="000B3D68">
              <w:t xml:space="preserve">The timing information for the </w:t>
            </w:r>
            <w:proofErr w:type="spellStart"/>
            <w:r w:rsidRPr="000B3D68">
              <w:t>N</w:t>
            </w:r>
            <w:r w:rsidRPr="000B3D68">
              <w:rPr>
                <w:vertAlign w:val="subscript"/>
              </w:rPr>
              <w:t>t</w:t>
            </w:r>
            <w:proofErr w:type="spellEnd"/>
            <w:r w:rsidRPr="000B3D68">
              <w:t>' values are reported with a timing granularity T, where T=2</w:t>
            </w:r>
            <w:r w:rsidRPr="000B3D68">
              <w:rPr>
                <w:vertAlign w:val="superscript"/>
              </w:rPr>
              <w:t>k</w:t>
            </w:r>
            <w:r w:rsidRPr="000B3D68">
              <w:t>xT</w:t>
            </w:r>
            <w:r w:rsidRPr="000B3D68">
              <w:rPr>
                <w:vertAlign w:val="subscript"/>
              </w:rPr>
              <w:t>c</w:t>
            </w:r>
            <w:r w:rsidRPr="000B3D68">
              <w:t>. k represents the timing reporting granularity factor. T</w:t>
            </w:r>
            <w:r w:rsidRPr="000B3D68">
              <w:rPr>
                <w:vertAlign w:val="subscript"/>
              </w:rPr>
              <w:t>c</w:t>
            </w:r>
            <w:r w:rsidRPr="000B3D68">
              <w:t xml:space="preserve"> is the basic time unit for NR. </w:t>
            </w:r>
          </w:p>
          <w:p w14:paraId="1BF66EF7" w14:textId="77777777" w:rsidR="00F94F77" w:rsidRPr="000B3D68" w:rsidRDefault="00F94F77" w:rsidP="00F94F77">
            <w:pPr>
              <w:widowControl w:val="0"/>
              <w:numPr>
                <w:ilvl w:val="1"/>
                <w:numId w:val="64"/>
              </w:numPr>
              <w:suppressAutoHyphens/>
              <w:spacing w:after="80"/>
            </w:pPr>
            <w:r w:rsidRPr="000B3D68">
              <w:t xml:space="preserve">The associated measurement (e.g., power if reported) corresponds to the measurement for the reported </w:t>
            </w:r>
            <w:proofErr w:type="spellStart"/>
            <w:r w:rsidRPr="000B3D68">
              <w:t>N</w:t>
            </w:r>
            <w:r w:rsidRPr="007B60EB">
              <w:rPr>
                <w:vertAlign w:val="subscript"/>
              </w:rPr>
              <w:t>t</w:t>
            </w:r>
            <w:proofErr w:type="spellEnd"/>
            <w:r w:rsidRPr="000B3D68">
              <w:t>' values.</w:t>
            </w:r>
          </w:p>
          <w:p w14:paraId="580BB97E" w14:textId="77777777" w:rsidR="00F94F77" w:rsidRPr="000B3D68" w:rsidRDefault="00F94F77" w:rsidP="00F94F77">
            <w:pPr>
              <w:pStyle w:val="ListParagraph"/>
              <w:widowControl w:val="0"/>
              <w:numPr>
                <w:ilvl w:val="0"/>
                <w:numId w:val="64"/>
              </w:numPr>
              <w:tabs>
                <w:tab w:val="clear" w:pos="0"/>
              </w:tabs>
              <w:suppressAutoHyphens w:val="0"/>
              <w:spacing w:after="80"/>
            </w:pPr>
            <w:r w:rsidRPr="000B3D68">
              <w:t xml:space="preserve">The </w:t>
            </w:r>
            <w:r w:rsidRPr="000B3D68">
              <w:rPr>
                <w:rFonts w:hint="eastAsia"/>
              </w:rPr>
              <w:t>timing information is</w:t>
            </w:r>
            <w:r w:rsidRPr="000B3D68">
              <w:t xml:space="preserve"> defined relative to a reference time</w:t>
            </w:r>
            <w:r w:rsidRPr="000B3D68">
              <w:rPr>
                <w:rFonts w:eastAsia="DengXian" w:hint="eastAsia"/>
              </w:rPr>
              <w:t xml:space="preserve">, same as the path-based </w:t>
            </w:r>
            <w:r w:rsidRPr="000B3D68">
              <w:rPr>
                <w:rFonts w:eastAsia="DengXian" w:hint="eastAsia"/>
              </w:rPr>
              <w:lastRenderedPageBreak/>
              <w:t>measurement</w:t>
            </w:r>
            <w:r w:rsidRPr="000B3D68">
              <w:t xml:space="preserve">. </w:t>
            </w:r>
          </w:p>
          <w:p w14:paraId="54D806B7" w14:textId="77777777" w:rsidR="00F94F77" w:rsidRPr="000B3D68" w:rsidRDefault="00F94F77" w:rsidP="00F94F77">
            <w:pPr>
              <w:widowControl w:val="0"/>
              <w:numPr>
                <w:ilvl w:val="0"/>
                <w:numId w:val="64"/>
              </w:numPr>
              <w:suppressAutoHyphens/>
              <w:spacing w:after="80"/>
            </w:pPr>
            <w:r w:rsidRPr="000B3D68">
              <w:t xml:space="preserve">The </w:t>
            </w:r>
            <w:proofErr w:type="spellStart"/>
            <w:r w:rsidRPr="000B3D68">
              <w:t>N</w:t>
            </w:r>
            <w:r w:rsidRPr="000B3D68">
              <w:rPr>
                <w:vertAlign w:val="subscript"/>
              </w:rPr>
              <w:t>t</w:t>
            </w:r>
            <w:proofErr w:type="spellEnd"/>
            <w:r w:rsidRPr="000B3D68">
              <w:t>’ selected time domain channel measurement values are expected to be those with the highest power.</w:t>
            </w:r>
          </w:p>
          <w:p w14:paraId="7E86828D" w14:textId="77777777" w:rsidR="00F94F77" w:rsidRPr="000B3D68" w:rsidRDefault="00F94F77" w:rsidP="00F94F77">
            <w:pPr>
              <w:widowControl w:val="0"/>
              <w:numPr>
                <w:ilvl w:val="0"/>
                <w:numId w:val="64"/>
              </w:numPr>
              <w:suppressAutoHyphens/>
              <w:spacing w:after="80"/>
            </w:pPr>
            <w:r w:rsidRPr="000B3D68">
              <w:t xml:space="preserve">The starting time of the list of </w:t>
            </w:r>
            <w:proofErr w:type="spellStart"/>
            <w:r w:rsidRPr="000B3D68">
              <w:t>N</w:t>
            </w:r>
            <w:r w:rsidRPr="000B3D68">
              <w:rPr>
                <w:vertAlign w:val="subscript"/>
              </w:rPr>
              <w:t>t</w:t>
            </w:r>
            <w:proofErr w:type="spellEnd"/>
            <w:r w:rsidRPr="000B3D68">
              <w:t xml:space="preserve"> consecutive values is determined as: starting time = first detected path rounded down with timing granularity T</w:t>
            </w:r>
            <w:r w:rsidRPr="000B3D68">
              <w:rPr>
                <w:rFonts w:eastAsia="Calibri"/>
              </w:rPr>
              <w:t>.</w:t>
            </w:r>
          </w:p>
          <w:p w14:paraId="094B66E5" w14:textId="77777777" w:rsidR="00F94F77" w:rsidRPr="002A4CE6" w:rsidRDefault="00F94F77" w:rsidP="00F94F77">
            <w:pPr>
              <w:widowControl w:val="0"/>
              <w:numPr>
                <w:ilvl w:val="0"/>
                <w:numId w:val="64"/>
              </w:numPr>
              <w:suppressAutoHyphens/>
              <w:spacing w:after="80"/>
            </w:pPr>
            <w:r w:rsidRPr="002A4CE6">
              <w:t xml:space="preserve">LMF </w:t>
            </w:r>
            <w:r w:rsidRPr="002A4CE6">
              <w:rPr>
                <w:rFonts w:hint="eastAsia"/>
              </w:rPr>
              <w:t xml:space="preserve">can </w:t>
            </w:r>
            <w:r w:rsidRPr="002A4CE6">
              <w:t xml:space="preserve">signal parameter values of </w:t>
            </w:r>
            <w:proofErr w:type="spellStart"/>
            <w:r w:rsidRPr="002A4CE6">
              <w:t>N</w:t>
            </w:r>
            <w:r w:rsidRPr="002A4CE6">
              <w:rPr>
                <w:vertAlign w:val="subscript"/>
              </w:rPr>
              <w:t>t</w:t>
            </w:r>
            <w:proofErr w:type="spellEnd"/>
            <w:r w:rsidRPr="002A4CE6">
              <w:t xml:space="preserve">, </w:t>
            </w:r>
            <w:proofErr w:type="spellStart"/>
            <w:r w:rsidRPr="002A4CE6">
              <w:t>N</w:t>
            </w:r>
            <w:r w:rsidRPr="002A4CE6">
              <w:rPr>
                <w:vertAlign w:val="subscript"/>
              </w:rPr>
              <w:t>t</w:t>
            </w:r>
            <w:proofErr w:type="spellEnd"/>
            <w:r w:rsidRPr="002A4CE6">
              <w:t xml:space="preserve">', k to </w:t>
            </w:r>
            <w:proofErr w:type="spellStart"/>
            <w:r w:rsidRPr="002A4CE6">
              <w:t>gNB</w:t>
            </w:r>
            <w:proofErr w:type="spellEnd"/>
            <w:r w:rsidRPr="002A4CE6">
              <w:t xml:space="preserve"> via </w:t>
            </w:r>
            <w:proofErr w:type="spellStart"/>
            <w:r w:rsidRPr="002A4CE6">
              <w:t>NRPPa</w:t>
            </w:r>
            <w:proofErr w:type="spellEnd"/>
            <w:r w:rsidRPr="002A4CE6">
              <w:t>. Candi</w:t>
            </w:r>
            <w:r w:rsidRPr="002A4CE6">
              <w:rPr>
                <w:rFonts w:hint="eastAsia"/>
              </w:rPr>
              <w:t>d</w:t>
            </w:r>
            <w:r w:rsidRPr="002A4CE6">
              <w:t>ate set values:</w:t>
            </w:r>
          </w:p>
          <w:p w14:paraId="2CB7027C" w14:textId="77777777" w:rsidR="00F94F77" w:rsidRPr="00B03E32" w:rsidRDefault="00F94F77" w:rsidP="00F94F77">
            <w:pPr>
              <w:widowControl w:val="0"/>
              <w:numPr>
                <w:ilvl w:val="1"/>
                <w:numId w:val="64"/>
              </w:numPr>
              <w:suppressAutoHyphens/>
              <w:spacing w:after="80"/>
            </w:pPr>
            <w:proofErr w:type="spellStart"/>
            <w:r w:rsidRPr="00B03E32">
              <w:t>N</w:t>
            </w:r>
            <w:r w:rsidRPr="00B03E32">
              <w:rPr>
                <w:vertAlign w:val="subscript"/>
              </w:rPr>
              <w:t>t</w:t>
            </w:r>
            <w:proofErr w:type="spellEnd"/>
            <w:r w:rsidRPr="00B03E32">
              <w:t xml:space="preserve">'&lt;=24. </w:t>
            </w:r>
            <w:r w:rsidRPr="00B03E32">
              <w:rPr>
                <w:rFonts w:hint="eastAsia"/>
              </w:rPr>
              <w:t>FFS:</w:t>
            </w:r>
            <w:r w:rsidRPr="00B03E32">
              <w:t xml:space="preserve"> </w:t>
            </w:r>
            <w:proofErr w:type="spellStart"/>
            <w:r w:rsidRPr="00B03E32">
              <w:t>N</w:t>
            </w:r>
            <w:r w:rsidRPr="00B03E32">
              <w:rPr>
                <w:vertAlign w:val="subscript"/>
              </w:rPr>
              <w:t>t</w:t>
            </w:r>
            <w:proofErr w:type="spellEnd"/>
            <w:r w:rsidRPr="00B03E32">
              <w:t>' values.</w:t>
            </w:r>
            <w:r w:rsidRPr="00B03E32">
              <w:rPr>
                <w:rFonts w:hint="eastAsia"/>
              </w:rPr>
              <w:t xml:space="preserve"> </w:t>
            </w:r>
            <w:r w:rsidRPr="00B03E32">
              <w:t xml:space="preserve"> </w:t>
            </w:r>
          </w:p>
          <w:p w14:paraId="03E717BB" w14:textId="77777777" w:rsidR="00F94F77" w:rsidRPr="002A4CE6" w:rsidRDefault="00F94F77" w:rsidP="00F94F77">
            <w:pPr>
              <w:widowControl w:val="0"/>
              <w:numPr>
                <w:ilvl w:val="1"/>
                <w:numId w:val="64"/>
              </w:numPr>
              <w:suppressAutoHyphens/>
              <w:spacing w:after="80"/>
            </w:pPr>
            <w:proofErr w:type="spellStart"/>
            <w:r w:rsidRPr="002A4CE6">
              <w:t>N</w:t>
            </w:r>
            <w:r w:rsidRPr="002A4CE6">
              <w:rPr>
                <w:vertAlign w:val="subscript"/>
              </w:rPr>
              <w:t>t</w:t>
            </w:r>
            <w:proofErr w:type="spellEnd"/>
            <w:r w:rsidRPr="002A4CE6">
              <w:t xml:space="preserve"> = {32, 64, 128}</w:t>
            </w:r>
          </w:p>
          <w:p w14:paraId="53861BC0" w14:textId="77777777" w:rsidR="00F94F77" w:rsidRPr="002A4CE6" w:rsidRDefault="00F94F77" w:rsidP="00F94F77">
            <w:pPr>
              <w:widowControl w:val="0"/>
              <w:numPr>
                <w:ilvl w:val="1"/>
                <w:numId w:val="64"/>
              </w:numPr>
              <w:suppressAutoHyphens/>
              <w:spacing w:after="80"/>
            </w:pPr>
            <w:r w:rsidRPr="002A4CE6">
              <w:rPr>
                <w:rFonts w:hint="eastAsia"/>
              </w:rPr>
              <w:t xml:space="preserve">FFS: </w:t>
            </w:r>
            <w:r w:rsidRPr="002A4CE6">
              <w:t xml:space="preserve">k </w:t>
            </w:r>
          </w:p>
          <w:p w14:paraId="5AE38524" w14:textId="77777777" w:rsidR="00F94F77" w:rsidRPr="002A4CE6" w:rsidRDefault="00F94F77" w:rsidP="00F94F77">
            <w:pPr>
              <w:widowControl w:val="0"/>
              <w:numPr>
                <w:ilvl w:val="1"/>
                <w:numId w:val="64"/>
              </w:numPr>
              <w:suppressAutoHyphens/>
              <w:spacing w:after="80"/>
            </w:pPr>
            <w:r w:rsidRPr="002A4CE6">
              <w:t xml:space="preserve">The </w:t>
            </w:r>
            <w:proofErr w:type="spellStart"/>
            <w:r w:rsidRPr="002A4CE6">
              <w:t>gNB</w:t>
            </w:r>
            <w:proofErr w:type="spellEnd"/>
            <w:r w:rsidRPr="002A4CE6">
              <w:t xml:space="preserve">/TRP may use different </w:t>
            </w:r>
            <w:proofErr w:type="spellStart"/>
            <w:r w:rsidRPr="002A4CE6">
              <w:t>N</w:t>
            </w:r>
            <w:r w:rsidRPr="002A4CE6">
              <w:rPr>
                <w:vertAlign w:val="subscript"/>
              </w:rPr>
              <w:t>t</w:t>
            </w:r>
            <w:proofErr w:type="spellEnd"/>
            <w:r w:rsidRPr="002A4CE6">
              <w:t>'</w:t>
            </w:r>
            <w:r w:rsidRPr="002A4CE6">
              <w:rPr>
                <w:rFonts w:hint="eastAsia"/>
              </w:rPr>
              <w:t xml:space="preserve">, </w:t>
            </w:r>
            <w:proofErr w:type="spellStart"/>
            <w:r w:rsidRPr="002A4CE6">
              <w:t>N</w:t>
            </w:r>
            <w:r w:rsidRPr="002A4CE6">
              <w:rPr>
                <w:vertAlign w:val="subscript"/>
              </w:rPr>
              <w:t>t</w:t>
            </w:r>
            <w:proofErr w:type="spellEnd"/>
            <w:r w:rsidRPr="002A4CE6">
              <w:t xml:space="preserve"> and/or k values other than the </w:t>
            </w:r>
            <w:proofErr w:type="spellStart"/>
            <w:r w:rsidRPr="002A4CE6">
              <w:t>signalled</w:t>
            </w:r>
            <w:proofErr w:type="spellEnd"/>
            <w:r w:rsidRPr="002A4CE6">
              <w:t xml:space="preserve"> parameter for measurement reporting. In this case, it’s up to LMF implementation to process the reported measurement</w:t>
            </w:r>
          </w:p>
          <w:p w14:paraId="6577A199" w14:textId="77777777" w:rsidR="00F94F77" w:rsidRPr="00ED030B" w:rsidRDefault="00F94F77" w:rsidP="00F94F77">
            <w:pPr>
              <w:widowControl w:val="0"/>
              <w:numPr>
                <w:ilvl w:val="0"/>
                <w:numId w:val="64"/>
              </w:numPr>
              <w:tabs>
                <w:tab w:val="left" w:pos="720"/>
              </w:tabs>
              <w:suppressAutoHyphens/>
              <w:spacing w:after="80"/>
              <w:rPr>
                <w:color w:val="0070C0"/>
              </w:rPr>
            </w:pPr>
            <w:r w:rsidRPr="00ED030B">
              <w:rPr>
                <w:rFonts w:hint="eastAsia"/>
                <w:color w:val="0070C0"/>
              </w:rPr>
              <w:t xml:space="preserve">FFS: whether transmit offset from </w:t>
            </w:r>
            <w:proofErr w:type="spellStart"/>
            <w:r w:rsidRPr="00ED030B">
              <w:rPr>
                <w:rFonts w:hint="eastAsia"/>
                <w:color w:val="0070C0"/>
              </w:rPr>
              <w:t>gNB</w:t>
            </w:r>
            <w:proofErr w:type="spellEnd"/>
            <w:r w:rsidRPr="00ED030B">
              <w:rPr>
                <w:rFonts w:hint="eastAsia"/>
                <w:color w:val="0070C0"/>
              </w:rPr>
              <w:t xml:space="preserve"> to LMF</w:t>
            </w:r>
          </w:p>
          <w:p w14:paraId="397F5D86" w14:textId="77777777" w:rsidR="00F94F77" w:rsidRPr="000B3D68" w:rsidRDefault="00F94F77" w:rsidP="00F94F77">
            <w:r w:rsidRPr="000B3D68">
              <w:t>Note: measurement by UE is a separate discussion.</w:t>
            </w:r>
          </w:p>
          <w:p w14:paraId="2C6A0478" w14:textId="1B71431B" w:rsidR="00A67CD3" w:rsidRDefault="00F94F77" w:rsidP="00FE0482">
            <w:r w:rsidRPr="000B3D68">
              <w:t xml:space="preserve">Note: the purpose of the time domain channel measurements, such as for Rel-19 AI/ML based positioning, is not specified </w:t>
            </w:r>
          </w:p>
        </w:tc>
      </w:tr>
    </w:tbl>
    <w:p w14:paraId="75ABDFAA" w14:textId="77777777" w:rsidR="00A67CD3" w:rsidRDefault="00A67CD3" w:rsidP="00FE0482"/>
    <w:p w14:paraId="6CBF29B1" w14:textId="3115EF03" w:rsidR="006C2536" w:rsidRDefault="000D22B1" w:rsidP="00FE0482">
      <w:r>
        <w:t>H</w:t>
      </w:r>
      <w:r w:rsidR="0002459D">
        <w:t>owever, for sample</w:t>
      </w:r>
      <w:r w:rsidR="00302959">
        <w:t>-</w:t>
      </w:r>
      <w:r w:rsidR="0002459D">
        <w:t xml:space="preserve">based reporting, the </w:t>
      </w:r>
      <w:proofErr w:type="spellStart"/>
      <w:proofErr w:type="gramStart"/>
      <w:r w:rsidR="003175DC">
        <w:t>gNB</w:t>
      </w:r>
      <w:proofErr w:type="spellEnd"/>
      <w:r w:rsidR="003175DC">
        <w:t xml:space="preserve">  </w:t>
      </w:r>
      <w:proofErr w:type="spellStart"/>
      <w:r w:rsidR="003175DC">
        <w:t>behaviour</w:t>
      </w:r>
      <w:proofErr w:type="spellEnd"/>
      <w:proofErr w:type="gramEnd"/>
      <w:r w:rsidR="003175DC">
        <w:t xml:space="preserve"> should be clarified</w:t>
      </w:r>
      <w:r>
        <w:t>,</w:t>
      </w:r>
      <w:r w:rsidR="003C14B5">
        <w:t xml:space="preserve"> i.e. how the LMF request</w:t>
      </w:r>
      <w:r w:rsidR="002B65AA">
        <w:t>s</w:t>
      </w:r>
      <w:r w:rsidR="003C14B5">
        <w:t xml:space="preserve"> sample</w:t>
      </w:r>
      <w:r>
        <w:t>-</w:t>
      </w:r>
      <w:r w:rsidR="003C14B5">
        <w:t xml:space="preserve">based measurements. </w:t>
      </w:r>
      <w:r w:rsidR="00170EC3">
        <w:t xml:space="preserve"> From the RAN1 perspective, it should be sufficient to </w:t>
      </w:r>
      <w:r w:rsidR="00D14BD5">
        <w:t xml:space="preserve">assume </w:t>
      </w:r>
      <w:r w:rsidR="007A246B">
        <w:t xml:space="preserve">it is possible </w:t>
      </w:r>
      <w:r w:rsidR="00025CF2">
        <w:t>for the LMF to specifically request sample</w:t>
      </w:r>
      <w:r w:rsidR="00302959">
        <w:t>-</w:t>
      </w:r>
      <w:r w:rsidR="00025CF2">
        <w:t>based measurements and is able to differentiate legacy</w:t>
      </w:r>
      <w:r w:rsidR="00302959">
        <w:t xml:space="preserve"> measurement</w:t>
      </w:r>
      <w:r w:rsidR="00025CF2">
        <w:t xml:space="preserve"> reports</w:t>
      </w:r>
      <w:r w:rsidR="00302959">
        <w:t xml:space="preserve"> (i.e., path-based)</w:t>
      </w:r>
      <w:r w:rsidR="00025CF2">
        <w:t xml:space="preserve"> from </w:t>
      </w:r>
      <w:r w:rsidR="00302959">
        <w:t>C</w:t>
      </w:r>
      <w:r w:rsidR="00025CF2">
        <w:t>ase 3b reports with sample</w:t>
      </w:r>
      <w:r w:rsidR="00302959">
        <w:t>-</w:t>
      </w:r>
      <w:r w:rsidR="00025CF2">
        <w:t>based measurements.</w:t>
      </w:r>
      <w:r w:rsidR="006C2536">
        <w:t xml:space="preserve"> </w:t>
      </w:r>
      <w:r w:rsidR="00A92565">
        <w:t>We discuss the use of such indicators in section 3.1.</w:t>
      </w:r>
      <w:r w:rsidR="00E167C5">
        <w:t xml:space="preserve"> </w:t>
      </w:r>
      <w:r w:rsidR="00302959">
        <w:t>N</w:t>
      </w:r>
      <w:r w:rsidR="00E167C5">
        <w:t>ote that h</w:t>
      </w:r>
      <w:r w:rsidR="006C2536">
        <w:t xml:space="preserve">ow the procedure is implemented is up to RAN3. </w:t>
      </w:r>
    </w:p>
    <w:p w14:paraId="529687D2" w14:textId="3D2A2970" w:rsidR="00CA1FF0" w:rsidRDefault="00CA1FF0" w:rsidP="000D22B1">
      <w:pPr>
        <w:pStyle w:val="Proposal"/>
        <w:tabs>
          <w:tab w:val="clear" w:pos="1304"/>
        </w:tabs>
        <w:ind w:left="1701" w:hanging="1701"/>
      </w:pPr>
      <w:bookmarkStart w:id="34" w:name="_Toc189845099"/>
      <w:r>
        <w:t xml:space="preserve">RAN1 assumes </w:t>
      </w:r>
      <w:r w:rsidR="000B0F7D">
        <w:t xml:space="preserve">that for </w:t>
      </w:r>
      <w:r w:rsidRPr="0037719E">
        <w:t xml:space="preserve">Case </w:t>
      </w:r>
      <w:r>
        <w:t>3b</w:t>
      </w:r>
      <w:r w:rsidRPr="0037719E">
        <w:t xml:space="preserve"> </w:t>
      </w:r>
      <w:r w:rsidR="003B0D71">
        <w:t xml:space="preserve">with </w:t>
      </w:r>
      <w:r w:rsidR="002B65AA">
        <w:t>sample-based</w:t>
      </w:r>
      <w:r w:rsidR="003B0D71">
        <w:t xml:space="preserve"> reporting </w:t>
      </w:r>
      <w:r w:rsidR="00D0419A">
        <w:t>enhancements, measurement</w:t>
      </w:r>
      <w:r w:rsidR="000B0F7D">
        <w:t xml:space="preserve"> report with sample</w:t>
      </w:r>
      <w:r w:rsidR="00E70DE4">
        <w:t>-</w:t>
      </w:r>
      <w:r w:rsidR="000B0F7D">
        <w:t>based reporting can be differ</w:t>
      </w:r>
      <w:r w:rsidR="00295214">
        <w:t xml:space="preserve">entiated by the involved nodes (LMF, </w:t>
      </w:r>
      <w:proofErr w:type="spellStart"/>
      <w:r w:rsidR="00295214">
        <w:t>gNB</w:t>
      </w:r>
      <w:proofErr w:type="spellEnd"/>
      <w:r w:rsidR="00295214">
        <w:t>) from the legacy UL RTOA measurement requests / reports.</w:t>
      </w:r>
      <w:r w:rsidR="000D22B1">
        <w:t xml:space="preserve"> RAN1 c</w:t>
      </w:r>
      <w:r w:rsidRPr="0037719E">
        <w:t>onfirm the understanding with RAN2</w:t>
      </w:r>
      <w:r>
        <w:t xml:space="preserve"> and RAN3</w:t>
      </w:r>
      <w:r w:rsidR="000D22B1">
        <w:t>.</w:t>
      </w:r>
      <w:bookmarkEnd w:id="34"/>
    </w:p>
    <w:p w14:paraId="7E90397E" w14:textId="499DB7DE" w:rsidR="001B0F2D" w:rsidRPr="0081078D" w:rsidRDefault="0081078D" w:rsidP="001B0F2D">
      <w:pPr>
        <w:pStyle w:val="Heading1"/>
        <w:rPr>
          <w:lang w:val="en-US"/>
        </w:rPr>
      </w:pPr>
      <w:bookmarkStart w:id="35" w:name="_Toc178704934"/>
      <w:bookmarkStart w:id="36" w:name="_Toc178705836"/>
      <w:bookmarkStart w:id="37" w:name="_Toc178708814"/>
      <w:bookmarkStart w:id="38" w:name="_Toc178772536"/>
      <w:bookmarkStart w:id="39" w:name="_Toc178929510"/>
      <w:bookmarkStart w:id="40" w:name="_Toc178704935"/>
      <w:bookmarkStart w:id="41" w:name="_Toc178705837"/>
      <w:bookmarkStart w:id="42" w:name="_Toc178708815"/>
      <w:bookmarkStart w:id="43" w:name="_Toc178772537"/>
      <w:bookmarkStart w:id="44" w:name="_Toc178929511"/>
      <w:bookmarkStart w:id="45" w:name="_Toc178704936"/>
      <w:bookmarkStart w:id="46" w:name="_Toc178705838"/>
      <w:bookmarkStart w:id="47" w:name="_Toc178708816"/>
      <w:bookmarkStart w:id="48" w:name="_Toc178772538"/>
      <w:bookmarkStart w:id="49" w:name="_Toc178929512"/>
      <w:bookmarkStart w:id="50" w:name="_Toc18984501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E215F0">
        <w:rPr>
          <w:lang w:val="en-US"/>
        </w:rPr>
        <w:t>Signaling enhancement for model input</w:t>
      </w:r>
      <w:r>
        <w:rPr>
          <w:lang w:val="en-US"/>
        </w:rPr>
        <w:t>s</w:t>
      </w:r>
      <w:bookmarkEnd w:id="2"/>
      <w:bookmarkEnd w:id="50"/>
    </w:p>
    <w:p w14:paraId="1ED4CA70" w14:textId="31788A3C" w:rsidR="0018196F" w:rsidRDefault="00F5693F" w:rsidP="0018196F">
      <w:r>
        <w:t>In th</w:t>
      </w:r>
      <w:r w:rsidR="00963C8B">
        <w:t>is</w:t>
      </w:r>
      <w:r>
        <w:t xml:space="preserve"> </w:t>
      </w:r>
      <w:r w:rsidR="008A5F27">
        <w:t>Section</w:t>
      </w:r>
      <w:r>
        <w:t xml:space="preserve">, we </w:t>
      </w:r>
      <w:r w:rsidR="00963C8B">
        <w:t>investigate the issues</w:t>
      </w:r>
      <w:r w:rsidR="009C07F3">
        <w:t xml:space="preserve"> related to model input.</w:t>
      </w:r>
      <w:r w:rsidR="00397CA4">
        <w:t xml:space="preserve"> </w:t>
      </w:r>
      <w:r w:rsidR="00A63A8D">
        <w:t xml:space="preserve">We </w:t>
      </w:r>
      <w:r w:rsidR="0007370E">
        <w:t xml:space="preserve">first </w:t>
      </w:r>
      <w:r w:rsidR="00A63A8D">
        <w:t>note that, f</w:t>
      </w:r>
      <w:r w:rsidR="0018196F">
        <w:t xml:space="preserve">or the </w:t>
      </w:r>
      <w:r w:rsidR="00950A13">
        <w:t xml:space="preserve">following two </w:t>
      </w:r>
      <w:r w:rsidR="0018196F">
        <w:t>positioning cases</w:t>
      </w:r>
      <w:r w:rsidR="00950A13">
        <w:t xml:space="preserve"> with UE-side model</w:t>
      </w:r>
      <w:r w:rsidR="0018196F">
        <w:t>:</w:t>
      </w:r>
    </w:p>
    <w:p w14:paraId="1D6F9995" w14:textId="77777777" w:rsidR="00950A13" w:rsidRPr="00E215F0" w:rsidRDefault="00950A13" w:rsidP="00863182">
      <w:pPr>
        <w:pStyle w:val="ListParagraph"/>
        <w:numPr>
          <w:ilvl w:val="0"/>
          <w:numId w:val="19"/>
        </w:numPr>
      </w:pPr>
      <w:r w:rsidRPr="00E215F0">
        <w:lastRenderedPageBreak/>
        <w:t>(1st priority) Case 1: UE-based positioning with UE-side model, direct AI/ML positioning</w:t>
      </w:r>
    </w:p>
    <w:p w14:paraId="6466E5F4" w14:textId="77777777" w:rsidR="0018196F" w:rsidRPr="00E215F0" w:rsidRDefault="0018196F" w:rsidP="00863182">
      <w:pPr>
        <w:pStyle w:val="ListParagraph"/>
        <w:numPr>
          <w:ilvl w:val="0"/>
          <w:numId w:val="19"/>
        </w:numPr>
      </w:pPr>
      <w:r w:rsidRPr="00E215F0">
        <w:t>(2nd priority) Case 2a: UE-assisted/LMF-based positioning with UE-side model, AI/ML assisted positioning</w:t>
      </w:r>
    </w:p>
    <w:p w14:paraId="58132874" w14:textId="273F5AF2" w:rsidR="00B01843" w:rsidRDefault="0018196F" w:rsidP="0018196F">
      <w:r>
        <w:t xml:space="preserve">the measurement </w:t>
      </w:r>
      <w:r w:rsidR="00950A13">
        <w:t>generation process is</w:t>
      </w:r>
      <w:r>
        <w:t xml:space="preserve"> collocated with the AI/ML models. The exact details of the model inputs are </w:t>
      </w:r>
      <w:r w:rsidR="00CC49C1">
        <w:t xml:space="preserve">largely </w:t>
      </w:r>
      <w:r>
        <w:t>implementation issues.</w:t>
      </w:r>
      <w:r w:rsidR="00CC49C1">
        <w:t xml:space="preserve"> There is no need to specify model input for </w:t>
      </w:r>
      <w:r w:rsidR="006E3734">
        <w:t xml:space="preserve">model </w:t>
      </w:r>
      <w:r w:rsidR="00CC49C1">
        <w:t>inference stage. Whether model input need any specification work for training data collection can be further discussed.</w:t>
      </w:r>
    </w:p>
    <w:p w14:paraId="4AA6473F" w14:textId="1B9795F8" w:rsidR="00B247BF" w:rsidRDefault="00D30D12" w:rsidP="00F17FE1">
      <w:pPr>
        <w:pStyle w:val="Observation"/>
      </w:pPr>
      <w:bookmarkStart w:id="51" w:name="_Toc161827802"/>
      <w:bookmarkStart w:id="52" w:name="_Toc189845059"/>
      <w:r>
        <w:t xml:space="preserve">For </w:t>
      </w:r>
      <w:r w:rsidR="00AB594E">
        <w:t>C</w:t>
      </w:r>
      <w:r>
        <w:t>ase 1/2a</w:t>
      </w:r>
      <w:r w:rsidR="007061D5">
        <w:t xml:space="preserve"> (</w:t>
      </w:r>
      <w:r w:rsidR="00FE19CB">
        <w:t xml:space="preserve">i.e., </w:t>
      </w:r>
      <w:r w:rsidR="007061D5">
        <w:t>UE-side model),</w:t>
      </w:r>
      <w:r>
        <w:t xml:space="preserve"> channel </w:t>
      </w:r>
      <w:r w:rsidR="007061D5">
        <w:t>measurement generation process is</w:t>
      </w:r>
      <w:r>
        <w:t xml:space="preserve"> collocated </w:t>
      </w:r>
      <w:r w:rsidR="009D2FAD">
        <w:t xml:space="preserve">in the same node </w:t>
      </w:r>
      <w:r>
        <w:t xml:space="preserve">with the AI/ML models. </w:t>
      </w:r>
      <w:r w:rsidR="00084935">
        <w:t xml:space="preserve">The exact details of the model inputs are implementation issues </w:t>
      </w:r>
      <w:r w:rsidR="004B42C5">
        <w:t xml:space="preserve">at least </w:t>
      </w:r>
      <w:r w:rsidR="00CC49C1">
        <w:t>for model inference</w:t>
      </w:r>
      <w:r w:rsidR="00084935">
        <w:t>.</w:t>
      </w:r>
      <w:bookmarkEnd w:id="51"/>
      <w:bookmarkEnd w:id="52"/>
    </w:p>
    <w:p w14:paraId="22535CAC" w14:textId="29EC3BE1" w:rsidR="0018196F" w:rsidRDefault="0018196F" w:rsidP="0018196F">
      <w:r>
        <w:t xml:space="preserve">For the two </w:t>
      </w:r>
      <w:r w:rsidR="007061D5">
        <w:t xml:space="preserve">direct </w:t>
      </w:r>
      <w:r>
        <w:t>AI/ML positioning cases:</w:t>
      </w:r>
    </w:p>
    <w:p w14:paraId="13601CD4" w14:textId="77777777" w:rsidR="00373428" w:rsidRPr="00E215F0" w:rsidRDefault="00373428" w:rsidP="00863182">
      <w:pPr>
        <w:pStyle w:val="ListParagraph"/>
        <w:numPr>
          <w:ilvl w:val="0"/>
          <w:numId w:val="19"/>
        </w:numPr>
      </w:pPr>
      <w:r w:rsidRPr="00E215F0">
        <w:t>(1st priority) Case 3b: NG-RAN node assisted positioning with LMF-side model, direct AI/ML positioning</w:t>
      </w:r>
    </w:p>
    <w:p w14:paraId="7316FB89" w14:textId="77777777" w:rsidR="0018196F" w:rsidRPr="00E215F0" w:rsidRDefault="0018196F" w:rsidP="00863182">
      <w:pPr>
        <w:pStyle w:val="ListParagraph"/>
        <w:numPr>
          <w:ilvl w:val="0"/>
          <w:numId w:val="19"/>
        </w:numPr>
      </w:pPr>
      <w:r w:rsidRPr="00E215F0">
        <w:t>(2nd priority) Case 2b: UE-assisted/LMF-based positioning with LMF-side model, direct AI/ML positioning</w:t>
      </w:r>
    </w:p>
    <w:p w14:paraId="0DD47746" w14:textId="7F35205F" w:rsidR="008D5D26" w:rsidRDefault="0018196F" w:rsidP="0018196F">
      <w:r>
        <w:t xml:space="preserve">the measurements obtained at one node </w:t>
      </w:r>
      <w:r w:rsidR="00AC5470">
        <w:t xml:space="preserve">(i.e., </w:t>
      </w:r>
      <w:proofErr w:type="spellStart"/>
      <w:r w:rsidR="00AC5470">
        <w:t>gNB</w:t>
      </w:r>
      <w:proofErr w:type="spellEnd"/>
      <w:r w:rsidR="00AC5470">
        <w:t xml:space="preserve"> or UE) </w:t>
      </w:r>
      <w:r>
        <w:t xml:space="preserve">need to be </w:t>
      </w:r>
      <w:r w:rsidR="007061D5">
        <w:t>signaled</w:t>
      </w:r>
      <w:r>
        <w:t xml:space="preserve"> to a second node</w:t>
      </w:r>
      <w:r w:rsidR="00BD4BF0">
        <w:t xml:space="preserve"> (i.e., LMF)</w:t>
      </w:r>
      <w:r>
        <w:t xml:space="preserve"> that applies the AI/ML models.</w:t>
      </w:r>
      <w:r w:rsidR="0087009F">
        <w:t xml:space="preserve"> </w:t>
      </w:r>
      <w:proofErr w:type="gramStart"/>
      <w:r w:rsidR="0087009F">
        <w:t>Thus</w:t>
      </w:r>
      <w:proofErr w:type="gramEnd"/>
      <w:r w:rsidR="0087009F">
        <w:t xml:space="preserve"> model input need to be specified at least for Case 3b/2b</w:t>
      </w:r>
      <w:r w:rsidR="00EF2CE5">
        <w:t>, and there is a need to clarify the model input formats</w:t>
      </w:r>
      <w:r w:rsidR="0087009F">
        <w:t>.</w:t>
      </w:r>
      <w:r w:rsidR="00034C3C">
        <w:t xml:space="preserve"> </w:t>
      </w:r>
    </w:p>
    <w:p w14:paraId="29ECE70A" w14:textId="17EA7F30" w:rsidR="008D5D26" w:rsidRDefault="008D5D26" w:rsidP="00F17FE1">
      <w:pPr>
        <w:pStyle w:val="Observation"/>
      </w:pPr>
      <w:bookmarkStart w:id="53" w:name="_Toc161827803"/>
      <w:bookmarkStart w:id="54" w:name="_Toc189845060"/>
      <w:r>
        <w:t xml:space="preserve">For Case 3b (1st priority) and Case 2b (2nd priority), </w:t>
      </w:r>
      <w:r w:rsidR="002F1168">
        <w:t xml:space="preserve">due to the LMF sided </w:t>
      </w:r>
      <w:r w:rsidR="00C724BB">
        <w:t xml:space="preserve">model, </w:t>
      </w:r>
      <w:r>
        <w:t>there is a need to clarify the target model input formats to be supported</w:t>
      </w:r>
      <w:r w:rsidR="00A26B79">
        <w:t xml:space="preserve"> </w:t>
      </w:r>
      <w:r w:rsidR="005E33CA">
        <w:t xml:space="preserve">for the </w:t>
      </w:r>
      <w:r w:rsidR="00B4685A">
        <w:t>AI/ML positioning models</w:t>
      </w:r>
      <w:r>
        <w:t>.</w:t>
      </w:r>
      <w:bookmarkEnd w:id="53"/>
      <w:bookmarkEnd w:id="54"/>
    </w:p>
    <w:p w14:paraId="36B2B3C8" w14:textId="415A140F" w:rsidR="00F16396" w:rsidRDefault="00A644F5" w:rsidP="0018196F">
      <w:r>
        <w:t>For the 1</w:t>
      </w:r>
      <w:r w:rsidRPr="00DC32F9">
        <w:rPr>
          <w:vertAlign w:val="superscript"/>
        </w:rPr>
        <w:t>st</w:t>
      </w:r>
      <w:r>
        <w:t xml:space="preserve"> priority Case 3a, the need to specify channel measurements for model input depends on the node that hosts the AI/ML model, as discussed in section </w:t>
      </w:r>
      <w:r w:rsidR="00D13F25">
        <w:t>3.7</w:t>
      </w:r>
      <w:r>
        <w:t xml:space="preserve">. If the need is confirmed by RAN3, the </w:t>
      </w:r>
      <w:r w:rsidR="0047624F">
        <w:t xml:space="preserve">same </w:t>
      </w:r>
      <w:r>
        <w:t xml:space="preserve">design choices made for Case 2b/3b can be applied to Case 3a as well. </w:t>
      </w:r>
      <w:r w:rsidR="00E21362">
        <w:t>Thus,</w:t>
      </w:r>
      <w:r>
        <w:t xml:space="preserve"> RAN1 can proceed with the model input discussion on Case 2b/3b.</w:t>
      </w:r>
    </w:p>
    <w:p w14:paraId="08155FFA" w14:textId="78C74ADF" w:rsidR="00300C42" w:rsidRPr="00E215F0" w:rsidRDefault="007F045B" w:rsidP="00300C42">
      <w:pPr>
        <w:pStyle w:val="Heading2"/>
        <w:rPr>
          <w:lang w:val="en-US"/>
        </w:rPr>
      </w:pPr>
      <w:bookmarkStart w:id="55" w:name="_Toc178704938"/>
      <w:bookmarkStart w:id="56" w:name="_Toc178705840"/>
      <w:bookmarkStart w:id="57" w:name="_Toc178708818"/>
      <w:bookmarkStart w:id="58" w:name="_Toc178772540"/>
      <w:bookmarkStart w:id="59" w:name="_Toc178704939"/>
      <w:bookmarkStart w:id="60" w:name="_Toc178705841"/>
      <w:bookmarkStart w:id="61" w:name="_Toc178708819"/>
      <w:bookmarkStart w:id="62" w:name="_Toc178772541"/>
      <w:bookmarkStart w:id="63" w:name="_Toc178704940"/>
      <w:bookmarkStart w:id="64" w:name="_Toc178705842"/>
      <w:bookmarkStart w:id="65" w:name="_Toc178708820"/>
      <w:bookmarkStart w:id="66" w:name="_Toc178772542"/>
      <w:bookmarkStart w:id="67" w:name="_Toc178704941"/>
      <w:bookmarkStart w:id="68" w:name="_Toc178705843"/>
      <w:bookmarkStart w:id="69" w:name="_Toc178708821"/>
      <w:bookmarkStart w:id="70" w:name="_Toc178772543"/>
      <w:bookmarkStart w:id="71" w:name="_Toc178704942"/>
      <w:bookmarkStart w:id="72" w:name="_Toc178705844"/>
      <w:bookmarkStart w:id="73" w:name="_Toc178708822"/>
      <w:bookmarkStart w:id="74" w:name="_Toc178772544"/>
      <w:bookmarkStart w:id="75" w:name="_Toc178704943"/>
      <w:bookmarkStart w:id="76" w:name="_Toc178705845"/>
      <w:bookmarkStart w:id="77" w:name="_Toc178708823"/>
      <w:bookmarkStart w:id="78" w:name="_Toc178772545"/>
      <w:bookmarkStart w:id="79" w:name="_Toc178704944"/>
      <w:bookmarkStart w:id="80" w:name="_Toc178705846"/>
      <w:bookmarkStart w:id="81" w:name="_Toc178708824"/>
      <w:bookmarkStart w:id="82" w:name="_Toc178772546"/>
      <w:bookmarkStart w:id="83" w:name="_Toc178704945"/>
      <w:bookmarkStart w:id="84" w:name="_Toc178705847"/>
      <w:bookmarkStart w:id="85" w:name="_Toc178708825"/>
      <w:bookmarkStart w:id="86" w:name="_Toc178772547"/>
      <w:bookmarkStart w:id="87" w:name="_Toc178704946"/>
      <w:bookmarkStart w:id="88" w:name="_Toc178705848"/>
      <w:bookmarkStart w:id="89" w:name="_Toc178708826"/>
      <w:bookmarkStart w:id="90" w:name="_Toc178772548"/>
      <w:bookmarkStart w:id="91" w:name="_Toc178704947"/>
      <w:bookmarkStart w:id="92" w:name="_Toc178705849"/>
      <w:bookmarkStart w:id="93" w:name="_Toc178708827"/>
      <w:bookmarkStart w:id="94" w:name="_Toc178772549"/>
      <w:bookmarkStart w:id="95" w:name="_Toc178704948"/>
      <w:bookmarkStart w:id="96" w:name="_Toc178705850"/>
      <w:bookmarkStart w:id="97" w:name="_Toc178708828"/>
      <w:bookmarkStart w:id="98" w:name="_Toc178772550"/>
      <w:bookmarkStart w:id="99" w:name="_Toc178704949"/>
      <w:bookmarkStart w:id="100" w:name="_Toc178705851"/>
      <w:bookmarkStart w:id="101" w:name="_Toc178708829"/>
      <w:bookmarkStart w:id="102" w:name="_Toc178772551"/>
      <w:bookmarkStart w:id="103" w:name="_Toc178704950"/>
      <w:bookmarkStart w:id="104" w:name="_Toc178705852"/>
      <w:bookmarkStart w:id="105" w:name="_Toc178708830"/>
      <w:bookmarkStart w:id="106" w:name="_Toc178772552"/>
      <w:bookmarkStart w:id="107" w:name="_Toc178704951"/>
      <w:bookmarkStart w:id="108" w:name="_Toc178705853"/>
      <w:bookmarkStart w:id="109" w:name="_Toc178708831"/>
      <w:bookmarkStart w:id="110" w:name="_Toc178772553"/>
      <w:bookmarkStart w:id="111" w:name="_Toc178704952"/>
      <w:bookmarkStart w:id="112" w:name="_Toc178705854"/>
      <w:bookmarkStart w:id="113" w:name="_Toc178708832"/>
      <w:bookmarkStart w:id="114" w:name="_Toc178772554"/>
      <w:bookmarkStart w:id="115" w:name="_Toc178704953"/>
      <w:bookmarkStart w:id="116" w:name="_Toc178705855"/>
      <w:bookmarkStart w:id="117" w:name="_Toc178708833"/>
      <w:bookmarkStart w:id="118" w:name="_Toc178772555"/>
      <w:bookmarkStart w:id="119" w:name="_Toc178704954"/>
      <w:bookmarkStart w:id="120" w:name="_Toc178705856"/>
      <w:bookmarkStart w:id="121" w:name="_Toc178708834"/>
      <w:bookmarkStart w:id="122" w:name="_Toc178772556"/>
      <w:bookmarkStart w:id="123" w:name="_Toc178704955"/>
      <w:bookmarkStart w:id="124" w:name="_Toc178705857"/>
      <w:bookmarkStart w:id="125" w:name="_Toc178708835"/>
      <w:bookmarkStart w:id="126" w:name="_Toc178772557"/>
      <w:bookmarkStart w:id="127" w:name="_Toc178704956"/>
      <w:bookmarkStart w:id="128" w:name="_Toc178705858"/>
      <w:bookmarkStart w:id="129" w:name="_Toc178708836"/>
      <w:bookmarkStart w:id="130" w:name="_Toc178772558"/>
      <w:bookmarkStart w:id="131" w:name="_Toc178704957"/>
      <w:bookmarkStart w:id="132" w:name="_Toc178705859"/>
      <w:bookmarkStart w:id="133" w:name="_Toc178708837"/>
      <w:bookmarkStart w:id="134" w:name="_Toc178772559"/>
      <w:bookmarkStart w:id="135" w:name="_Toc178704958"/>
      <w:bookmarkStart w:id="136" w:name="_Toc178705860"/>
      <w:bookmarkStart w:id="137" w:name="_Toc178708838"/>
      <w:bookmarkStart w:id="138" w:name="_Toc178772560"/>
      <w:bookmarkStart w:id="139" w:name="_Toc178704959"/>
      <w:bookmarkStart w:id="140" w:name="_Toc178705861"/>
      <w:bookmarkStart w:id="141" w:name="_Toc178708839"/>
      <w:bookmarkStart w:id="142" w:name="_Toc178772561"/>
      <w:bookmarkStart w:id="143" w:name="_Toc178704960"/>
      <w:bookmarkStart w:id="144" w:name="_Toc178705862"/>
      <w:bookmarkStart w:id="145" w:name="_Toc178708840"/>
      <w:bookmarkStart w:id="146" w:name="_Toc178772562"/>
      <w:bookmarkStart w:id="147" w:name="_Toc178704961"/>
      <w:bookmarkStart w:id="148" w:name="_Toc178705863"/>
      <w:bookmarkStart w:id="149" w:name="_Toc178708841"/>
      <w:bookmarkStart w:id="150" w:name="_Toc178772563"/>
      <w:bookmarkStart w:id="151" w:name="_Toc178704962"/>
      <w:bookmarkStart w:id="152" w:name="_Toc178705864"/>
      <w:bookmarkStart w:id="153" w:name="_Toc178708842"/>
      <w:bookmarkStart w:id="154" w:name="_Toc178772564"/>
      <w:bookmarkStart w:id="155" w:name="_Toc178704963"/>
      <w:bookmarkStart w:id="156" w:name="_Toc178705865"/>
      <w:bookmarkStart w:id="157" w:name="_Toc178708843"/>
      <w:bookmarkStart w:id="158" w:name="_Toc178772565"/>
      <w:bookmarkStart w:id="159" w:name="_Toc178704964"/>
      <w:bookmarkStart w:id="160" w:name="_Toc178705866"/>
      <w:bookmarkStart w:id="161" w:name="_Toc178708844"/>
      <w:bookmarkStart w:id="162" w:name="_Toc178772566"/>
      <w:bookmarkStart w:id="163" w:name="_Toc178704965"/>
      <w:bookmarkStart w:id="164" w:name="_Toc178705867"/>
      <w:bookmarkStart w:id="165" w:name="_Toc178708845"/>
      <w:bookmarkStart w:id="166" w:name="_Toc178772567"/>
      <w:bookmarkStart w:id="167" w:name="_Toc178704966"/>
      <w:bookmarkStart w:id="168" w:name="_Toc178705868"/>
      <w:bookmarkStart w:id="169" w:name="_Toc178708846"/>
      <w:bookmarkStart w:id="170" w:name="_Toc178772568"/>
      <w:bookmarkStart w:id="171" w:name="_Toc173940875"/>
      <w:bookmarkStart w:id="172" w:name="_Toc173940876"/>
      <w:bookmarkStart w:id="173" w:name="_Toc173940877"/>
      <w:bookmarkStart w:id="174" w:name="_Toc173940878"/>
      <w:bookmarkStart w:id="175" w:name="_Toc178704967"/>
      <w:bookmarkStart w:id="176" w:name="_Toc178705869"/>
      <w:bookmarkStart w:id="177" w:name="_Toc178708847"/>
      <w:bookmarkStart w:id="178" w:name="_Toc178772569"/>
      <w:bookmarkStart w:id="179" w:name="_Toc166157491"/>
      <w:bookmarkStart w:id="180" w:name="_Toc166157492"/>
      <w:bookmarkStart w:id="181" w:name="_Toc166157493"/>
      <w:bookmarkStart w:id="182" w:name="_Toc166157494"/>
      <w:bookmarkStart w:id="183" w:name="_Toc166157495"/>
      <w:bookmarkStart w:id="184" w:name="_Toc166157496"/>
      <w:bookmarkStart w:id="185" w:name="_Toc166157497"/>
      <w:bookmarkStart w:id="186" w:name="_Toc166157498"/>
      <w:bookmarkStart w:id="187" w:name="_Toc166157499"/>
      <w:bookmarkStart w:id="188" w:name="_Toc166157500"/>
      <w:bookmarkStart w:id="189" w:name="_Toc165990977"/>
      <w:bookmarkStart w:id="190" w:name="_Toc18984501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R</w:t>
      </w:r>
      <w:r w:rsidR="001F4C0A">
        <w:t>emaining issues for sample-based measurements for model input</w:t>
      </w:r>
      <w:bookmarkEnd w:id="190"/>
    </w:p>
    <w:bookmarkEnd w:id="189"/>
    <w:p w14:paraId="6355C678" w14:textId="1DA76A32" w:rsidR="005B0946" w:rsidRDefault="005B0946" w:rsidP="005B0946">
      <w:r>
        <w:t>In RAN1#116, it was agreed to investigate the way timing information was conveyed, i.e., sample-based vs path-based measurements:</w:t>
      </w:r>
    </w:p>
    <w:tbl>
      <w:tblPr>
        <w:tblStyle w:val="TableGrid"/>
        <w:tblW w:w="0" w:type="auto"/>
        <w:tblLook w:val="04A0" w:firstRow="1" w:lastRow="0" w:firstColumn="1" w:lastColumn="0" w:noHBand="0" w:noVBand="1"/>
      </w:tblPr>
      <w:tblGrid>
        <w:gridCol w:w="9962"/>
      </w:tblGrid>
      <w:tr w:rsidR="005B0946" w14:paraId="5D05502C" w14:textId="77777777" w:rsidTr="00E06AD0">
        <w:tc>
          <w:tcPr>
            <w:tcW w:w="9962" w:type="dxa"/>
          </w:tcPr>
          <w:p w14:paraId="6CABD51D" w14:textId="77777777" w:rsidR="005B0946" w:rsidRPr="00DF2B5B" w:rsidRDefault="005B0946" w:rsidP="00E06AD0">
            <w:pPr>
              <w:rPr>
                <w:rFonts w:ascii="Times" w:eastAsia="DengXian" w:hAnsi="Times"/>
                <w:b/>
                <w:bCs/>
                <w:sz w:val="18"/>
                <w:szCs w:val="18"/>
                <w:highlight w:val="green"/>
                <w:lang w:val="en-GB"/>
              </w:rPr>
            </w:pPr>
            <w:r w:rsidRPr="00DF2B5B">
              <w:rPr>
                <w:rFonts w:ascii="Times" w:eastAsia="DengXian" w:hAnsi="Times" w:hint="eastAsia"/>
                <w:b/>
                <w:bCs/>
                <w:sz w:val="18"/>
                <w:szCs w:val="18"/>
                <w:highlight w:val="green"/>
                <w:lang w:val="en-GB"/>
              </w:rPr>
              <w:t>A</w:t>
            </w:r>
            <w:r w:rsidRPr="00DF2B5B">
              <w:rPr>
                <w:rFonts w:ascii="Times" w:eastAsia="DengXian" w:hAnsi="Times"/>
                <w:b/>
                <w:bCs/>
                <w:sz w:val="18"/>
                <w:szCs w:val="18"/>
                <w:highlight w:val="green"/>
                <w:lang w:val="en-GB"/>
              </w:rPr>
              <w:t>greement</w:t>
            </w:r>
          </w:p>
          <w:p w14:paraId="171BAC7A" w14:textId="77777777" w:rsidR="005B0946" w:rsidRPr="00DF2B5B" w:rsidRDefault="005B0946" w:rsidP="00E06AD0">
            <w:pPr>
              <w:rPr>
                <w:rFonts w:ascii="Times" w:eastAsia="Batang" w:hAnsi="Times"/>
                <w:sz w:val="18"/>
                <w:szCs w:val="18"/>
                <w:lang w:val="en-GB"/>
              </w:rPr>
            </w:pPr>
            <w:r w:rsidRPr="00DF2B5B">
              <w:rPr>
                <w:rFonts w:ascii="Times" w:eastAsia="Batang" w:hAnsi="Times"/>
                <w:sz w:val="18"/>
                <w:szCs w:val="18"/>
                <w:lang w:val="en-GB"/>
              </w:rPr>
              <w:t>In Rel-19 AI/ML based positioning, regarding the time domain channel measurements, RAN1 investigate the following alternatives:</w:t>
            </w:r>
          </w:p>
          <w:p w14:paraId="1BB49060"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 xml:space="preserve">Alternative (a).  Sample-based measurements, where the timing information is an integer multiple of sampling periods. </w:t>
            </w:r>
          </w:p>
          <w:p w14:paraId="7913745C"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 xml:space="preserve">Alternative (b).  Path-based measurements, where the timing information is according to the detected path timing and may </w:t>
            </w:r>
            <w:r w:rsidRPr="00DF2B5B">
              <w:rPr>
                <w:rFonts w:ascii="Times" w:eastAsia="Batang" w:hAnsi="Times"/>
                <w:sz w:val="18"/>
                <w:szCs w:val="18"/>
                <w:lang w:val="en-GB" w:eastAsia="x-none"/>
              </w:rPr>
              <w:lastRenderedPageBreak/>
              <w:t>not be an integer multiple of sampling periods.</w:t>
            </w:r>
          </w:p>
          <w:p w14:paraId="7A63E42E" w14:textId="77777777" w:rsidR="005B0946" w:rsidRPr="00DF2B5B" w:rsidRDefault="005B0946" w:rsidP="00E06AD0">
            <w:pPr>
              <w:rPr>
                <w:rFonts w:ascii="Times" w:eastAsia="Batang" w:hAnsi="Times"/>
                <w:sz w:val="18"/>
                <w:szCs w:val="18"/>
                <w:lang w:val="en-GB"/>
              </w:rPr>
            </w:pPr>
            <w:r w:rsidRPr="00DF2B5B">
              <w:rPr>
                <w:rFonts w:ascii="Times" w:eastAsia="Batang" w:hAnsi="Times"/>
                <w:sz w:val="18"/>
                <w:szCs w:val="18"/>
                <w:lang w:val="en-GB"/>
              </w:rPr>
              <w:t>The issues to be studied include, but not limited to, the following:</w:t>
            </w:r>
          </w:p>
          <w:p w14:paraId="6535B52A"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proofErr w:type="spellStart"/>
            <w:r w:rsidRPr="00DF2B5B">
              <w:rPr>
                <w:rFonts w:ascii="Times" w:eastAsia="Batang" w:hAnsi="Times"/>
                <w:sz w:val="18"/>
                <w:szCs w:val="18"/>
                <w:lang w:val="en-GB" w:eastAsia="x-none"/>
              </w:rPr>
              <w:t>Tradeoff</w:t>
            </w:r>
            <w:proofErr w:type="spellEnd"/>
            <w:r w:rsidRPr="00DF2B5B">
              <w:rPr>
                <w:rFonts w:ascii="Times" w:eastAsia="Batang" w:hAnsi="Times"/>
                <w:sz w:val="18"/>
                <w:szCs w:val="18"/>
                <w:lang w:val="en-GB" w:eastAsia="x-none"/>
              </w:rPr>
              <w:t xml:space="preserve"> of positioning accuracy and </w:t>
            </w:r>
            <w:proofErr w:type="spellStart"/>
            <w:r w:rsidRPr="00DF2B5B">
              <w:rPr>
                <w:rFonts w:ascii="Times" w:eastAsia="Batang" w:hAnsi="Times"/>
                <w:sz w:val="18"/>
                <w:szCs w:val="18"/>
                <w:lang w:val="en-GB" w:eastAsia="x-none"/>
              </w:rPr>
              <w:t>signaling</w:t>
            </w:r>
            <w:proofErr w:type="spellEnd"/>
            <w:r w:rsidRPr="00DF2B5B">
              <w:rPr>
                <w:rFonts w:ascii="Times" w:eastAsia="Batang" w:hAnsi="Times"/>
                <w:sz w:val="18"/>
                <w:szCs w:val="18"/>
                <w:lang w:val="en-GB" w:eastAsia="x-none"/>
              </w:rPr>
              <w:t xml:space="preserve"> overhead</w:t>
            </w:r>
          </w:p>
          <w:p w14:paraId="58740138"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 xml:space="preserve">Impact and necessary details of </w:t>
            </w:r>
            <w:proofErr w:type="spellStart"/>
            <w:r w:rsidRPr="00DF2B5B">
              <w:rPr>
                <w:rFonts w:ascii="Times" w:eastAsia="Batang" w:hAnsi="Times"/>
                <w:sz w:val="18"/>
                <w:szCs w:val="18"/>
                <w:lang w:val="en-GB" w:eastAsia="x-none"/>
              </w:rPr>
              <w:t>gNB</w:t>
            </w:r>
            <w:proofErr w:type="spellEnd"/>
            <w:r w:rsidRPr="00DF2B5B">
              <w:rPr>
                <w:rFonts w:ascii="Times" w:eastAsia="Batang" w:hAnsi="Times"/>
                <w:sz w:val="18"/>
                <w:szCs w:val="18"/>
                <w:lang w:val="en-GB" w:eastAsia="x-none"/>
              </w:rPr>
              <w:t xml:space="preserve">/UE implementation to obtain the channel measurement values. </w:t>
            </w:r>
          </w:p>
          <w:p w14:paraId="755FAFEF"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Whether the same Alternative(s) applies to all cases</w:t>
            </w:r>
            <w:r w:rsidRPr="00DF2B5B">
              <w:rPr>
                <w:rFonts w:ascii="Times" w:eastAsia="Batang" w:hAnsi="Times"/>
                <w:sz w:val="18"/>
                <w:szCs w:val="18"/>
                <w:lang w:eastAsia="x-none"/>
              </w:rPr>
              <w:t xml:space="preserve"> </w:t>
            </w:r>
            <w:r w:rsidRPr="00DF2B5B">
              <w:rPr>
                <w:rFonts w:ascii="Times" w:eastAsia="Batang" w:hAnsi="Times"/>
                <w:sz w:val="18"/>
                <w:szCs w:val="18"/>
                <w:lang w:val="en-GB" w:eastAsia="x-none"/>
              </w:rPr>
              <w:t>or not</w:t>
            </w:r>
          </w:p>
          <w:p w14:paraId="72ED67EC"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Applicability and necessity of specifying the Alternative(s) to different cases</w:t>
            </w:r>
          </w:p>
          <w:p w14:paraId="18B8AB91" w14:textId="77777777" w:rsidR="005B0946" w:rsidRPr="00DF2B5B" w:rsidRDefault="005B0946" w:rsidP="005925D5">
            <w:pPr>
              <w:widowControl w:val="0"/>
              <w:numPr>
                <w:ilvl w:val="3"/>
                <w:numId w:val="45"/>
              </w:numPr>
              <w:ind w:left="720"/>
              <w:rPr>
                <w:rFonts w:ascii="Times" w:eastAsia="Batang" w:hAnsi="Times"/>
                <w:sz w:val="18"/>
                <w:szCs w:val="18"/>
                <w:lang w:val="en-GB" w:eastAsia="x-none"/>
              </w:rPr>
            </w:pPr>
            <w:r w:rsidRPr="00DF2B5B">
              <w:rPr>
                <w:rFonts w:ascii="Times" w:eastAsia="Batang" w:hAnsi="Times"/>
                <w:sz w:val="18"/>
                <w:szCs w:val="18"/>
                <w:lang w:val="en-GB" w:eastAsia="x-none"/>
              </w:rPr>
              <w:t xml:space="preserve">Note: different sub-cases may have different issues. </w:t>
            </w:r>
          </w:p>
          <w:p w14:paraId="6A843C0A" w14:textId="7B4CB077" w:rsidR="005B0946" w:rsidRPr="00FE783F" w:rsidRDefault="005B0946" w:rsidP="00FE783F">
            <w:pPr>
              <w:rPr>
                <w:rFonts w:ascii="Times" w:eastAsia="Batang" w:hAnsi="Times"/>
                <w:sz w:val="18"/>
                <w:szCs w:val="18"/>
                <w:lang w:val="en-GB"/>
              </w:rPr>
            </w:pPr>
            <w:r w:rsidRPr="00DF2B5B">
              <w:rPr>
                <w:rFonts w:ascii="Times" w:eastAsia="Batang" w:hAnsi="Times"/>
                <w:sz w:val="18"/>
                <w:szCs w:val="18"/>
                <w:lang w:val="en-GB"/>
              </w:rPr>
              <w:t>Note: In addition to timing information, the components for the channel measurement for model input may also include power and potentially phase. To provide the type of the channel measurement in their investigation.</w:t>
            </w:r>
          </w:p>
        </w:tc>
      </w:tr>
    </w:tbl>
    <w:p w14:paraId="1B1131F0" w14:textId="77777777" w:rsidR="005B0946" w:rsidRDefault="005B0946" w:rsidP="005B0946"/>
    <w:p w14:paraId="49C5B1AF" w14:textId="6F735FDE" w:rsidR="00240396" w:rsidRDefault="00240396" w:rsidP="005B0946">
      <w:r>
        <w:t>During RAN1</w:t>
      </w:r>
      <w:r w:rsidR="00424E3B">
        <w:t>#11</w:t>
      </w:r>
      <w:r w:rsidR="00E60BDF">
        <w:t>9</w:t>
      </w:r>
      <w:r w:rsidR="00424E3B">
        <w:t xml:space="preserve">, the use of </w:t>
      </w:r>
      <w:proofErr w:type="gramStart"/>
      <w:r w:rsidR="00424E3B">
        <w:t>sample based</w:t>
      </w:r>
      <w:proofErr w:type="gramEnd"/>
      <w:r w:rsidR="00424E3B">
        <w:t xml:space="preserve"> reporting was agreed, together with path based reporting, as the supported options for case 3b:</w:t>
      </w:r>
    </w:p>
    <w:tbl>
      <w:tblPr>
        <w:tblStyle w:val="TableGrid"/>
        <w:tblW w:w="0" w:type="auto"/>
        <w:tblLook w:val="04A0" w:firstRow="1" w:lastRow="0" w:firstColumn="1" w:lastColumn="0" w:noHBand="0" w:noVBand="1"/>
      </w:tblPr>
      <w:tblGrid>
        <w:gridCol w:w="9962"/>
      </w:tblGrid>
      <w:tr w:rsidR="00424E3B" w:rsidRPr="00331495" w14:paraId="65E7CE85" w14:textId="77777777" w:rsidTr="00424E3B">
        <w:tc>
          <w:tcPr>
            <w:tcW w:w="9962" w:type="dxa"/>
          </w:tcPr>
          <w:p w14:paraId="69516E05" w14:textId="77777777" w:rsidR="00542B40" w:rsidRPr="00C60061" w:rsidRDefault="00542B40" w:rsidP="00C60061">
            <w:pPr>
              <w:spacing w:after="0"/>
              <w:rPr>
                <w:rFonts w:eastAsia="DengXian"/>
                <w:sz w:val="20"/>
                <w:szCs w:val="20"/>
                <w:highlight w:val="green"/>
                <w:lang w:eastAsia="zh-CN"/>
              </w:rPr>
            </w:pPr>
            <w:r w:rsidRPr="00C60061">
              <w:rPr>
                <w:rFonts w:eastAsia="DengXian" w:hint="eastAsia"/>
                <w:sz w:val="20"/>
                <w:szCs w:val="20"/>
                <w:highlight w:val="green"/>
                <w:lang w:eastAsia="zh-CN"/>
              </w:rPr>
              <w:t>Agreement</w:t>
            </w:r>
          </w:p>
          <w:p w14:paraId="73F6A9CD" w14:textId="77777777" w:rsidR="00542B40" w:rsidRPr="00C60061" w:rsidRDefault="00542B40" w:rsidP="00C60061">
            <w:pPr>
              <w:spacing w:after="0"/>
              <w:rPr>
                <w:sz w:val="20"/>
                <w:szCs w:val="20"/>
              </w:rPr>
            </w:pPr>
            <w:r w:rsidRPr="00C60061">
              <w:rPr>
                <w:sz w:val="20"/>
                <w:szCs w:val="20"/>
              </w:rPr>
              <w:t xml:space="preserve">For Rel-19 AI/ML based positioning, </w:t>
            </w:r>
            <w:r w:rsidRPr="00C60061">
              <w:rPr>
                <w:rFonts w:hint="eastAsia"/>
                <w:sz w:val="20"/>
                <w:szCs w:val="20"/>
              </w:rPr>
              <w:t xml:space="preserve">for </w:t>
            </w:r>
            <w:r w:rsidRPr="00C60061">
              <w:rPr>
                <w:sz w:val="20"/>
                <w:szCs w:val="20"/>
              </w:rPr>
              <w:t>C</w:t>
            </w:r>
            <w:r w:rsidRPr="00C60061">
              <w:rPr>
                <w:rFonts w:hint="eastAsia"/>
                <w:sz w:val="20"/>
                <w:szCs w:val="20"/>
              </w:rPr>
              <w:t xml:space="preserve">ase 3b, in addition to path-based measurement that is </w:t>
            </w:r>
            <w:r w:rsidRPr="00C60061">
              <w:rPr>
                <w:sz w:val="20"/>
                <w:szCs w:val="20"/>
                <w:lang w:eastAsia="x-none"/>
              </w:rPr>
              <w:t>refer</w:t>
            </w:r>
            <w:r w:rsidRPr="00C60061">
              <w:rPr>
                <w:rFonts w:hint="eastAsia"/>
                <w:sz w:val="20"/>
                <w:szCs w:val="20"/>
              </w:rPr>
              <w:t>ring</w:t>
            </w:r>
            <w:r w:rsidRPr="00C60061">
              <w:rPr>
                <w:sz w:val="20"/>
                <w:szCs w:val="20"/>
                <w:lang w:eastAsia="x-none"/>
              </w:rPr>
              <w:t xml:space="preserve"> to the measurement in the existing specifications (up to Rel-18)</w:t>
            </w:r>
            <w:r w:rsidRPr="00C60061">
              <w:rPr>
                <w:rFonts w:hint="eastAsia"/>
                <w:sz w:val="20"/>
                <w:szCs w:val="20"/>
              </w:rPr>
              <w:t xml:space="preserve">, additionally support </w:t>
            </w:r>
            <w:r w:rsidRPr="00C60061">
              <w:rPr>
                <w:sz w:val="20"/>
                <w:szCs w:val="20"/>
              </w:rPr>
              <w:t xml:space="preserve">the following </w:t>
            </w:r>
            <w:r w:rsidRPr="00C60061">
              <w:rPr>
                <w:rFonts w:hint="eastAsia"/>
                <w:sz w:val="20"/>
                <w:szCs w:val="20"/>
              </w:rPr>
              <w:t>enhancement to the measurement</w:t>
            </w:r>
            <w:r w:rsidRPr="00C60061">
              <w:rPr>
                <w:sz w:val="20"/>
                <w:szCs w:val="20"/>
              </w:rPr>
              <w:t xml:space="preserve">, </w:t>
            </w:r>
          </w:p>
          <w:p w14:paraId="58DD2491" w14:textId="77777777" w:rsidR="00542B40" w:rsidRPr="00C60061" w:rsidRDefault="00542B40" w:rsidP="00C60061">
            <w:pPr>
              <w:widowControl w:val="0"/>
              <w:numPr>
                <w:ilvl w:val="0"/>
                <w:numId w:val="64"/>
              </w:numPr>
              <w:suppressAutoHyphens/>
              <w:spacing w:after="0"/>
              <w:rPr>
                <w:sz w:val="20"/>
                <w:szCs w:val="20"/>
              </w:rPr>
            </w:pPr>
            <w:r w:rsidRPr="00C60061">
              <w:rPr>
                <w:sz w:val="20"/>
                <w:szCs w:val="20"/>
              </w:rPr>
              <w:t xml:space="preserve">The measurement is composed of </w:t>
            </w:r>
            <w:proofErr w:type="spellStart"/>
            <w:r w:rsidRPr="00C60061">
              <w:rPr>
                <w:sz w:val="20"/>
                <w:szCs w:val="20"/>
              </w:rPr>
              <w:t>N</w:t>
            </w:r>
            <w:r w:rsidRPr="00C60061">
              <w:rPr>
                <w:sz w:val="20"/>
                <w:szCs w:val="20"/>
                <w:vertAlign w:val="subscript"/>
              </w:rPr>
              <w:t>t</w:t>
            </w:r>
            <w:proofErr w:type="spellEnd"/>
            <w:r w:rsidRPr="00C60061">
              <w:rPr>
                <w:sz w:val="20"/>
                <w:szCs w:val="20"/>
              </w:rPr>
              <w:t>' values</w:t>
            </w:r>
            <w:r w:rsidRPr="00C60061">
              <w:rPr>
                <w:rFonts w:hint="eastAsia"/>
                <w:sz w:val="20"/>
                <w:szCs w:val="20"/>
              </w:rPr>
              <w:t xml:space="preserve"> </w:t>
            </w:r>
            <w:r w:rsidRPr="00C60061">
              <w:rPr>
                <w:sz w:val="20"/>
                <w:szCs w:val="20"/>
              </w:rPr>
              <w:t xml:space="preserve">of the estimated channel response in time domain. The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values are selected from a list of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consecutive channel response values, which have timing granularity T. </w:t>
            </w:r>
          </w:p>
          <w:p w14:paraId="36D0BBB3" w14:textId="77777777" w:rsidR="00542B40" w:rsidRPr="00C60061" w:rsidRDefault="00542B40" w:rsidP="00C60061">
            <w:pPr>
              <w:widowControl w:val="0"/>
              <w:numPr>
                <w:ilvl w:val="0"/>
                <w:numId w:val="64"/>
              </w:numPr>
              <w:suppressAutoHyphens/>
              <w:spacing w:after="0"/>
              <w:rPr>
                <w:sz w:val="20"/>
                <w:szCs w:val="20"/>
              </w:rPr>
            </w:pPr>
            <w:r w:rsidRPr="00C60061">
              <w:rPr>
                <w:sz w:val="20"/>
                <w:szCs w:val="20"/>
              </w:rPr>
              <w:t xml:space="preserve">The timing information for the </w:t>
            </w:r>
            <w:proofErr w:type="spellStart"/>
            <w:r w:rsidRPr="00C60061">
              <w:rPr>
                <w:sz w:val="20"/>
                <w:szCs w:val="20"/>
              </w:rPr>
              <w:t>N</w:t>
            </w:r>
            <w:r w:rsidRPr="00C60061">
              <w:rPr>
                <w:sz w:val="20"/>
                <w:szCs w:val="20"/>
                <w:vertAlign w:val="subscript"/>
              </w:rPr>
              <w:t>t</w:t>
            </w:r>
            <w:proofErr w:type="spellEnd"/>
            <w:r w:rsidRPr="00C60061">
              <w:rPr>
                <w:sz w:val="20"/>
                <w:szCs w:val="20"/>
              </w:rPr>
              <w:t>' values are reported with a timing granularity T, where T=2</w:t>
            </w:r>
            <w:r w:rsidRPr="00C60061">
              <w:rPr>
                <w:sz w:val="20"/>
                <w:szCs w:val="20"/>
                <w:vertAlign w:val="superscript"/>
              </w:rPr>
              <w:t>k</w:t>
            </w:r>
            <w:r w:rsidRPr="00C60061">
              <w:rPr>
                <w:sz w:val="20"/>
                <w:szCs w:val="20"/>
              </w:rPr>
              <w:t>xT</w:t>
            </w:r>
            <w:r w:rsidRPr="00C60061">
              <w:rPr>
                <w:sz w:val="20"/>
                <w:szCs w:val="20"/>
                <w:vertAlign w:val="subscript"/>
              </w:rPr>
              <w:t>c</w:t>
            </w:r>
            <w:r w:rsidRPr="00C60061">
              <w:rPr>
                <w:sz w:val="20"/>
                <w:szCs w:val="20"/>
              </w:rPr>
              <w:t>. k represents the timing reporting granularity factor. T</w:t>
            </w:r>
            <w:r w:rsidRPr="00C60061">
              <w:rPr>
                <w:sz w:val="20"/>
                <w:szCs w:val="20"/>
                <w:vertAlign w:val="subscript"/>
              </w:rPr>
              <w:t>c</w:t>
            </w:r>
            <w:r w:rsidRPr="00C60061">
              <w:rPr>
                <w:sz w:val="20"/>
                <w:szCs w:val="20"/>
              </w:rPr>
              <w:t xml:space="preserve"> is the basic time unit for NR. </w:t>
            </w:r>
          </w:p>
          <w:p w14:paraId="00BD8086" w14:textId="77777777" w:rsidR="00542B40" w:rsidRPr="00C60061" w:rsidRDefault="00542B40" w:rsidP="00C60061">
            <w:pPr>
              <w:widowControl w:val="0"/>
              <w:numPr>
                <w:ilvl w:val="1"/>
                <w:numId w:val="64"/>
              </w:numPr>
              <w:suppressAutoHyphens/>
              <w:spacing w:after="0"/>
              <w:rPr>
                <w:sz w:val="20"/>
                <w:szCs w:val="20"/>
              </w:rPr>
            </w:pPr>
            <w:r w:rsidRPr="00C60061">
              <w:rPr>
                <w:sz w:val="20"/>
                <w:szCs w:val="20"/>
              </w:rPr>
              <w:t xml:space="preserve">The associated measurement (e.g., power if reported) corresponds to the measurement for the reported </w:t>
            </w:r>
            <w:proofErr w:type="spellStart"/>
            <w:r w:rsidRPr="00C60061">
              <w:rPr>
                <w:sz w:val="20"/>
                <w:szCs w:val="20"/>
              </w:rPr>
              <w:t>N</w:t>
            </w:r>
            <w:r w:rsidRPr="00C60061">
              <w:rPr>
                <w:sz w:val="20"/>
                <w:szCs w:val="20"/>
                <w:vertAlign w:val="subscript"/>
              </w:rPr>
              <w:t>t</w:t>
            </w:r>
            <w:proofErr w:type="spellEnd"/>
            <w:r w:rsidRPr="00C60061">
              <w:rPr>
                <w:sz w:val="20"/>
                <w:szCs w:val="20"/>
              </w:rPr>
              <w:t>' values.</w:t>
            </w:r>
          </w:p>
          <w:p w14:paraId="00F83487" w14:textId="77777777" w:rsidR="00542B40" w:rsidRPr="00C60061" w:rsidRDefault="00542B40" w:rsidP="00C60061">
            <w:pPr>
              <w:pStyle w:val="ListParagraph"/>
              <w:widowControl w:val="0"/>
              <w:numPr>
                <w:ilvl w:val="0"/>
                <w:numId w:val="64"/>
              </w:numPr>
              <w:tabs>
                <w:tab w:val="clear" w:pos="0"/>
              </w:tabs>
              <w:suppressAutoHyphens w:val="0"/>
              <w:rPr>
                <w:sz w:val="20"/>
              </w:rPr>
            </w:pPr>
            <w:r w:rsidRPr="00C60061">
              <w:rPr>
                <w:sz w:val="20"/>
              </w:rPr>
              <w:t xml:space="preserve">The </w:t>
            </w:r>
            <w:r w:rsidRPr="00C60061">
              <w:rPr>
                <w:rFonts w:hint="eastAsia"/>
                <w:sz w:val="20"/>
              </w:rPr>
              <w:t>timing information is</w:t>
            </w:r>
            <w:r w:rsidRPr="00C60061">
              <w:rPr>
                <w:sz w:val="20"/>
              </w:rPr>
              <w:t xml:space="preserve"> defined relative to a reference time</w:t>
            </w:r>
            <w:r w:rsidRPr="00C60061">
              <w:rPr>
                <w:rFonts w:eastAsia="DengXian" w:hint="eastAsia"/>
                <w:sz w:val="20"/>
              </w:rPr>
              <w:t>, same as the path-based measurement</w:t>
            </w:r>
            <w:r w:rsidRPr="00C60061">
              <w:rPr>
                <w:sz w:val="20"/>
              </w:rPr>
              <w:t xml:space="preserve">. </w:t>
            </w:r>
          </w:p>
          <w:p w14:paraId="4D03DA16" w14:textId="77777777" w:rsidR="00542B40" w:rsidRPr="00C60061" w:rsidRDefault="00542B40" w:rsidP="00C60061">
            <w:pPr>
              <w:widowControl w:val="0"/>
              <w:numPr>
                <w:ilvl w:val="0"/>
                <w:numId w:val="64"/>
              </w:numPr>
              <w:suppressAutoHyphens/>
              <w:spacing w:after="0"/>
              <w:rPr>
                <w:sz w:val="20"/>
                <w:szCs w:val="20"/>
              </w:rPr>
            </w:pPr>
            <w:r w:rsidRPr="00C60061">
              <w:rPr>
                <w:sz w:val="20"/>
                <w:szCs w:val="20"/>
              </w:rPr>
              <w:t xml:space="preserve">The </w:t>
            </w:r>
            <w:proofErr w:type="spellStart"/>
            <w:r w:rsidRPr="00C60061">
              <w:rPr>
                <w:sz w:val="20"/>
                <w:szCs w:val="20"/>
              </w:rPr>
              <w:t>N</w:t>
            </w:r>
            <w:r w:rsidRPr="00C60061">
              <w:rPr>
                <w:sz w:val="20"/>
                <w:szCs w:val="20"/>
                <w:vertAlign w:val="subscript"/>
              </w:rPr>
              <w:t>t</w:t>
            </w:r>
            <w:proofErr w:type="spellEnd"/>
            <w:r w:rsidRPr="00C60061">
              <w:rPr>
                <w:sz w:val="20"/>
                <w:szCs w:val="20"/>
              </w:rPr>
              <w:t>’ selected time domain channel measurement values are expected to be those with the highest power.</w:t>
            </w:r>
          </w:p>
          <w:p w14:paraId="27D2686D" w14:textId="77777777" w:rsidR="00542B40" w:rsidRPr="00C60061" w:rsidRDefault="00542B40" w:rsidP="00C60061">
            <w:pPr>
              <w:widowControl w:val="0"/>
              <w:numPr>
                <w:ilvl w:val="0"/>
                <w:numId w:val="64"/>
              </w:numPr>
              <w:suppressAutoHyphens/>
              <w:spacing w:after="0"/>
              <w:rPr>
                <w:sz w:val="20"/>
                <w:szCs w:val="20"/>
              </w:rPr>
            </w:pPr>
            <w:r w:rsidRPr="00C60061">
              <w:rPr>
                <w:sz w:val="20"/>
                <w:szCs w:val="20"/>
              </w:rPr>
              <w:t xml:space="preserve">The starting time of the list of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consecutive values is determined as: starting time = first detected path rounded down with timing granularity T</w:t>
            </w:r>
            <w:r w:rsidRPr="00C60061">
              <w:rPr>
                <w:rFonts w:eastAsia="Calibri"/>
                <w:sz w:val="20"/>
                <w:szCs w:val="20"/>
              </w:rPr>
              <w:t>.</w:t>
            </w:r>
          </w:p>
          <w:p w14:paraId="4DFCF470" w14:textId="77777777" w:rsidR="00542B40" w:rsidRPr="00C60061" w:rsidRDefault="00542B40" w:rsidP="00C60061">
            <w:pPr>
              <w:widowControl w:val="0"/>
              <w:numPr>
                <w:ilvl w:val="0"/>
                <w:numId w:val="64"/>
              </w:numPr>
              <w:suppressAutoHyphens/>
              <w:spacing w:after="0"/>
              <w:rPr>
                <w:sz w:val="20"/>
                <w:szCs w:val="20"/>
              </w:rPr>
            </w:pPr>
            <w:r w:rsidRPr="00C60061">
              <w:rPr>
                <w:sz w:val="20"/>
                <w:szCs w:val="20"/>
              </w:rPr>
              <w:t xml:space="preserve">LMF </w:t>
            </w:r>
            <w:r w:rsidRPr="00C60061">
              <w:rPr>
                <w:rFonts w:hint="eastAsia"/>
                <w:sz w:val="20"/>
                <w:szCs w:val="20"/>
              </w:rPr>
              <w:t xml:space="preserve">can </w:t>
            </w:r>
            <w:r w:rsidRPr="00C60061">
              <w:rPr>
                <w:sz w:val="20"/>
                <w:szCs w:val="20"/>
              </w:rPr>
              <w:t xml:space="preserve">signal parameter values of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k to </w:t>
            </w:r>
            <w:proofErr w:type="spellStart"/>
            <w:r w:rsidRPr="00C60061">
              <w:rPr>
                <w:sz w:val="20"/>
                <w:szCs w:val="20"/>
              </w:rPr>
              <w:t>gNB</w:t>
            </w:r>
            <w:proofErr w:type="spellEnd"/>
            <w:r w:rsidRPr="00C60061">
              <w:rPr>
                <w:sz w:val="20"/>
                <w:szCs w:val="20"/>
              </w:rPr>
              <w:t xml:space="preserve"> via </w:t>
            </w:r>
            <w:proofErr w:type="spellStart"/>
            <w:r w:rsidRPr="00C60061">
              <w:rPr>
                <w:sz w:val="20"/>
                <w:szCs w:val="20"/>
              </w:rPr>
              <w:t>NRPPa</w:t>
            </w:r>
            <w:proofErr w:type="spellEnd"/>
            <w:r w:rsidRPr="00C60061">
              <w:rPr>
                <w:sz w:val="20"/>
                <w:szCs w:val="20"/>
              </w:rPr>
              <w:t>. Candi</w:t>
            </w:r>
            <w:r w:rsidRPr="00C60061">
              <w:rPr>
                <w:rFonts w:hint="eastAsia"/>
                <w:sz w:val="20"/>
                <w:szCs w:val="20"/>
              </w:rPr>
              <w:t>d</w:t>
            </w:r>
            <w:r w:rsidRPr="00C60061">
              <w:rPr>
                <w:sz w:val="20"/>
                <w:szCs w:val="20"/>
              </w:rPr>
              <w:t>ate set values:</w:t>
            </w:r>
          </w:p>
          <w:p w14:paraId="7C3A5A87" w14:textId="77777777" w:rsidR="00542B40" w:rsidRPr="00C60061" w:rsidRDefault="00542B40" w:rsidP="00C60061">
            <w:pPr>
              <w:widowControl w:val="0"/>
              <w:numPr>
                <w:ilvl w:val="1"/>
                <w:numId w:val="64"/>
              </w:numPr>
              <w:suppressAutoHyphens/>
              <w:spacing w:after="0"/>
              <w:rPr>
                <w:sz w:val="20"/>
                <w:szCs w:val="20"/>
              </w:rPr>
            </w:pPr>
            <w:proofErr w:type="spellStart"/>
            <w:r w:rsidRPr="00C60061">
              <w:rPr>
                <w:sz w:val="20"/>
                <w:szCs w:val="20"/>
              </w:rPr>
              <w:t>N</w:t>
            </w:r>
            <w:r w:rsidRPr="00C60061">
              <w:rPr>
                <w:sz w:val="20"/>
                <w:szCs w:val="20"/>
                <w:vertAlign w:val="subscript"/>
              </w:rPr>
              <w:t>t</w:t>
            </w:r>
            <w:proofErr w:type="spellEnd"/>
            <w:r w:rsidRPr="00C60061">
              <w:rPr>
                <w:sz w:val="20"/>
                <w:szCs w:val="20"/>
              </w:rPr>
              <w:t xml:space="preserve">'&lt;=24. </w:t>
            </w:r>
            <w:r w:rsidRPr="00C60061">
              <w:rPr>
                <w:rFonts w:hint="eastAsia"/>
                <w:sz w:val="20"/>
                <w:szCs w:val="20"/>
              </w:rPr>
              <w:t>FFS:</w:t>
            </w:r>
            <w:r w:rsidRPr="00C60061">
              <w:rPr>
                <w:sz w:val="20"/>
                <w:szCs w:val="20"/>
              </w:rPr>
              <w:t xml:space="preserve"> </w:t>
            </w:r>
            <w:proofErr w:type="spellStart"/>
            <w:r w:rsidRPr="00C60061">
              <w:rPr>
                <w:sz w:val="20"/>
                <w:szCs w:val="20"/>
              </w:rPr>
              <w:t>N</w:t>
            </w:r>
            <w:r w:rsidRPr="00C60061">
              <w:rPr>
                <w:sz w:val="20"/>
                <w:szCs w:val="20"/>
                <w:vertAlign w:val="subscript"/>
              </w:rPr>
              <w:t>t</w:t>
            </w:r>
            <w:proofErr w:type="spellEnd"/>
            <w:r w:rsidRPr="00C60061">
              <w:rPr>
                <w:sz w:val="20"/>
                <w:szCs w:val="20"/>
              </w:rPr>
              <w:t>' values.</w:t>
            </w:r>
            <w:r w:rsidRPr="00C60061">
              <w:rPr>
                <w:rFonts w:hint="eastAsia"/>
                <w:sz w:val="20"/>
                <w:szCs w:val="20"/>
              </w:rPr>
              <w:t xml:space="preserve"> </w:t>
            </w:r>
            <w:r w:rsidRPr="00C60061">
              <w:rPr>
                <w:sz w:val="20"/>
                <w:szCs w:val="20"/>
              </w:rPr>
              <w:t xml:space="preserve"> </w:t>
            </w:r>
          </w:p>
          <w:p w14:paraId="65AFF82F" w14:textId="77777777" w:rsidR="00542B40" w:rsidRPr="00C60061" w:rsidRDefault="00542B40" w:rsidP="00C60061">
            <w:pPr>
              <w:widowControl w:val="0"/>
              <w:numPr>
                <w:ilvl w:val="1"/>
                <w:numId w:val="64"/>
              </w:numPr>
              <w:suppressAutoHyphens/>
              <w:spacing w:after="0"/>
              <w:rPr>
                <w:sz w:val="20"/>
                <w:szCs w:val="20"/>
              </w:rPr>
            </w:pPr>
            <w:proofErr w:type="spellStart"/>
            <w:r w:rsidRPr="00C60061">
              <w:rPr>
                <w:sz w:val="20"/>
                <w:szCs w:val="20"/>
              </w:rPr>
              <w:t>N</w:t>
            </w:r>
            <w:r w:rsidRPr="00C60061">
              <w:rPr>
                <w:sz w:val="20"/>
                <w:szCs w:val="20"/>
                <w:vertAlign w:val="subscript"/>
              </w:rPr>
              <w:t>t</w:t>
            </w:r>
            <w:proofErr w:type="spellEnd"/>
            <w:r w:rsidRPr="00C60061">
              <w:rPr>
                <w:sz w:val="20"/>
                <w:szCs w:val="20"/>
              </w:rPr>
              <w:t xml:space="preserve"> = {32, 64, 128}</w:t>
            </w:r>
          </w:p>
          <w:p w14:paraId="2AD108C1" w14:textId="77777777" w:rsidR="00542B40" w:rsidRPr="00C60061" w:rsidRDefault="00542B40" w:rsidP="00C60061">
            <w:pPr>
              <w:widowControl w:val="0"/>
              <w:numPr>
                <w:ilvl w:val="1"/>
                <w:numId w:val="64"/>
              </w:numPr>
              <w:suppressAutoHyphens/>
              <w:spacing w:after="0"/>
              <w:rPr>
                <w:sz w:val="20"/>
                <w:szCs w:val="20"/>
              </w:rPr>
            </w:pPr>
            <w:r w:rsidRPr="00C60061">
              <w:rPr>
                <w:rFonts w:hint="eastAsia"/>
                <w:sz w:val="20"/>
                <w:szCs w:val="20"/>
              </w:rPr>
              <w:t xml:space="preserve">FFS: </w:t>
            </w:r>
            <w:r w:rsidRPr="00C60061">
              <w:rPr>
                <w:sz w:val="20"/>
                <w:szCs w:val="20"/>
              </w:rPr>
              <w:t xml:space="preserve">k </w:t>
            </w:r>
          </w:p>
          <w:p w14:paraId="30499A3F" w14:textId="77777777" w:rsidR="00542B40" w:rsidRPr="00C60061" w:rsidRDefault="00542B40" w:rsidP="00C60061">
            <w:pPr>
              <w:widowControl w:val="0"/>
              <w:numPr>
                <w:ilvl w:val="1"/>
                <w:numId w:val="64"/>
              </w:numPr>
              <w:suppressAutoHyphens/>
              <w:spacing w:after="0"/>
              <w:rPr>
                <w:sz w:val="20"/>
                <w:szCs w:val="20"/>
              </w:rPr>
            </w:pPr>
            <w:r w:rsidRPr="00C60061">
              <w:rPr>
                <w:sz w:val="20"/>
                <w:szCs w:val="20"/>
              </w:rPr>
              <w:t xml:space="preserve">The </w:t>
            </w:r>
            <w:proofErr w:type="spellStart"/>
            <w:r w:rsidRPr="00C60061">
              <w:rPr>
                <w:sz w:val="20"/>
                <w:szCs w:val="20"/>
              </w:rPr>
              <w:t>gNB</w:t>
            </w:r>
            <w:proofErr w:type="spellEnd"/>
            <w:r w:rsidRPr="00C60061">
              <w:rPr>
                <w:sz w:val="20"/>
                <w:szCs w:val="20"/>
              </w:rPr>
              <w:t xml:space="preserve">/TRP may use different </w:t>
            </w:r>
            <w:proofErr w:type="spellStart"/>
            <w:r w:rsidRPr="00C60061">
              <w:rPr>
                <w:sz w:val="20"/>
                <w:szCs w:val="20"/>
              </w:rPr>
              <w:t>N</w:t>
            </w:r>
            <w:r w:rsidRPr="00C60061">
              <w:rPr>
                <w:sz w:val="20"/>
                <w:szCs w:val="20"/>
                <w:vertAlign w:val="subscript"/>
              </w:rPr>
              <w:t>t</w:t>
            </w:r>
            <w:proofErr w:type="spellEnd"/>
            <w:r w:rsidRPr="00C60061">
              <w:rPr>
                <w:sz w:val="20"/>
                <w:szCs w:val="20"/>
              </w:rPr>
              <w:t>'</w:t>
            </w:r>
            <w:r w:rsidRPr="00C60061">
              <w:rPr>
                <w:rFonts w:hint="eastAsia"/>
                <w:sz w:val="20"/>
                <w:szCs w:val="20"/>
              </w:rPr>
              <w:t xml:space="preserve">, </w:t>
            </w:r>
            <w:proofErr w:type="spellStart"/>
            <w:r w:rsidRPr="00C60061">
              <w:rPr>
                <w:sz w:val="20"/>
                <w:szCs w:val="20"/>
              </w:rPr>
              <w:t>N</w:t>
            </w:r>
            <w:r w:rsidRPr="00C60061">
              <w:rPr>
                <w:sz w:val="20"/>
                <w:szCs w:val="20"/>
                <w:vertAlign w:val="subscript"/>
              </w:rPr>
              <w:t>t</w:t>
            </w:r>
            <w:proofErr w:type="spellEnd"/>
            <w:r w:rsidRPr="00C60061">
              <w:rPr>
                <w:sz w:val="20"/>
                <w:szCs w:val="20"/>
              </w:rPr>
              <w:t xml:space="preserve"> and/or k values other than the </w:t>
            </w:r>
            <w:proofErr w:type="spellStart"/>
            <w:r w:rsidRPr="00C60061">
              <w:rPr>
                <w:sz w:val="20"/>
                <w:szCs w:val="20"/>
              </w:rPr>
              <w:t>signalled</w:t>
            </w:r>
            <w:proofErr w:type="spellEnd"/>
            <w:r w:rsidRPr="00C60061">
              <w:rPr>
                <w:sz w:val="20"/>
                <w:szCs w:val="20"/>
              </w:rPr>
              <w:t xml:space="preserve"> parameter for measurement reporting. In this case, it’s up to LMF implementation to process the reported measurement</w:t>
            </w:r>
          </w:p>
          <w:p w14:paraId="12AF3D54" w14:textId="77777777" w:rsidR="00542B40" w:rsidRPr="00C60061" w:rsidRDefault="00542B40" w:rsidP="00C60061">
            <w:pPr>
              <w:widowControl w:val="0"/>
              <w:numPr>
                <w:ilvl w:val="0"/>
                <w:numId w:val="64"/>
              </w:numPr>
              <w:tabs>
                <w:tab w:val="left" w:pos="720"/>
              </w:tabs>
              <w:suppressAutoHyphens/>
              <w:spacing w:after="0"/>
              <w:rPr>
                <w:color w:val="0070C0"/>
                <w:sz w:val="20"/>
                <w:szCs w:val="20"/>
              </w:rPr>
            </w:pPr>
            <w:r w:rsidRPr="00C60061">
              <w:rPr>
                <w:rFonts w:hint="eastAsia"/>
                <w:color w:val="0070C0"/>
                <w:sz w:val="20"/>
                <w:szCs w:val="20"/>
              </w:rPr>
              <w:t xml:space="preserve">FFS: whether transmit offset from </w:t>
            </w:r>
            <w:proofErr w:type="spellStart"/>
            <w:r w:rsidRPr="00C60061">
              <w:rPr>
                <w:rFonts w:hint="eastAsia"/>
                <w:color w:val="0070C0"/>
                <w:sz w:val="20"/>
                <w:szCs w:val="20"/>
              </w:rPr>
              <w:t>gNB</w:t>
            </w:r>
            <w:proofErr w:type="spellEnd"/>
            <w:r w:rsidRPr="00C60061">
              <w:rPr>
                <w:rFonts w:hint="eastAsia"/>
                <w:color w:val="0070C0"/>
                <w:sz w:val="20"/>
                <w:szCs w:val="20"/>
              </w:rPr>
              <w:t xml:space="preserve"> to LMF</w:t>
            </w:r>
          </w:p>
          <w:p w14:paraId="67D07C35" w14:textId="77777777" w:rsidR="00542B40" w:rsidRPr="00C60061" w:rsidRDefault="00542B40" w:rsidP="00C60061">
            <w:pPr>
              <w:spacing w:after="0"/>
              <w:rPr>
                <w:sz w:val="20"/>
                <w:szCs w:val="20"/>
              </w:rPr>
            </w:pPr>
            <w:r w:rsidRPr="00C60061">
              <w:rPr>
                <w:sz w:val="20"/>
                <w:szCs w:val="20"/>
              </w:rPr>
              <w:t>Note: measurement by UE is a separate discussion.</w:t>
            </w:r>
          </w:p>
          <w:p w14:paraId="1F6E4F60" w14:textId="301F7356" w:rsidR="00424E3B" w:rsidRPr="00C60061" w:rsidRDefault="00542B40" w:rsidP="00C60061">
            <w:pPr>
              <w:spacing w:after="0"/>
              <w:rPr>
                <w:sz w:val="20"/>
                <w:szCs w:val="20"/>
              </w:rPr>
            </w:pPr>
            <w:r w:rsidRPr="00C60061">
              <w:rPr>
                <w:sz w:val="20"/>
                <w:szCs w:val="20"/>
              </w:rPr>
              <w:t xml:space="preserve">Note: the purpose of the time domain channel measurements, such as for Rel-19 AI/ML based positioning, is not specified </w:t>
            </w:r>
          </w:p>
        </w:tc>
      </w:tr>
    </w:tbl>
    <w:p w14:paraId="00DF4C13" w14:textId="77777777" w:rsidR="00424E3B" w:rsidRDefault="00424E3B" w:rsidP="005B0946"/>
    <w:p w14:paraId="4EB47298" w14:textId="77777777" w:rsidR="00A565FE" w:rsidRPr="00A565FE" w:rsidRDefault="009A7C44" w:rsidP="00A565FE">
      <w:r w:rsidRPr="00A565FE">
        <w:t>The remaining issues to be discussed are thus:</w:t>
      </w:r>
    </w:p>
    <w:p w14:paraId="0CE2CFA4" w14:textId="66BAA513" w:rsidR="00AF3A72" w:rsidRDefault="00A559D8" w:rsidP="00C60061">
      <w:pPr>
        <w:pStyle w:val="ListParagraph"/>
        <w:numPr>
          <w:ilvl w:val="0"/>
          <w:numId w:val="64"/>
        </w:numPr>
      </w:pPr>
      <w:r w:rsidRPr="00A565FE">
        <w:lastRenderedPageBreak/>
        <w:t xml:space="preserve">Parameter values for </w:t>
      </w:r>
      <w:proofErr w:type="spellStart"/>
      <w:r w:rsidRPr="00A565FE">
        <w:t>N</w:t>
      </w:r>
      <w:r w:rsidRPr="00C60061">
        <w:t>t</w:t>
      </w:r>
      <w:proofErr w:type="spellEnd"/>
      <w:r w:rsidRPr="00A565FE">
        <w:t xml:space="preserve">, </w:t>
      </w:r>
      <w:proofErr w:type="spellStart"/>
      <w:r w:rsidRPr="00A565FE">
        <w:t>N</w:t>
      </w:r>
      <w:r w:rsidRPr="00C60061">
        <w:t>t</w:t>
      </w:r>
      <w:proofErr w:type="spellEnd"/>
      <w:r w:rsidRPr="00A565FE">
        <w:t>', k</w:t>
      </w:r>
      <w:r w:rsidR="005B42CB" w:rsidRPr="00A565FE">
        <w:t>.</w:t>
      </w:r>
    </w:p>
    <w:p w14:paraId="43C7F3CC" w14:textId="74AED1A4" w:rsidR="00AF3A72" w:rsidRDefault="00AF3A72" w:rsidP="00C60061">
      <w:pPr>
        <w:pStyle w:val="ListParagraph"/>
        <w:numPr>
          <w:ilvl w:val="0"/>
          <w:numId w:val="64"/>
        </w:numPr>
      </w:pPr>
      <w:r>
        <w:t>S</w:t>
      </w:r>
      <w:r w:rsidR="00A559D8" w:rsidRPr="00A565FE">
        <w:t xml:space="preserve">upport of </w:t>
      </w:r>
      <w:proofErr w:type="gramStart"/>
      <w:r w:rsidR="00A559D8" w:rsidRPr="00A565FE">
        <w:t>sample based</w:t>
      </w:r>
      <w:proofErr w:type="gramEnd"/>
      <w:r w:rsidR="00A559D8" w:rsidRPr="00A565FE">
        <w:t xml:space="preserve"> reporting for </w:t>
      </w:r>
      <w:r w:rsidR="00696B93" w:rsidRPr="00A565FE">
        <w:t xml:space="preserve">UE measurement reports. </w:t>
      </w:r>
    </w:p>
    <w:p w14:paraId="0C220DAC" w14:textId="63FD2838" w:rsidR="00AF3A72" w:rsidRDefault="0037365E" w:rsidP="00C60061">
      <w:pPr>
        <w:pStyle w:val="ListParagraph"/>
        <w:numPr>
          <w:ilvl w:val="0"/>
          <w:numId w:val="64"/>
        </w:numPr>
      </w:pPr>
      <w:r w:rsidRPr="00AF3A72">
        <w:t xml:space="preserve">How the LMF can request sample or </w:t>
      </w:r>
      <w:proofErr w:type="gramStart"/>
      <w:r w:rsidR="005B42CB" w:rsidRPr="00AF3A72">
        <w:t>path based</w:t>
      </w:r>
      <w:proofErr w:type="gramEnd"/>
      <w:r w:rsidR="005B42CB" w:rsidRPr="00AF3A72">
        <w:t xml:space="preserve"> measurement reports.</w:t>
      </w:r>
      <w:bookmarkStart w:id="191" w:name="_Toc173940644"/>
      <w:bookmarkStart w:id="192" w:name="_Toc173940645"/>
      <w:bookmarkStart w:id="193" w:name="_Toc173940646"/>
      <w:bookmarkStart w:id="194" w:name="_Toc173940647"/>
      <w:bookmarkEnd w:id="191"/>
      <w:bookmarkEnd w:id="192"/>
      <w:bookmarkEnd w:id="193"/>
      <w:bookmarkEnd w:id="194"/>
    </w:p>
    <w:p w14:paraId="3ABFA55A" w14:textId="733D148A" w:rsidR="00EC20AF" w:rsidRPr="00AF3A72" w:rsidRDefault="00EC20AF" w:rsidP="00AF3A72"/>
    <w:p w14:paraId="404B7DF9" w14:textId="1E4BB35C" w:rsidR="00DD002C" w:rsidRDefault="00DD002C" w:rsidP="00C60061">
      <w:pPr>
        <w:pStyle w:val="Heading3"/>
      </w:pPr>
      <w:bookmarkStart w:id="195" w:name="_Toc189845012"/>
      <w:r w:rsidRPr="320AE0F0">
        <w:rPr>
          <w:lang w:val="en-US"/>
        </w:rPr>
        <w:t>Value range for parameters {</w:t>
      </w:r>
      <w:proofErr w:type="spellStart"/>
      <w:r w:rsidRPr="320AE0F0">
        <w:rPr>
          <w:lang w:val="en-US"/>
        </w:rPr>
        <w:t>N</w:t>
      </w:r>
      <w:r w:rsidRPr="320AE0F0">
        <w:rPr>
          <w:vertAlign w:val="subscript"/>
          <w:lang w:val="en-US"/>
        </w:rPr>
        <w:t>t</w:t>
      </w:r>
      <w:proofErr w:type="spellEnd"/>
      <w:r w:rsidRPr="320AE0F0">
        <w:rPr>
          <w:lang w:val="en-US"/>
        </w:rPr>
        <w:t xml:space="preserve">, </w:t>
      </w:r>
      <w:proofErr w:type="spellStart"/>
      <w:r w:rsidRPr="320AE0F0">
        <w:rPr>
          <w:lang w:val="en-US"/>
        </w:rPr>
        <w:t>N</w:t>
      </w:r>
      <w:r w:rsidRPr="320AE0F0">
        <w:rPr>
          <w:vertAlign w:val="subscript"/>
          <w:lang w:val="en-US"/>
        </w:rPr>
        <w:t>t</w:t>
      </w:r>
      <w:proofErr w:type="spellEnd"/>
      <w:r w:rsidRPr="320AE0F0">
        <w:rPr>
          <w:lang w:val="en-US"/>
        </w:rPr>
        <w:t>', k}</w:t>
      </w:r>
      <w:bookmarkEnd w:id="195"/>
    </w:p>
    <w:p w14:paraId="4DAB4AAA" w14:textId="3E69DB11" w:rsidR="00D64FC0" w:rsidRDefault="00D64FC0" w:rsidP="00D64FC0">
      <w:r>
        <w:t>Another open issue in the agreed definition of sample-based measurement is the value range</w:t>
      </w:r>
      <w:r w:rsidRPr="0002562A">
        <w:t xml:space="preserve"> </w:t>
      </w:r>
      <w:r>
        <w:t xml:space="preserve">of parameters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 and k</w:t>
      </w:r>
      <w:r w:rsidRPr="00FA38CF">
        <w:t xml:space="preserve"> </w:t>
      </w:r>
      <w:r>
        <w:t>for sample-based measurement.</w:t>
      </w:r>
    </w:p>
    <w:p w14:paraId="325B61C0" w14:textId="215B2A80" w:rsidR="00DD002C" w:rsidRPr="00DD002C" w:rsidRDefault="00D64FC0" w:rsidP="00DD002C">
      <w:r>
        <w:t xml:space="preserve">For Case 3b, parameters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 and k</w:t>
      </w:r>
      <w:r>
        <w:t xml:space="preserve"> are selected by LMF and sent to </w:t>
      </w:r>
      <w:proofErr w:type="spellStart"/>
      <w:r>
        <w:t>gNB</w:t>
      </w:r>
      <w:proofErr w:type="spellEnd"/>
      <w:r>
        <w:t xml:space="preserve"> in the measurement request, and the </w:t>
      </w:r>
      <w:proofErr w:type="spellStart"/>
      <w:r>
        <w:t>gNB</w:t>
      </w:r>
      <w:proofErr w:type="spellEnd"/>
      <w:r>
        <w:t xml:space="preserve"> provide measurement report based on the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k} values by LMF. The value range of parameters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k} should not be excessive, because the LMF need to collect data and train a different model for different parameter settings, for example, a different model for each combination of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k}.</w:t>
      </w:r>
    </w:p>
    <w:p w14:paraId="45A8C213" w14:textId="0A9A2DDA" w:rsidR="00262222" w:rsidRDefault="00DE03B7" w:rsidP="00DD002C">
      <w:r>
        <w:t xml:space="preserve">From the available range for </w:t>
      </w:r>
      <w:proofErr w:type="spellStart"/>
      <w:r>
        <w:t>Nt</w:t>
      </w:r>
      <w:proofErr w:type="spellEnd"/>
      <w:r>
        <w:t xml:space="preserve"> and </w:t>
      </w:r>
      <w:proofErr w:type="spellStart"/>
      <w:r>
        <w:t>Nt</w:t>
      </w:r>
      <w:proofErr w:type="spellEnd"/>
      <w:r>
        <w:t xml:space="preserve">’ agreed in RAN1#119, </w:t>
      </w:r>
      <w:r w:rsidR="00A967C5">
        <w:t xml:space="preserve">The evaluation results in Rel-18 study item phase as well as Rel-19 show that the maximum value of </w:t>
      </w:r>
      <w:proofErr w:type="spellStart"/>
      <w:r w:rsidR="00A967C5">
        <w:t>N</w:t>
      </w:r>
      <w:r w:rsidR="00A967C5" w:rsidRPr="00D64FC0">
        <w:rPr>
          <w:vertAlign w:val="subscript"/>
        </w:rPr>
        <w:t>t</w:t>
      </w:r>
      <w:proofErr w:type="spellEnd"/>
      <w:r w:rsidR="00A967C5">
        <w:t xml:space="preserve"> can be set as 64, since it shows no tangible performance degradation compared to 128.</w:t>
      </w:r>
    </w:p>
    <w:p w14:paraId="229DF10A" w14:textId="6E4E0486" w:rsidR="00706EDA" w:rsidRDefault="006F733A" w:rsidP="00182623">
      <w:pPr>
        <w:pStyle w:val="Observation"/>
        <w:rPr>
          <w:lang w:eastAsia="en-GB"/>
        </w:rPr>
      </w:pPr>
      <w:bookmarkStart w:id="196" w:name="_Toc189845061"/>
      <w:r>
        <w:rPr>
          <w:lang w:eastAsia="en-GB"/>
        </w:rPr>
        <w:t xml:space="preserve">From the candidate values agreed in RAN1#119 </w:t>
      </w:r>
      <w:r w:rsidR="00A566AE">
        <w:rPr>
          <w:lang w:eastAsia="en-GB"/>
        </w:rPr>
        <w:t xml:space="preserve">for </w:t>
      </w:r>
      <w:proofErr w:type="spellStart"/>
      <w:r w:rsidR="00A566AE" w:rsidRPr="0002562A">
        <w:t>N</w:t>
      </w:r>
      <w:r w:rsidR="00A566AE" w:rsidRPr="001B4A11">
        <w:rPr>
          <w:vertAlign w:val="subscript"/>
        </w:rPr>
        <w:t>t</w:t>
      </w:r>
      <w:proofErr w:type="spellEnd"/>
      <w:r w:rsidR="00A566AE">
        <w:rPr>
          <w:lang w:eastAsia="en-GB"/>
        </w:rPr>
        <w:t xml:space="preserve"> </w:t>
      </w:r>
      <w:r>
        <w:rPr>
          <w:lang w:eastAsia="en-GB"/>
        </w:rPr>
        <w:t>(</w:t>
      </w:r>
      <w:proofErr w:type="spellStart"/>
      <w:r>
        <w:rPr>
          <w:lang w:eastAsia="en-GB"/>
        </w:rPr>
        <w:t>N</w:t>
      </w:r>
      <w:r>
        <w:rPr>
          <w:vertAlign w:val="subscript"/>
          <w:lang w:eastAsia="en-GB"/>
        </w:rPr>
        <w:t>t</w:t>
      </w:r>
      <w:proofErr w:type="spellEnd"/>
      <w:r>
        <w:rPr>
          <w:lang w:eastAsia="en-GB"/>
        </w:rPr>
        <w:t xml:space="preserve"> = {32, 64, 128</w:t>
      </w:r>
      <w:proofErr w:type="gramStart"/>
      <w:r>
        <w:rPr>
          <w:lang w:eastAsia="en-GB"/>
        </w:rPr>
        <w:t>} )</w:t>
      </w:r>
      <w:proofErr w:type="gramEnd"/>
      <w:r>
        <w:rPr>
          <w:lang w:eastAsia="en-GB"/>
        </w:rPr>
        <w:t xml:space="preserve">, </w:t>
      </w:r>
      <w:proofErr w:type="spellStart"/>
      <w:r>
        <w:rPr>
          <w:lang w:eastAsia="en-GB"/>
        </w:rPr>
        <w:t>N</w:t>
      </w:r>
      <w:r>
        <w:rPr>
          <w:vertAlign w:val="subscript"/>
          <w:lang w:eastAsia="en-GB"/>
        </w:rPr>
        <w:t>t</w:t>
      </w:r>
      <w:proofErr w:type="spellEnd"/>
      <w:r>
        <w:rPr>
          <w:lang w:eastAsia="en-GB"/>
        </w:rPr>
        <w:t xml:space="preserve"> = 128 does not provide a significant gain</w:t>
      </w:r>
      <w:r w:rsidR="00B85B4D">
        <w:rPr>
          <w:lang w:eastAsia="en-GB"/>
        </w:rPr>
        <w:t>.</w:t>
      </w:r>
      <w:bookmarkEnd w:id="196"/>
    </w:p>
    <w:p w14:paraId="276D7F70" w14:textId="4A501CE8" w:rsidR="00A566AE" w:rsidRDefault="00A566AE" w:rsidP="00182623">
      <w:pPr>
        <w:pStyle w:val="Proposal"/>
        <w:rPr>
          <w:lang w:eastAsia="en-GB"/>
        </w:rPr>
      </w:pPr>
      <w:bookmarkStart w:id="197" w:name="_Toc189845100"/>
      <w:r>
        <w:rPr>
          <w:lang w:eastAsia="en-GB"/>
        </w:rPr>
        <w:t xml:space="preserve">From the candidate values agreed in RAN1#119 for </w:t>
      </w:r>
      <w:proofErr w:type="spellStart"/>
      <w:r w:rsidRPr="0002562A">
        <w:t>N</w:t>
      </w:r>
      <w:r w:rsidRPr="001B4A11">
        <w:rPr>
          <w:vertAlign w:val="subscript"/>
        </w:rPr>
        <w:t>t</w:t>
      </w:r>
      <w:proofErr w:type="spellEnd"/>
      <w:r>
        <w:rPr>
          <w:lang w:eastAsia="en-GB"/>
        </w:rPr>
        <w:t xml:space="preserve"> (</w:t>
      </w:r>
      <w:proofErr w:type="spellStart"/>
      <w:r>
        <w:rPr>
          <w:lang w:eastAsia="en-GB"/>
        </w:rPr>
        <w:t>N</w:t>
      </w:r>
      <w:r>
        <w:rPr>
          <w:vertAlign w:val="subscript"/>
          <w:lang w:eastAsia="en-GB"/>
        </w:rPr>
        <w:t>t</w:t>
      </w:r>
      <w:proofErr w:type="spellEnd"/>
      <w:r>
        <w:rPr>
          <w:lang w:eastAsia="en-GB"/>
        </w:rPr>
        <w:t xml:space="preserve"> = {32, 64, 128</w:t>
      </w:r>
      <w:proofErr w:type="gramStart"/>
      <w:r>
        <w:rPr>
          <w:lang w:eastAsia="en-GB"/>
        </w:rPr>
        <w:t>} )</w:t>
      </w:r>
      <w:proofErr w:type="gramEnd"/>
      <w:r>
        <w:rPr>
          <w:lang w:eastAsia="en-GB"/>
        </w:rPr>
        <w:t xml:space="preserve">, support </w:t>
      </w:r>
      <w:proofErr w:type="spellStart"/>
      <w:r>
        <w:rPr>
          <w:lang w:eastAsia="en-GB"/>
        </w:rPr>
        <w:t>N</w:t>
      </w:r>
      <w:r>
        <w:rPr>
          <w:vertAlign w:val="subscript"/>
          <w:lang w:eastAsia="en-GB"/>
        </w:rPr>
        <w:t>t</w:t>
      </w:r>
      <w:proofErr w:type="spellEnd"/>
      <w:r>
        <w:rPr>
          <w:lang w:eastAsia="en-GB"/>
        </w:rPr>
        <w:t xml:space="preserve"> = {32, 64}.</w:t>
      </w:r>
      <w:bookmarkEnd w:id="197"/>
    </w:p>
    <w:p w14:paraId="3988EF4F" w14:textId="77777777" w:rsidR="006F733A" w:rsidRDefault="006F733A" w:rsidP="00DD002C"/>
    <w:p w14:paraId="0B07A51B" w14:textId="21BDD18B" w:rsidR="00EE1404" w:rsidRDefault="00EE1404" w:rsidP="00EE1404">
      <w:r>
        <w:t>For the value</w:t>
      </w:r>
      <w:r w:rsidR="002637CA">
        <w:t xml:space="preserve">s of </w:t>
      </w:r>
      <w:proofErr w:type="spellStart"/>
      <w:r w:rsidR="002637CA">
        <w:t>N</w:t>
      </w:r>
      <w:r w:rsidR="002637CA" w:rsidRPr="00182623">
        <w:rPr>
          <w:vertAlign w:val="subscript"/>
        </w:rPr>
        <w:t>t</w:t>
      </w:r>
      <w:proofErr w:type="spellEnd"/>
      <w:r w:rsidR="002637CA">
        <w:t xml:space="preserve">’, it was agreed that </w:t>
      </w:r>
      <w:proofErr w:type="spellStart"/>
      <w:r w:rsidR="002637CA" w:rsidRPr="002637CA">
        <w:t>N</w:t>
      </w:r>
      <w:r w:rsidR="002637CA" w:rsidRPr="00182623">
        <w:rPr>
          <w:vertAlign w:val="subscript"/>
        </w:rPr>
        <w:t>t</w:t>
      </w:r>
      <w:proofErr w:type="spellEnd"/>
      <w:r w:rsidR="002637CA" w:rsidRPr="002637CA">
        <w:t xml:space="preserve">'&lt;=24. </w:t>
      </w:r>
      <w:r>
        <w:t xml:space="preserve">The minimum value of </w:t>
      </w:r>
      <w:proofErr w:type="spellStart"/>
      <w:r>
        <w:t>N</w:t>
      </w:r>
      <w:r w:rsidRPr="00D64FC0">
        <w:rPr>
          <w:vertAlign w:val="subscript"/>
        </w:rPr>
        <w:t>t</w:t>
      </w:r>
      <w:proofErr w:type="spellEnd"/>
      <w:r>
        <w:t xml:space="preserve"> can be set as 9, the same as the maximum number of paths in the existing measurement report. </w:t>
      </w:r>
      <w:r w:rsidR="009D453C">
        <w:t xml:space="preserve">As seen in the study from Rel-18, there are benefit in reporting up to </w:t>
      </w:r>
      <w:r w:rsidR="00650176">
        <w:t xml:space="preserve">the full 24 samples (the SI reports </w:t>
      </w:r>
      <w:proofErr w:type="gramStart"/>
      <w:r w:rsidR="00650176">
        <w:t>shows</w:t>
      </w:r>
      <w:proofErr w:type="gramEnd"/>
      <w:r w:rsidR="00650176">
        <w:t xml:space="preserve"> </w:t>
      </w:r>
      <w:r w:rsidR="009E5FC2">
        <w:t xml:space="preserve">benefits up to </w:t>
      </w:r>
      <w:proofErr w:type="spellStart"/>
      <w:r w:rsidR="009E5FC2">
        <w:t>N</w:t>
      </w:r>
      <w:r w:rsidR="009E5FC2" w:rsidRPr="00182623">
        <w:rPr>
          <w:vertAlign w:val="subscript"/>
        </w:rPr>
        <w:t>t</w:t>
      </w:r>
      <w:proofErr w:type="spellEnd"/>
      <w:r w:rsidR="009E5FC2">
        <w:t>’=64</w:t>
      </w:r>
      <w:r w:rsidR="00650176">
        <w:t xml:space="preserve">) </w:t>
      </w:r>
    </w:p>
    <w:p w14:paraId="7059222A" w14:textId="6D478BB5" w:rsidR="009E2BD7" w:rsidRDefault="00A00767" w:rsidP="00DD002C">
      <w:r>
        <w:t xml:space="preserve">For the different combination of </w:t>
      </w:r>
      <w:proofErr w:type="spellStart"/>
      <w:r w:rsidR="009E2BD7" w:rsidRPr="0002562A">
        <w:t>N</w:t>
      </w:r>
      <w:r w:rsidR="009E2BD7" w:rsidRPr="001B4A11">
        <w:rPr>
          <w:vertAlign w:val="subscript"/>
        </w:rPr>
        <w:t>t</w:t>
      </w:r>
      <w:proofErr w:type="spellEnd"/>
      <w:r w:rsidR="009E2BD7" w:rsidRPr="0002562A">
        <w:t>'</w:t>
      </w:r>
      <w:r w:rsidR="009E2BD7">
        <w:t xml:space="preserve">, </w:t>
      </w:r>
      <w:proofErr w:type="spellStart"/>
      <w:r w:rsidR="009E2BD7" w:rsidRPr="0002562A">
        <w:t>N</w:t>
      </w:r>
      <w:r w:rsidR="009E2BD7" w:rsidRPr="001B4A11">
        <w:rPr>
          <w:vertAlign w:val="subscript"/>
        </w:rPr>
        <w:t>t</w:t>
      </w:r>
      <w:proofErr w:type="spellEnd"/>
      <w:r w:rsidR="009E2BD7" w:rsidRPr="0002562A">
        <w:t>'</w:t>
      </w:r>
      <w:r w:rsidR="000F787B">
        <w:t xml:space="preserve">, at least the legacy </w:t>
      </w:r>
      <w:proofErr w:type="gramStart"/>
      <w:r w:rsidR="0030211B">
        <w:t xml:space="preserve">for </w:t>
      </w:r>
      <w:r w:rsidR="001D1503">
        <w:t xml:space="preserve"> </w:t>
      </w:r>
      <w:proofErr w:type="spellStart"/>
      <w:r w:rsidR="009E2BD7" w:rsidRPr="0002562A">
        <w:t>N</w:t>
      </w:r>
      <w:r w:rsidR="009E2BD7" w:rsidRPr="001B4A11">
        <w:rPr>
          <w:vertAlign w:val="subscript"/>
        </w:rPr>
        <w:t>t</w:t>
      </w:r>
      <w:proofErr w:type="spellEnd"/>
      <w:proofErr w:type="gramEnd"/>
      <w:r w:rsidR="009E2BD7" w:rsidRPr="0002562A">
        <w:t>'</w:t>
      </w:r>
      <w:r w:rsidR="009E2BD7">
        <w:t>=</w:t>
      </w:r>
      <w:r w:rsidR="009E2BD7" w:rsidRPr="009E2BD7">
        <w:t xml:space="preserve"> </w:t>
      </w:r>
      <w:r w:rsidR="001D1503">
        <w:t>9 values should be supported.</w:t>
      </w:r>
      <w:r w:rsidR="002A4A82">
        <w:t xml:space="preserve"> Since larger </w:t>
      </w:r>
      <w:proofErr w:type="spellStart"/>
      <w:r w:rsidR="002A4A82">
        <w:t>N</w:t>
      </w:r>
      <w:r w:rsidR="002A4A82" w:rsidRPr="00E445F4">
        <w:rPr>
          <w:vertAlign w:val="subscript"/>
        </w:rPr>
        <w:t>t</w:t>
      </w:r>
      <w:proofErr w:type="spellEnd"/>
      <w:r w:rsidR="002A4A82">
        <w:t xml:space="preserve">’ (e.g., </w:t>
      </w:r>
      <w:proofErr w:type="spellStart"/>
      <w:r w:rsidR="002A4A82">
        <w:t>N</w:t>
      </w:r>
      <w:r w:rsidR="002A4A82" w:rsidRPr="00E445F4">
        <w:rPr>
          <w:vertAlign w:val="subscript"/>
        </w:rPr>
        <w:t>t</w:t>
      </w:r>
      <w:proofErr w:type="spellEnd"/>
      <w:r w:rsidR="002A4A82">
        <w:t xml:space="preserve">’=64) values have been shown to provide performance benefit, the largest agreed value </w:t>
      </w:r>
      <w:proofErr w:type="spellStart"/>
      <w:r w:rsidR="002A4A82">
        <w:t>N</w:t>
      </w:r>
      <w:r w:rsidR="002A4A82" w:rsidRPr="00E445F4">
        <w:rPr>
          <w:vertAlign w:val="subscript"/>
        </w:rPr>
        <w:t>t</w:t>
      </w:r>
      <w:proofErr w:type="spellEnd"/>
      <w:r w:rsidR="002A4A82">
        <w:t>’=24</w:t>
      </w:r>
      <w:r w:rsidR="001D1503">
        <w:t xml:space="preserve"> </w:t>
      </w:r>
      <w:r w:rsidR="009A2F9F">
        <w:t xml:space="preserve">should be supported. </w:t>
      </w:r>
      <w:r w:rsidR="009E2BD7">
        <w:t>In summary, the following parameter combinations can be supported:</w:t>
      </w:r>
    </w:p>
    <w:p w14:paraId="1527C167" w14:textId="5015B769" w:rsidR="009E2BD7" w:rsidRDefault="009E2BD7" w:rsidP="005925D5">
      <w:pPr>
        <w:pStyle w:val="ListParagraph"/>
        <w:numPr>
          <w:ilvl w:val="1"/>
          <w:numId w:val="80"/>
        </w:numPr>
      </w:pPr>
      <w:r>
        <w:t xml:space="preserve">For </w:t>
      </w:r>
      <w:proofErr w:type="spellStart"/>
      <w:r>
        <w:t>N</w:t>
      </w:r>
      <w:r w:rsidRPr="009E2BD7">
        <w:rPr>
          <w:vertAlign w:val="subscript"/>
        </w:rPr>
        <w:t>t</w:t>
      </w:r>
      <w:proofErr w:type="spellEnd"/>
      <w:r>
        <w:t xml:space="preserve"> = </w:t>
      </w:r>
      <w:r w:rsidR="00B85B4D">
        <w:t>32</w:t>
      </w:r>
      <w:r>
        <w:t>: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 {</w:t>
      </w:r>
      <w:r w:rsidR="00B85B4D">
        <w:t>32</w:t>
      </w:r>
      <w:r>
        <w:t>,</w:t>
      </w:r>
      <w:r w:rsidR="00B85B4D">
        <w:t xml:space="preserve"> </w:t>
      </w:r>
      <w:r w:rsidR="00117268">
        <w:t>24</w:t>
      </w:r>
      <w:r>
        <w:t>}, {</w:t>
      </w:r>
      <w:r w:rsidR="00117268">
        <w:t>32</w:t>
      </w:r>
      <w:r>
        <w:t>, 9</w:t>
      </w:r>
      <w:proofErr w:type="gramStart"/>
      <w:r>
        <w:t>};</w:t>
      </w:r>
      <w:proofErr w:type="gramEnd"/>
    </w:p>
    <w:p w14:paraId="2EBB95EF" w14:textId="6C2A1ED8" w:rsidR="009E2BD7" w:rsidRPr="009E2BD7" w:rsidRDefault="009E2BD7" w:rsidP="005925D5">
      <w:pPr>
        <w:pStyle w:val="ListParagraph"/>
        <w:numPr>
          <w:ilvl w:val="1"/>
          <w:numId w:val="80"/>
        </w:numPr>
      </w:pPr>
      <w:r>
        <w:t xml:space="preserve">For </w:t>
      </w:r>
      <w:proofErr w:type="spellStart"/>
      <w:r>
        <w:t>N</w:t>
      </w:r>
      <w:r w:rsidRPr="009E2BD7">
        <w:rPr>
          <w:vertAlign w:val="subscript"/>
        </w:rPr>
        <w:t>t</w:t>
      </w:r>
      <w:proofErr w:type="spellEnd"/>
      <w:r>
        <w:t xml:space="preserve"> = 64: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xml:space="preserve">} = {64, </w:t>
      </w:r>
      <w:r w:rsidR="00870FFE">
        <w:t>24</w:t>
      </w:r>
      <w:r>
        <w:t>}, {64, 16}, {64, 9</w:t>
      </w:r>
      <w:proofErr w:type="gramStart"/>
      <w:r>
        <w:t>};</w:t>
      </w:r>
      <w:proofErr w:type="gramEnd"/>
    </w:p>
    <w:p w14:paraId="476F659D" w14:textId="77777777" w:rsidR="00400B93" w:rsidRDefault="00400B93" w:rsidP="00DD002C"/>
    <w:p w14:paraId="251492F6" w14:textId="1A4C7495" w:rsidR="00400B93" w:rsidRDefault="00400B93" w:rsidP="00117268">
      <w:pPr>
        <w:pStyle w:val="Proposal"/>
        <w:rPr>
          <w:lang w:eastAsia="en-GB"/>
        </w:rPr>
      </w:pPr>
      <w:bookmarkStart w:id="198" w:name="_Toc189845101"/>
      <w:r>
        <w:rPr>
          <w:lang w:eastAsia="en-GB"/>
        </w:rPr>
        <w:t xml:space="preserve">From the candidate values agreed in RAN1#119 </w:t>
      </w:r>
      <w:r w:rsidR="00A566AE">
        <w:rPr>
          <w:lang w:eastAsia="en-GB"/>
        </w:rPr>
        <w:t xml:space="preserve">for </w:t>
      </w:r>
      <w:proofErr w:type="spellStart"/>
      <w:r w:rsidR="00A566AE" w:rsidRPr="0002562A">
        <w:t>N</w:t>
      </w:r>
      <w:r w:rsidR="00A566AE" w:rsidRPr="001B4A11">
        <w:rPr>
          <w:vertAlign w:val="subscript"/>
        </w:rPr>
        <w:t>t</w:t>
      </w:r>
      <w:proofErr w:type="spellEnd"/>
      <w:r w:rsidR="00A566AE" w:rsidRPr="0002562A">
        <w:t>'</w:t>
      </w:r>
      <w:r w:rsidR="00A566AE">
        <w:rPr>
          <w:lang w:eastAsia="en-GB"/>
        </w:rPr>
        <w:t xml:space="preserve"> </w:t>
      </w:r>
      <w:r>
        <w:rPr>
          <w:lang w:eastAsia="en-GB"/>
        </w:rPr>
        <w:t>(</w:t>
      </w:r>
      <w:proofErr w:type="spellStart"/>
      <w:r w:rsidRPr="0002562A">
        <w:t>N</w:t>
      </w:r>
      <w:r w:rsidRPr="001B4A11">
        <w:rPr>
          <w:vertAlign w:val="subscript"/>
        </w:rPr>
        <w:t>t</w:t>
      </w:r>
      <w:proofErr w:type="spellEnd"/>
      <w:r w:rsidRPr="0002562A">
        <w:t>'</w:t>
      </w:r>
      <w:r>
        <w:rPr>
          <w:lang w:eastAsia="en-GB"/>
        </w:rPr>
        <w:t xml:space="preserve"> </w:t>
      </w:r>
      <w:r w:rsidR="006A5BA5">
        <w:rPr>
          <w:lang w:eastAsia="en-GB"/>
        </w:rPr>
        <w:t xml:space="preserve">&lt;=24), </w:t>
      </w:r>
      <w:proofErr w:type="spellStart"/>
      <w:r w:rsidR="00117268" w:rsidRPr="0002562A">
        <w:t>N</w:t>
      </w:r>
      <w:r w:rsidR="00117268" w:rsidRPr="001B4A11">
        <w:rPr>
          <w:vertAlign w:val="subscript"/>
        </w:rPr>
        <w:t>t</w:t>
      </w:r>
      <w:proofErr w:type="spellEnd"/>
      <w:r w:rsidR="00117268" w:rsidRPr="0002562A">
        <w:t>'</w:t>
      </w:r>
      <w:r w:rsidR="00117268">
        <w:t xml:space="preserve"> </w:t>
      </w:r>
      <w:r w:rsidR="006A5BA5">
        <w:rPr>
          <w:lang w:eastAsia="en-GB"/>
        </w:rPr>
        <w:t>values</w:t>
      </w:r>
      <w:r>
        <w:rPr>
          <w:lang w:eastAsia="en-GB"/>
        </w:rPr>
        <w:t xml:space="preserve"> {9, 16, 24} </w:t>
      </w:r>
      <w:r w:rsidR="00117268">
        <w:rPr>
          <w:lang w:eastAsia="en-GB"/>
        </w:rPr>
        <w:t>are</w:t>
      </w:r>
      <w:r w:rsidR="006A5BA5">
        <w:rPr>
          <w:lang w:eastAsia="en-GB"/>
        </w:rPr>
        <w:t xml:space="preserve"> supported</w:t>
      </w:r>
      <w:r w:rsidR="00117268">
        <w:rPr>
          <w:lang w:eastAsia="en-GB"/>
        </w:rPr>
        <w:t>.</w:t>
      </w:r>
      <w:bookmarkEnd w:id="198"/>
    </w:p>
    <w:p w14:paraId="1B579742" w14:textId="3415EA61" w:rsidR="002A4A82" w:rsidRDefault="002A4A82" w:rsidP="00182623">
      <w:pPr>
        <w:pStyle w:val="Proposal"/>
        <w:rPr>
          <w:lang w:eastAsia="en-GB"/>
        </w:rPr>
      </w:pPr>
      <w:bookmarkStart w:id="199" w:name="_Toc189845102"/>
      <w:r>
        <w:rPr>
          <w:lang w:eastAsia="en-GB"/>
        </w:rPr>
        <w:t xml:space="preserve">For </w:t>
      </w:r>
      <w:r>
        <w:t>{</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support these combinations: {32, 24}, {32, 9}; {64, 24}, {64, 16}, {64, 9}.</w:t>
      </w:r>
      <w:bookmarkEnd w:id="199"/>
    </w:p>
    <w:p w14:paraId="3DF2C24B" w14:textId="77777777" w:rsidR="00400B93" w:rsidRDefault="00400B93" w:rsidP="00DD002C"/>
    <w:p w14:paraId="55BF9597" w14:textId="21DED9E1" w:rsidR="00B71BFC" w:rsidRDefault="00B71BFC" w:rsidP="00DD002C">
      <w:r>
        <w:t>The exact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xml:space="preserve">} value to configure may depends on the deployment environment (e.g., </w:t>
      </w:r>
      <w:r w:rsidR="00A86605">
        <w:t xml:space="preserve">heavily </w:t>
      </w:r>
      <w:proofErr w:type="spellStart"/>
      <w:r>
        <w:t>NLoS</w:t>
      </w:r>
      <w:proofErr w:type="spellEnd"/>
      <w:r>
        <w:t xml:space="preserve"> or not), </w:t>
      </w:r>
      <w:r w:rsidR="009A0C9C">
        <w:t xml:space="preserve">system </w:t>
      </w:r>
      <w:r w:rsidR="006E3905">
        <w:t>parameters</w:t>
      </w:r>
      <w:r w:rsidR="009A0C9C">
        <w:t xml:space="preserve"> including </w:t>
      </w:r>
      <w:r>
        <w:t xml:space="preserve">SRS configuration (e.g., </w:t>
      </w:r>
      <w:r w:rsidR="00B14759">
        <w:t xml:space="preserve">carrier frequency, </w:t>
      </w:r>
      <w:r>
        <w:t xml:space="preserve">SRS bandwidth), and the k values for timing granularity. </w:t>
      </w:r>
      <w:r w:rsidR="006E3905">
        <w:t>Exactly how to select the {</w:t>
      </w:r>
      <w:proofErr w:type="spellStart"/>
      <w:r w:rsidR="006E3905" w:rsidRPr="0002562A">
        <w:t>N</w:t>
      </w:r>
      <w:r w:rsidR="006E3905" w:rsidRPr="001B4A11">
        <w:rPr>
          <w:vertAlign w:val="subscript"/>
        </w:rPr>
        <w:t>t</w:t>
      </w:r>
      <w:proofErr w:type="spellEnd"/>
      <w:r w:rsidR="006E3905">
        <w:t xml:space="preserve">, </w:t>
      </w:r>
      <w:proofErr w:type="spellStart"/>
      <w:r w:rsidR="006E3905" w:rsidRPr="0002562A">
        <w:t>N</w:t>
      </w:r>
      <w:r w:rsidR="006E3905" w:rsidRPr="001B4A11">
        <w:rPr>
          <w:vertAlign w:val="subscript"/>
        </w:rPr>
        <w:t>t</w:t>
      </w:r>
      <w:proofErr w:type="spellEnd"/>
      <w:r w:rsidR="006E3905" w:rsidRPr="0002562A">
        <w:t>'</w:t>
      </w:r>
      <w:r w:rsidR="006E3905">
        <w:t>} value</w:t>
      </w:r>
      <w:r w:rsidR="0037616E">
        <w:t xml:space="preserve"> from the possible combinations</w:t>
      </w:r>
      <w:r>
        <w:t xml:space="preserve"> can be up to LMF implementation.</w:t>
      </w:r>
    </w:p>
    <w:p w14:paraId="76165FB1" w14:textId="43D822E5" w:rsidR="00DD002C" w:rsidRDefault="00DD002C" w:rsidP="00DD002C">
      <w:r>
        <w:t>In terms of k values, for legacy measurement report for DL-TDOA and multi-RTT,</w:t>
      </w:r>
    </w:p>
    <w:p w14:paraId="53621019" w14:textId="77777777" w:rsidR="00DD002C" w:rsidRPr="00F60309" w:rsidRDefault="00DD002C" w:rsidP="00D35F36">
      <w:pPr>
        <w:pStyle w:val="ListParagraph"/>
        <w:numPr>
          <w:ilvl w:val="0"/>
          <w:numId w:val="21"/>
        </w:numPr>
      </w:pPr>
      <w:r>
        <w:t xml:space="preserve">Up to Rel-17, the set of possible k values are: {0…5}. That is, the timing measurement granularity ranges from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(i.e., 0.51 ns) to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(i.e., 18.75 ns). </w:t>
      </w:r>
    </w:p>
    <w:p w14:paraId="7410603A" w14:textId="77777777" w:rsidR="00DD002C" w:rsidRDefault="00DD002C" w:rsidP="00D35F36">
      <w:pPr>
        <w:pStyle w:val="ListParagraph"/>
        <w:numPr>
          <w:ilvl w:val="0"/>
          <w:numId w:val="21"/>
        </w:numPr>
      </w:pPr>
      <w:r>
        <w:t xml:space="preserve">In Rel-18, new </w:t>
      </w:r>
      <w:proofErr w:type="spellStart"/>
      <w:r w:rsidRPr="00D005BD">
        <w:rPr>
          <w:i/>
          <w:iCs/>
        </w:rPr>
        <w:t>ReportingGranularityfactor</w:t>
      </w:r>
      <w:proofErr w:type="spellEnd"/>
      <w:r>
        <w:t xml:space="preserve"> values are added for </w:t>
      </w:r>
      <w:r w:rsidRPr="008E68FF">
        <w:t>Carrier Phase Positioning</w:t>
      </w:r>
      <w:r>
        <w:t xml:space="preserve">: {-6 … -1}. That is, the new timing measurement granularity ranges from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/64</m:t>
        </m:r>
      </m:oMath>
      <w:r>
        <w:t xml:space="preserve"> (i.e., 0.008 ns) to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/2</m:t>
        </m:r>
      </m:oMath>
      <w:r>
        <w:t xml:space="preserve"> (i.e.,0.25 ns).</w:t>
      </w:r>
    </w:p>
    <w:p w14:paraId="33488669" w14:textId="77777777" w:rsidR="00DD002C" w:rsidRDefault="00DD002C" w:rsidP="00DD002C">
      <w:r>
        <w:rPr>
          <w:rFonts w:cs="Arial"/>
          <w:szCs w:val="20"/>
        </w:rPr>
        <w:t xml:space="preserve">Note: </w:t>
      </w:r>
      <w:r w:rsidRPr="003E1AC0">
        <w:rPr>
          <w:rFonts w:cs="Arial"/>
          <w:i/>
          <w:szCs w:val="20"/>
        </w:rPr>
        <w:t>T</w:t>
      </w:r>
      <w:r w:rsidRPr="003E1AC0">
        <w:rPr>
          <w:rFonts w:cs="Arial"/>
          <w:szCs w:val="20"/>
          <w:vertAlign w:val="subscript"/>
        </w:rPr>
        <w:t>c</w:t>
      </w:r>
      <w:r>
        <w:rPr>
          <w:rFonts w:cs="Arial"/>
          <w:szCs w:val="20"/>
        </w:rPr>
        <w:t xml:space="preserve"> is the basic NR timing unit, and </w:t>
      </w:r>
      <w:r w:rsidRPr="003E1AC0">
        <w:rPr>
          <w:rFonts w:cs="Arial"/>
          <w:i/>
          <w:szCs w:val="20"/>
        </w:rPr>
        <w:t>T</w:t>
      </w:r>
      <w:r w:rsidRPr="003E1AC0">
        <w:rPr>
          <w:rFonts w:cs="Arial"/>
          <w:szCs w:val="20"/>
          <w:vertAlign w:val="subscript"/>
        </w:rPr>
        <w:t>c</w:t>
      </w:r>
      <w:r w:rsidRPr="003E1AC0">
        <w:rPr>
          <w:rFonts w:cs="Arial"/>
          <w:szCs w:val="20"/>
        </w:rPr>
        <w:t xml:space="preserve"> </w:t>
      </w:r>
      <w:r w:rsidRPr="003E1AC0">
        <w:rPr>
          <w:rFonts w:eastAsia="SymbolMT" w:cs="Arial"/>
          <w:szCs w:val="20"/>
        </w:rPr>
        <w:t xml:space="preserve">= </w:t>
      </w:r>
      <w:r w:rsidRPr="003E1AC0">
        <w:rPr>
          <w:rFonts w:cs="Arial"/>
          <w:szCs w:val="20"/>
        </w:rPr>
        <w:t>1/ (</w:t>
      </w:r>
      <w:r w:rsidRPr="003E1AC0">
        <w:rPr>
          <w:rFonts w:eastAsia="SymbolMT" w:cs="Arial"/>
          <w:szCs w:val="20"/>
        </w:rPr>
        <w:t>Δ</w:t>
      </w:r>
      <w:r w:rsidRPr="003E1AC0">
        <w:rPr>
          <w:rFonts w:ascii="Cambria Math" w:eastAsia="CambriaMath" w:hAnsi="Cambria Math" w:cs="Cambria Math"/>
          <w:szCs w:val="20"/>
        </w:rPr>
        <w:t>𝑓</w:t>
      </w:r>
      <w:r w:rsidRPr="003E1AC0">
        <w:rPr>
          <w:rFonts w:cs="Arial"/>
          <w:szCs w:val="20"/>
          <w:vertAlign w:val="subscript"/>
        </w:rPr>
        <w:t>max</w:t>
      </w:r>
      <w:r w:rsidRPr="003E1AC0">
        <w:rPr>
          <w:rFonts w:cs="Arial"/>
          <w:szCs w:val="20"/>
        </w:rPr>
        <w:t xml:space="preserve"> </w:t>
      </w:r>
      <w:r w:rsidRPr="003E1AC0">
        <w:rPr>
          <w:rFonts w:ascii="Cambria Math" w:eastAsia="SymbolMT" w:hAnsi="Cambria Math" w:cs="Cambria Math"/>
          <w:szCs w:val="20"/>
        </w:rPr>
        <w:t>⋅</w:t>
      </w:r>
      <w:r w:rsidRPr="003E1AC0">
        <w:rPr>
          <w:rFonts w:eastAsia="SymbolMT" w:cs="Arial"/>
          <w:szCs w:val="20"/>
        </w:rPr>
        <w:t xml:space="preserve"> </w:t>
      </w:r>
      <w:proofErr w:type="spellStart"/>
      <w:r w:rsidRPr="003E1AC0">
        <w:rPr>
          <w:rFonts w:eastAsia="SimSun" w:cs="Times New Roman"/>
          <w:i/>
          <w:szCs w:val="20"/>
        </w:rPr>
        <w:t>N</w:t>
      </w:r>
      <w:r w:rsidRPr="003E1AC0">
        <w:rPr>
          <w:rFonts w:eastAsia="SimSun" w:cs="Times New Roman"/>
          <w:iCs/>
          <w:szCs w:val="20"/>
          <w:vertAlign w:val="subscript"/>
        </w:rPr>
        <w:t>f</w:t>
      </w:r>
      <w:proofErr w:type="spellEnd"/>
      <w:r w:rsidRPr="003E1AC0">
        <w:rPr>
          <w:rFonts w:cs="Arial"/>
          <w:szCs w:val="20"/>
        </w:rPr>
        <w:t>)</w:t>
      </w:r>
      <w:r w:rsidRPr="00F60309">
        <w:t xml:space="preserve"> = 1</w:t>
      </w:r>
      <w:proofErr w:type="gramStart"/>
      <w:r w:rsidRPr="00F60309">
        <w:t>/(</w:t>
      </w:r>
      <w:proofErr w:type="gramEnd"/>
      <w:r w:rsidRPr="00F60309">
        <w:t>480*10</w:t>
      </w:r>
      <w:r w:rsidRPr="00F60309">
        <w:rPr>
          <w:vertAlign w:val="superscript"/>
        </w:rPr>
        <w:t>3</w:t>
      </w:r>
      <w:r w:rsidRPr="00F60309">
        <w:t>*4096) = 0.5086 (ns).</w:t>
      </w:r>
    </w:p>
    <w:p w14:paraId="00592F02" w14:textId="77777777" w:rsidR="00DD002C" w:rsidRDefault="00DD002C" w:rsidP="00DD002C"/>
    <w:p w14:paraId="786D106D" w14:textId="77777777" w:rsidR="00DD002C" w:rsidRDefault="00DD002C" w:rsidP="00DD002C">
      <w:r>
        <w:t xml:space="preserve">According to the existing specification (see extracted texts for DL-TDOA below), the Rel-16 </w:t>
      </w:r>
      <w:proofErr w:type="spellStart"/>
      <w:r w:rsidRPr="00D005BD">
        <w:rPr>
          <w:i/>
          <w:iCs/>
          <w:szCs w:val="20"/>
        </w:rPr>
        <w:t>ReportingGranularityfactor</w:t>
      </w:r>
      <w:proofErr w:type="spellEnd"/>
      <w:r>
        <w:t xml:space="preserve"> and Rel-18 </w:t>
      </w:r>
      <w:proofErr w:type="spellStart"/>
      <w:r w:rsidRPr="00F60309">
        <w:rPr>
          <w:i/>
          <w:iCs/>
        </w:rPr>
        <w:t>timingReportingGranularityFactorExt</w:t>
      </w:r>
      <w:proofErr w:type="spellEnd"/>
      <w:r>
        <w:t xml:space="preserve"> are not used at the same time, i.e., only one is included.</w:t>
      </w:r>
    </w:p>
    <w:tbl>
      <w:tblPr>
        <w:tblStyle w:val="TableGrid"/>
        <w:tblW w:w="0" w:type="auto"/>
        <w:tblLook w:val="04A0" w:firstRow="1" w:lastRow="0" w:firstColumn="1" w:lastColumn="0" w:noHBand="0" w:noVBand="1"/>
      </w:tblPr>
      <w:tblGrid>
        <w:gridCol w:w="9962"/>
      </w:tblGrid>
      <w:tr w:rsidR="00DD002C" w14:paraId="19DFD4DC" w14:textId="77777777">
        <w:tc>
          <w:tcPr>
            <w:tcW w:w="9962" w:type="dxa"/>
          </w:tcPr>
          <w:p w14:paraId="0B1C285A" w14:textId="77777777" w:rsidR="00DD002C" w:rsidRDefault="00DD002C">
            <w:r>
              <w:t>TS 37.355 v18.2.0</w:t>
            </w:r>
          </w:p>
          <w:p w14:paraId="5244C535" w14:textId="77777777" w:rsidR="00DD002C" w:rsidRPr="00C96D6C" w:rsidRDefault="00DD002C">
            <w:pPr>
              <w:pStyle w:val="PL"/>
              <w:rPr>
                <w:snapToGrid w:val="0"/>
              </w:rPr>
            </w:pPr>
            <w:r w:rsidRPr="00C96D6C">
              <w:rPr>
                <w:snapToGrid w:val="0"/>
              </w:rPr>
              <w:t>NR-DL-TDOA-ReportConfig-r16 ::= SEQUENCE {</w:t>
            </w:r>
          </w:p>
          <w:p w14:paraId="334E6B28" w14:textId="77777777" w:rsidR="00DD002C" w:rsidRPr="00C96D6C" w:rsidRDefault="00DD002C">
            <w:pPr>
              <w:pStyle w:val="PL"/>
              <w:rPr>
                <w:snapToGrid w:val="0"/>
              </w:rPr>
            </w:pPr>
            <w:r w:rsidRPr="00C96D6C">
              <w:tab/>
              <w:t>maxDL-PRS-RSTD-MeasurementsPerTRP-Pair-r16</w:t>
            </w:r>
            <w:r w:rsidRPr="00C96D6C">
              <w:tab/>
            </w:r>
            <w:r w:rsidRPr="00C96D6C">
              <w:rPr>
                <w:snapToGrid w:val="0"/>
              </w:rPr>
              <w:t>INTEGER (1..4)</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62719C65" w14:textId="77777777" w:rsidR="00DD002C" w:rsidRPr="00C96D6C" w:rsidRDefault="00DD002C">
            <w:pPr>
              <w:pStyle w:val="PL"/>
              <w:rPr>
                <w:snapToGrid w:val="0"/>
              </w:rPr>
            </w:pPr>
            <w:r w:rsidRPr="00C96D6C">
              <w:rPr>
                <w:snapToGrid w:val="0"/>
              </w:rPr>
              <w:tab/>
            </w:r>
            <w:r w:rsidRPr="00F60309">
              <w:rPr>
                <w:snapToGrid w:val="0"/>
                <w:color w:val="FF0000"/>
              </w:rPr>
              <w:t>timingReportingGranularityFactor-r16</w:t>
            </w:r>
            <w:r w:rsidRPr="00F60309">
              <w:rPr>
                <w:snapToGrid w:val="0"/>
                <w:color w:val="FF0000"/>
              </w:rPr>
              <w:tab/>
            </w:r>
            <w:r w:rsidRPr="00F60309">
              <w:rPr>
                <w:snapToGrid w:val="0"/>
                <w:color w:val="FF0000"/>
              </w:rPr>
              <w:tab/>
              <w:t>INTEGER (0..5)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3B89B7BE" w14:textId="77777777" w:rsidR="00DD002C" w:rsidRPr="00C96D6C" w:rsidRDefault="00DD002C">
            <w:pPr>
              <w:pStyle w:val="PL"/>
              <w:rPr>
                <w:snapToGrid w:val="0"/>
              </w:rPr>
            </w:pPr>
            <w:r w:rsidRPr="00C96D6C">
              <w:rPr>
                <w:snapToGrid w:val="0"/>
              </w:rPr>
              <w:tab/>
              <w:t>...,</w:t>
            </w:r>
          </w:p>
          <w:p w14:paraId="2D5AC0D4" w14:textId="77777777" w:rsidR="00DD002C" w:rsidRPr="00C96D6C" w:rsidRDefault="00DD002C">
            <w:pPr>
              <w:pStyle w:val="PL"/>
              <w:rPr>
                <w:snapToGrid w:val="0"/>
              </w:rPr>
            </w:pPr>
            <w:r w:rsidRPr="00C96D6C">
              <w:rPr>
                <w:snapToGrid w:val="0"/>
              </w:rPr>
              <w:tab/>
              <w:t>[[</w:t>
            </w:r>
          </w:p>
          <w:p w14:paraId="0DA43F77" w14:textId="77777777" w:rsidR="00DD002C" w:rsidRPr="00C96D6C" w:rsidRDefault="00DD002C">
            <w:pPr>
              <w:pStyle w:val="PL"/>
              <w:rPr>
                <w:snapToGrid w:val="0"/>
              </w:rPr>
            </w:pPr>
            <w:r w:rsidRPr="00C96D6C">
              <w:rPr>
                <w:snapToGrid w:val="0"/>
              </w:rPr>
              <w:tab/>
              <w:t>measureSameDL-PRS-ResourceWithDifferentRxTEGs-r17</w:t>
            </w:r>
          </w:p>
          <w:p w14:paraId="71235F6A" w14:textId="77777777" w:rsidR="00DD002C" w:rsidRPr="00C96D6C" w:rsidRDefault="00DD002C">
            <w:pPr>
              <w:pStyle w:val="PL"/>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n0, n2, n3, n4, n6, n8, ... }</w:t>
            </w:r>
          </w:p>
          <w:p w14:paraId="751065A2" w14:textId="77777777" w:rsidR="00DD002C" w:rsidRPr="00C96D6C" w:rsidRDefault="00DD002C">
            <w:pPr>
              <w:pStyle w:val="PL"/>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 -- Need ON</w:t>
            </w:r>
          </w:p>
          <w:p w14:paraId="1117E912" w14:textId="77777777" w:rsidR="00DD002C" w:rsidRPr="00C96D6C" w:rsidRDefault="00DD002C">
            <w:pPr>
              <w:pStyle w:val="PL"/>
              <w:rPr>
                <w:snapToGrid w:val="0"/>
              </w:rPr>
            </w:pPr>
            <w:r w:rsidRPr="00C96D6C">
              <w:rPr>
                <w:snapToGrid w:val="0"/>
              </w:rPr>
              <w:tab/>
              <w:t>reducedDL-PRS-ProcessingSamples-r17</w:t>
            </w:r>
            <w:r w:rsidRPr="00C96D6C">
              <w:rPr>
                <w:snapToGrid w:val="0"/>
              </w:rPr>
              <w:tab/>
            </w:r>
            <w:r w:rsidRPr="00C96D6C">
              <w:rPr>
                <w:snapToGrid w:val="0"/>
              </w:rPr>
              <w:tab/>
            </w:r>
            <w:r w:rsidRPr="00C96D6C">
              <w:rPr>
                <w:snapToGrid w:val="0"/>
              </w:rPr>
              <w:tab/>
              <w:t>ENUMERATED { requested, ... }</w:t>
            </w:r>
            <w:r w:rsidRPr="00C96D6C">
              <w:rPr>
                <w:snapToGrid w:val="0"/>
              </w:rPr>
              <w:tab/>
              <w:t>OPTIONAL, -- Need ON</w:t>
            </w:r>
          </w:p>
          <w:p w14:paraId="5D551CB2" w14:textId="77777777" w:rsidR="00DD002C" w:rsidRPr="00C96D6C" w:rsidRDefault="00DD002C">
            <w:pPr>
              <w:pStyle w:val="PL"/>
              <w:rPr>
                <w:snapToGrid w:val="0"/>
              </w:rPr>
            </w:pPr>
            <w:r w:rsidRPr="00C96D6C">
              <w:rPr>
                <w:snapToGrid w:val="0"/>
              </w:rPr>
              <w:tab/>
              <w:t>l</w:t>
            </w:r>
            <w:r w:rsidRPr="00C96D6C">
              <w:t>owerRxBeamSweepingFactor-FR2-r17</w:t>
            </w:r>
            <w:r w:rsidRPr="00C96D6C">
              <w:tab/>
            </w:r>
            <w:r w:rsidRPr="00C96D6C">
              <w:tab/>
            </w:r>
            <w:r w:rsidRPr="00C96D6C">
              <w:tab/>
              <w:t>ENUMERATED { requested }</w:t>
            </w:r>
            <w:r w:rsidRPr="00C96D6C">
              <w:tab/>
            </w:r>
            <w:r w:rsidRPr="00C96D6C">
              <w:tab/>
              <w:t>OPTIONAL  -- Need ON</w:t>
            </w:r>
          </w:p>
          <w:p w14:paraId="253ACB9B" w14:textId="77777777" w:rsidR="00DD002C" w:rsidRPr="00C96D6C" w:rsidRDefault="00DD002C">
            <w:pPr>
              <w:pStyle w:val="PL"/>
              <w:rPr>
                <w:snapToGrid w:val="0"/>
              </w:rPr>
            </w:pPr>
            <w:r w:rsidRPr="00C96D6C">
              <w:rPr>
                <w:snapToGrid w:val="0"/>
              </w:rPr>
              <w:tab/>
              <w:t>]],</w:t>
            </w:r>
          </w:p>
          <w:p w14:paraId="5BA1C536" w14:textId="77777777" w:rsidR="00DD002C" w:rsidRPr="00C96D6C" w:rsidRDefault="00DD002C">
            <w:pPr>
              <w:pStyle w:val="PL"/>
              <w:rPr>
                <w:snapToGrid w:val="0"/>
              </w:rPr>
            </w:pPr>
            <w:r w:rsidRPr="00C96D6C">
              <w:rPr>
                <w:snapToGrid w:val="0"/>
              </w:rPr>
              <w:tab/>
              <w:t>[[</w:t>
            </w:r>
          </w:p>
          <w:p w14:paraId="68178287" w14:textId="77777777" w:rsidR="00DD002C" w:rsidRPr="00C96D6C" w:rsidRDefault="00DD002C">
            <w:pPr>
              <w:pStyle w:val="PL"/>
              <w:rPr>
                <w:snapToGrid w:val="0"/>
              </w:rPr>
            </w:pPr>
            <w:r w:rsidRPr="00C96D6C">
              <w:rPr>
                <w:snapToGrid w:val="0"/>
              </w:rPr>
              <w:tab/>
            </w:r>
            <w:r w:rsidRPr="00F60309">
              <w:rPr>
                <w:snapToGrid w:val="0"/>
                <w:color w:val="FF0000"/>
              </w:rPr>
              <w:t>timingReportingGranularityFactorExt-r18</w:t>
            </w:r>
            <w:r w:rsidRPr="00F60309">
              <w:rPr>
                <w:snapToGrid w:val="0"/>
                <w:color w:val="FF0000"/>
              </w:rPr>
              <w:tab/>
            </w:r>
            <w:r w:rsidRPr="00F60309">
              <w:rPr>
                <w:snapToGrid w:val="0"/>
                <w:color w:val="FF0000"/>
              </w:rPr>
              <w:tab/>
              <w:t>INTEGER (-6..-1)</w:t>
            </w:r>
            <w:r w:rsidRPr="00C96D6C">
              <w:rPr>
                <w:snapToGrid w:val="0"/>
              </w:rPr>
              <w:tab/>
            </w:r>
            <w:r w:rsidRPr="00C96D6C">
              <w:rPr>
                <w:snapToGrid w:val="0"/>
              </w:rPr>
              <w:tab/>
            </w:r>
            <w:r w:rsidRPr="00C96D6C">
              <w:rPr>
                <w:snapToGrid w:val="0"/>
              </w:rPr>
              <w:tab/>
            </w:r>
            <w:r w:rsidRPr="00C96D6C">
              <w:rPr>
                <w:snapToGrid w:val="0"/>
              </w:rPr>
              <w:tab/>
              <w:t>OPTIONAL, -- Need ON</w:t>
            </w:r>
          </w:p>
          <w:p w14:paraId="68F7740B" w14:textId="77777777" w:rsidR="00DD002C" w:rsidRPr="00C96D6C" w:rsidRDefault="00DD002C">
            <w:pPr>
              <w:pStyle w:val="PL"/>
              <w:rPr>
                <w:snapToGrid w:val="0"/>
              </w:rPr>
            </w:pPr>
            <w:r w:rsidRPr="00C96D6C">
              <w:rPr>
                <w:snapToGrid w:val="0"/>
              </w:rPr>
              <w:tab/>
              <w:t>nr-DL-PRS-MeasurementTimeWindowsConfig-r18</w:t>
            </w:r>
          </w:p>
          <w:p w14:paraId="782BC5A0" w14:textId="77777777" w:rsidR="00DD002C" w:rsidRPr="00C96D6C" w:rsidRDefault="00DD002C">
            <w:pPr>
              <w:pStyle w:val="PL"/>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NR-DL-PRS-MeasurementTimeWindowsConfig-r18</w:t>
            </w:r>
            <w:r w:rsidRPr="00C96D6C">
              <w:rPr>
                <w:snapToGrid w:val="0"/>
              </w:rPr>
              <w:tab/>
            </w:r>
            <w:r w:rsidRPr="00C96D6C">
              <w:rPr>
                <w:snapToGrid w:val="0"/>
              </w:rPr>
              <w:tab/>
            </w:r>
            <w:r w:rsidRPr="00C96D6C">
              <w:rPr>
                <w:snapToGrid w:val="0"/>
              </w:rPr>
              <w:tab/>
              <w:t>OPTIONAL  -- Need ON</w:t>
            </w:r>
          </w:p>
          <w:p w14:paraId="42498017" w14:textId="77777777" w:rsidR="00DD002C" w:rsidRPr="00C96D6C" w:rsidRDefault="00DD002C">
            <w:pPr>
              <w:pStyle w:val="PL"/>
              <w:rPr>
                <w:snapToGrid w:val="0"/>
              </w:rPr>
            </w:pPr>
            <w:r w:rsidRPr="00C96D6C">
              <w:rPr>
                <w:snapToGrid w:val="0"/>
              </w:rPr>
              <w:tab/>
              <w:t>]]</w:t>
            </w:r>
          </w:p>
          <w:p w14:paraId="18C3BAAA" w14:textId="77777777" w:rsidR="00DD002C" w:rsidRPr="00C96D6C" w:rsidRDefault="00DD002C">
            <w:pPr>
              <w:pStyle w:val="PL"/>
            </w:pPr>
            <w:r w:rsidRPr="00C96D6C">
              <w:t>}</w:t>
            </w:r>
          </w:p>
          <w:p w14:paraId="27DCCA1A" w14:textId="77777777" w:rsidR="00DD002C" w:rsidRDefault="00DD00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DD002C" w:rsidRPr="00C96D6C" w14:paraId="5F91452C" w14:textId="77777777">
              <w:trPr>
                <w:cantSplit/>
              </w:trPr>
              <w:tc>
                <w:tcPr>
                  <w:tcW w:w="9639" w:type="dxa"/>
                </w:tcPr>
                <w:p w14:paraId="5C41FFB7" w14:textId="77777777" w:rsidR="00DD002C" w:rsidRPr="00C96D6C" w:rsidRDefault="00DD002C">
                  <w:pPr>
                    <w:pStyle w:val="TAL"/>
                    <w:keepNext w:val="0"/>
                    <w:keepLines w:val="0"/>
                    <w:widowControl w:val="0"/>
                    <w:rPr>
                      <w:b/>
                      <w:bCs/>
                      <w:i/>
                      <w:iCs/>
                      <w:noProof/>
                    </w:rPr>
                  </w:pPr>
                  <w:r w:rsidRPr="00C96D6C">
                    <w:rPr>
                      <w:b/>
                      <w:bCs/>
                      <w:i/>
                      <w:iCs/>
                      <w:noProof/>
                    </w:rPr>
                    <w:t>timingReportingGranularityFactor</w:t>
                  </w:r>
                  <w:r w:rsidRPr="00C96D6C">
                    <w:rPr>
                      <w:b/>
                      <w:bCs/>
                      <w:i/>
                      <w:iCs/>
                      <w:noProof/>
                      <w:lang w:eastAsia="zh-CN"/>
                    </w:rPr>
                    <w:t xml:space="preserve">, </w:t>
                  </w:r>
                  <w:r w:rsidRPr="00C96D6C">
                    <w:rPr>
                      <w:rFonts w:eastAsia="Yu Mincho"/>
                      <w:b/>
                      <w:bCs/>
                      <w:i/>
                      <w:iCs/>
                      <w:noProof/>
                    </w:rPr>
                    <w:t>timingReportingGranularityFactor</w:t>
                  </w:r>
                  <w:r w:rsidRPr="00C96D6C">
                    <w:rPr>
                      <w:rFonts w:eastAsia="Yu Mincho"/>
                      <w:b/>
                      <w:bCs/>
                      <w:i/>
                      <w:iCs/>
                      <w:noProof/>
                      <w:lang w:eastAsia="zh-CN"/>
                    </w:rPr>
                    <w:t>Ext</w:t>
                  </w:r>
                </w:p>
                <w:p w14:paraId="6AFBF921" w14:textId="77777777" w:rsidR="00DD002C" w:rsidRPr="00C96D6C" w:rsidRDefault="00DD002C">
                  <w:pPr>
                    <w:pStyle w:val="TAL"/>
                    <w:keepNext w:val="0"/>
                    <w:keepLines w:val="0"/>
                    <w:widowControl w:val="0"/>
                    <w:rPr>
                      <w:b/>
                      <w:i/>
                      <w:noProof/>
                    </w:rPr>
                  </w:pPr>
                  <w:r w:rsidRPr="00C96D6C">
                    <w:rPr>
                      <w:bCs/>
                      <w:iCs/>
                      <w:noProof/>
                    </w:rPr>
                    <w:t>This field specifies the recommended reporting granularity for the DL RSTD measurements. Value (0..5) corresponds to (</w:t>
                  </w:r>
                  <w:r w:rsidRPr="00C96D6C">
                    <w:rPr>
                      <w:bCs/>
                      <w:i/>
                      <w:noProof/>
                    </w:rPr>
                    <w:t>k0</w:t>
                  </w:r>
                  <w:r w:rsidRPr="00C96D6C">
                    <w:rPr>
                      <w:bCs/>
                      <w:iCs/>
                      <w:noProof/>
                    </w:rPr>
                    <w:t>..</w:t>
                  </w:r>
                  <w:r w:rsidRPr="00C96D6C">
                    <w:rPr>
                      <w:bCs/>
                      <w:i/>
                      <w:noProof/>
                    </w:rPr>
                    <w:t>k5</w:t>
                  </w:r>
                  <w:r w:rsidRPr="00C96D6C">
                    <w:rPr>
                      <w:bCs/>
                      <w:iCs/>
                      <w:noProof/>
                    </w:rPr>
                    <w:t xml:space="preserve">) </w:t>
                  </w:r>
                  <w:r w:rsidRPr="00C96D6C">
                    <w:rPr>
                      <w:rFonts w:eastAsia="Yu Mincho"/>
                      <w:bCs/>
                      <w:iCs/>
                      <w:noProof/>
                    </w:rPr>
                    <w:t>and value (-6..-1) corresponds to (</w:t>
                  </w:r>
                  <w:r w:rsidRPr="00C96D6C">
                    <w:rPr>
                      <w:rFonts w:eastAsia="Yu Mincho"/>
                      <w:bCs/>
                      <w:i/>
                      <w:noProof/>
                    </w:rPr>
                    <w:t>kMinus6</w:t>
                  </w:r>
                  <w:r w:rsidRPr="00C96D6C">
                    <w:rPr>
                      <w:rFonts w:eastAsia="Yu Mincho"/>
                      <w:bCs/>
                      <w:iCs/>
                      <w:noProof/>
                    </w:rPr>
                    <w:t>..</w:t>
                  </w:r>
                  <w:r w:rsidRPr="00C96D6C">
                    <w:rPr>
                      <w:rFonts w:eastAsia="Yu Mincho"/>
                      <w:bCs/>
                      <w:i/>
                      <w:noProof/>
                    </w:rPr>
                    <w:t>kMinus1</w:t>
                  </w:r>
                  <w:r w:rsidRPr="00C96D6C">
                    <w:rPr>
                      <w:rFonts w:eastAsia="Yu Mincho"/>
                      <w:bCs/>
                      <w:iCs/>
                      <w:noProof/>
                    </w:rPr>
                    <w:t xml:space="preserve">) </w:t>
                  </w:r>
                  <w:r w:rsidRPr="00C96D6C">
                    <w:rPr>
                      <w:bCs/>
                      <w:iCs/>
                      <w:noProof/>
                    </w:rPr>
                    <w:t xml:space="preserve">used for </w:t>
                  </w:r>
                  <w:r w:rsidRPr="00C96D6C">
                    <w:rPr>
                      <w:bCs/>
                      <w:i/>
                      <w:noProof/>
                    </w:rPr>
                    <w:t xml:space="preserve">nr-RSTD </w:t>
                  </w:r>
                  <w:r w:rsidRPr="00C96D6C">
                    <w:rPr>
                      <w:bCs/>
                      <w:iCs/>
                      <w:noProof/>
                    </w:rPr>
                    <w:t xml:space="preserve">and </w:t>
                  </w:r>
                  <w:r w:rsidRPr="00C96D6C">
                    <w:rPr>
                      <w:bCs/>
                      <w:i/>
                      <w:noProof/>
                    </w:rPr>
                    <w:t>nr-RSTD-ResultDiff</w:t>
                  </w:r>
                  <w:r w:rsidRPr="00C96D6C">
                    <w:rPr>
                      <w:bCs/>
                      <w:iCs/>
                      <w:noProof/>
                    </w:rPr>
                    <w:t xml:space="preserve"> in </w:t>
                  </w:r>
                  <w:r w:rsidRPr="00C96D6C">
                    <w:rPr>
                      <w:bCs/>
                      <w:i/>
                      <w:noProof/>
                    </w:rPr>
                    <w:t>NR-DL-TDOA-MeasElement</w:t>
                  </w:r>
                  <w:r w:rsidRPr="00F60309">
                    <w:rPr>
                      <w:bCs/>
                      <w:iCs/>
                      <w:noProof/>
                      <w:color w:val="000000" w:themeColor="text1"/>
                    </w:rPr>
                    <w:t xml:space="preserve">. The UE may select a different granularity value for </w:t>
                  </w:r>
                  <w:r w:rsidRPr="00F60309">
                    <w:rPr>
                      <w:bCs/>
                      <w:i/>
                      <w:noProof/>
                      <w:color w:val="000000" w:themeColor="text1"/>
                    </w:rPr>
                    <w:t>nr-RSTD</w:t>
                  </w:r>
                  <w:r w:rsidRPr="00F60309">
                    <w:rPr>
                      <w:bCs/>
                      <w:iCs/>
                      <w:noProof/>
                      <w:color w:val="000000" w:themeColor="text1"/>
                    </w:rPr>
                    <w:t xml:space="preserve"> and </w:t>
                  </w:r>
                  <w:r w:rsidRPr="00F60309">
                    <w:rPr>
                      <w:bCs/>
                      <w:i/>
                      <w:noProof/>
                      <w:color w:val="000000" w:themeColor="text1"/>
                    </w:rPr>
                    <w:t>nr-RSTD-ResultDiff</w:t>
                  </w:r>
                  <w:r w:rsidRPr="00F60309">
                    <w:rPr>
                      <w:bCs/>
                      <w:iCs/>
                      <w:noProof/>
                      <w:color w:val="000000" w:themeColor="text1"/>
                    </w:rPr>
                    <w:t>.</w:t>
                  </w:r>
                  <w:r w:rsidRPr="00F60309">
                    <w:rPr>
                      <w:rFonts w:eastAsia="Yu Mincho"/>
                      <w:bCs/>
                      <w:iCs/>
                      <w:noProof/>
                      <w:color w:val="000000" w:themeColor="text1"/>
                      <w:lang w:eastAsia="zh-CN"/>
                    </w:rPr>
                    <w:t xml:space="preserve"> </w:t>
                  </w:r>
                  <w:r w:rsidRPr="00F60309">
                    <w:rPr>
                      <w:rFonts w:eastAsia="Yu Mincho"/>
                      <w:bCs/>
                      <w:iCs/>
                      <w:noProof/>
                      <w:color w:val="FF0000"/>
                      <w:lang w:eastAsia="zh-CN"/>
                    </w:rPr>
                    <w:t xml:space="preserve">The </w:t>
                  </w:r>
                  <w:r w:rsidRPr="00F60309">
                    <w:rPr>
                      <w:rFonts w:eastAsia="Yu Mincho"/>
                      <w:bCs/>
                      <w:i/>
                      <w:iCs/>
                      <w:noProof/>
                      <w:color w:val="FF0000"/>
                      <w:lang w:eastAsia="zh-CN"/>
                    </w:rPr>
                    <w:t>timingReportingGranularityFactorExt</w:t>
                  </w:r>
                  <w:r w:rsidRPr="00F60309">
                    <w:rPr>
                      <w:rFonts w:eastAsia="Yu Mincho"/>
                      <w:bCs/>
                      <w:iCs/>
                      <w:noProof/>
                      <w:color w:val="FF0000"/>
                      <w:lang w:eastAsia="zh-CN"/>
                    </w:rPr>
                    <w:t xml:space="preserve"> should not be included by the location server and shall be ignored by the target device if </w:t>
                  </w:r>
                  <w:r w:rsidRPr="00F60309">
                    <w:rPr>
                      <w:rFonts w:eastAsia="Yu Mincho"/>
                      <w:bCs/>
                      <w:i/>
                      <w:iCs/>
                      <w:noProof/>
                      <w:color w:val="FF0000"/>
                      <w:lang w:eastAsia="zh-CN"/>
                    </w:rPr>
                    <w:t>timingReportingGranularityFactor</w:t>
                  </w:r>
                  <w:r w:rsidRPr="00F60309">
                    <w:rPr>
                      <w:rFonts w:eastAsia="Yu Mincho"/>
                      <w:bCs/>
                      <w:iCs/>
                      <w:noProof/>
                      <w:color w:val="FF0000"/>
                      <w:lang w:eastAsia="zh-CN"/>
                    </w:rPr>
                    <w:t xml:space="preserve"> is included.The </w:t>
                  </w:r>
                  <w:r w:rsidRPr="00F60309">
                    <w:rPr>
                      <w:rFonts w:eastAsia="Yu Mincho"/>
                      <w:bCs/>
                      <w:i/>
                      <w:iCs/>
                      <w:noProof/>
                      <w:color w:val="FF0000"/>
                      <w:lang w:eastAsia="zh-CN"/>
                    </w:rPr>
                    <w:t>timingReportingGranularityFactor</w:t>
                  </w:r>
                  <w:r w:rsidRPr="00F60309">
                    <w:rPr>
                      <w:rFonts w:eastAsia="Yu Mincho"/>
                      <w:bCs/>
                      <w:iCs/>
                      <w:noProof/>
                      <w:color w:val="FF0000"/>
                      <w:lang w:eastAsia="zh-CN"/>
                    </w:rPr>
                    <w:t xml:space="preserve"> should not be included by the location server and shall be ignored by the target device if </w:t>
                  </w:r>
                  <w:r w:rsidRPr="00F60309">
                    <w:rPr>
                      <w:rFonts w:eastAsia="Yu Mincho"/>
                      <w:bCs/>
                      <w:i/>
                      <w:iCs/>
                      <w:noProof/>
                      <w:color w:val="FF0000"/>
                      <w:lang w:eastAsia="zh-CN"/>
                    </w:rPr>
                    <w:t>timingReportingGranularityFactorExt</w:t>
                  </w:r>
                  <w:r w:rsidRPr="00F60309">
                    <w:rPr>
                      <w:rFonts w:eastAsia="Yu Mincho"/>
                      <w:bCs/>
                      <w:iCs/>
                      <w:noProof/>
                      <w:color w:val="FF0000"/>
                      <w:lang w:eastAsia="zh-CN"/>
                    </w:rPr>
                    <w:t xml:space="preserve"> is included.</w:t>
                  </w:r>
                </w:p>
              </w:tc>
            </w:tr>
          </w:tbl>
          <w:p w14:paraId="63178F42" w14:textId="77777777" w:rsidR="00DD002C" w:rsidRDefault="00DD002C"/>
        </w:tc>
      </w:tr>
    </w:tbl>
    <w:p w14:paraId="7F3CA360" w14:textId="77777777" w:rsidR="00DD002C" w:rsidRDefault="00DD002C" w:rsidP="00DD002C"/>
    <w:p w14:paraId="5454A936" w14:textId="2C3F45F8" w:rsidR="00DD002C" w:rsidRDefault="00DD002C" w:rsidP="00DD002C">
      <w:r>
        <w:lastRenderedPageBreak/>
        <w:t xml:space="preserve">For AI/ML based positioning, vast majority of companies used k=4 (i.e., sampling period = </w:t>
      </w:r>
      <m:oMath>
        <m:r>
          <w:rPr>
            <w:rFonts w:ascii="Cambria Math" w:hAnsi="Cambria Math"/>
          </w:rPr>
          <m:t>16×</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in Rel-18 study item </w:t>
      </w:r>
      <w:r w:rsidR="00E70DE4">
        <w:fldChar w:fldCharType="begin"/>
      </w:r>
      <w:r w:rsidR="00E70DE4">
        <w:instrText xml:space="preserve"> REF _Ref156223556 \r </w:instrText>
      </w:r>
      <w:r w:rsidR="00E70DE4">
        <w:fldChar w:fldCharType="separate"/>
      </w:r>
      <w:r w:rsidR="00C713E4">
        <w:t>[4]</w:t>
      </w:r>
      <w:r w:rsidR="00E70DE4">
        <w:fldChar w:fldCharType="end"/>
      </w:r>
      <w:r>
        <w:t xml:space="preserve">. The Rel-18 evaluations demonstrated that the AI/ML based positioning was able to achieve sub-meter positioning accuracy with k=4. </w:t>
      </w:r>
    </w:p>
    <w:p w14:paraId="4EEC68E3" w14:textId="77777777" w:rsidR="00DD002C" w:rsidRDefault="00DD002C" w:rsidP="00DD002C">
      <w:r>
        <w:t>Clearly, the ultra-fine timing granularity introduced for Rel-18 CPP are excessive and unnecessary for AI/ML positioning. There is no justification to duplicate the signaling for CPP over to AI/ML based positioning even though k</w:t>
      </w:r>
      <w:proofErr w:type="gramStart"/>
      <w:r>
        <w:t>={</w:t>
      </w:r>
      <w:proofErr w:type="gramEnd"/>
      <w:r>
        <w:t>-6,..,-1} can continue to be used for measurement reporting of legacy methods DL-TDOA and multi-RTT.</w:t>
      </w:r>
    </w:p>
    <w:p w14:paraId="5E80B85C" w14:textId="77777777" w:rsidR="00DD002C" w:rsidRDefault="00DD002C" w:rsidP="00DD002C">
      <w:r>
        <w:t>Even for the 6 values {</w:t>
      </w:r>
      <w:proofErr w:type="gramStart"/>
      <w:r>
        <w:t>0..</w:t>
      </w:r>
      <w:proofErr w:type="gramEnd"/>
      <w:r>
        <w:t xml:space="preserve">5} up to Rel-17, there is no justification to support all 6 values. Having a wide range of k values complicates the AI/ML LCM. For each k values, the full set of AI/ML procedures </w:t>
      </w:r>
      <w:proofErr w:type="gramStart"/>
      <w:r>
        <w:t>have to</w:t>
      </w:r>
      <w:proofErr w:type="gramEnd"/>
      <w:r>
        <w:t xml:space="preserve"> be supported separately, including training data collection, model training, model monitoring, model update, etc. </w:t>
      </w:r>
    </w:p>
    <w:p w14:paraId="0B2D90D8" w14:textId="77777777" w:rsidR="00DD002C" w:rsidRDefault="00DD002C" w:rsidP="00DD002C">
      <w:r>
        <w:t>In our view, it is preferrable to support a small set of k values in Rel-19, which is the first release to adopt AI/ML based positioning. In fact, it may be sufficient to support one k values in Rel-19, k=4, which has been thoroughly evaluated in Rel-18 study item by numerous participating companies. If more options are needed considering FR1/FR2 and different PRS bandwidth, it can be expanded to support four k values, for example, k</w:t>
      </w:r>
      <w:proofErr w:type="gramStart"/>
      <w:r>
        <w:t>={</w:t>
      </w:r>
      <w:proofErr w:type="gramEnd"/>
      <w:r>
        <w:t>2,3,4,5}. Future releases can consider more options of k values if proven necessary for the desired positioning accuracy.</w:t>
      </w:r>
    </w:p>
    <w:p w14:paraId="31F0F474" w14:textId="77777777" w:rsidR="0075454A" w:rsidRDefault="0075454A" w:rsidP="00592ADF">
      <w:pPr>
        <w:pStyle w:val="Proposal"/>
        <w:numPr>
          <w:ilvl w:val="0"/>
          <w:numId w:val="0"/>
        </w:numPr>
        <w:ind w:left="1440"/>
      </w:pPr>
      <w:bookmarkStart w:id="200" w:name="_Toc174398073"/>
    </w:p>
    <w:p w14:paraId="05BEEBFF" w14:textId="42D16003" w:rsidR="00DD002C" w:rsidRDefault="00DD002C" w:rsidP="00B71BFC">
      <w:pPr>
        <w:pStyle w:val="Proposal"/>
      </w:pPr>
      <w:bookmarkStart w:id="201" w:name="_Toc189845103"/>
      <w:r>
        <w:t>For Case 3b</w:t>
      </w:r>
      <w:r w:rsidR="00B71BFC">
        <w:t xml:space="preserve"> (and </w:t>
      </w:r>
      <w:r w:rsidR="00A72800">
        <w:t xml:space="preserve">3a </w:t>
      </w:r>
      <w:r w:rsidR="00B71BFC">
        <w:t>if needed)</w:t>
      </w:r>
      <w:r>
        <w:t xml:space="preserve">, a small number of </w:t>
      </w:r>
      <w:r>
        <w:rPr>
          <w:snapToGrid w:val="0"/>
        </w:rPr>
        <w:t>k</w:t>
      </w:r>
      <w:r>
        <w:t xml:space="preserve"> values, e.g., </w:t>
      </w:r>
      <w:r>
        <w:rPr>
          <w:snapToGrid w:val="0"/>
        </w:rPr>
        <w:t>k</w:t>
      </w:r>
      <w:proofErr w:type="gramStart"/>
      <w:r>
        <w:rPr>
          <w:snapToGrid w:val="0"/>
        </w:rPr>
        <w:t>={</w:t>
      </w:r>
      <w:proofErr w:type="gramEnd"/>
      <w:r>
        <w:rPr>
          <w:snapToGrid w:val="0"/>
        </w:rPr>
        <w:t>4},</w:t>
      </w:r>
      <w:r w:rsidRPr="00D03008">
        <w:rPr>
          <w:snapToGrid w:val="0"/>
        </w:rPr>
        <w:t xml:space="preserve"> </w:t>
      </w:r>
      <w:r>
        <w:rPr>
          <w:snapToGrid w:val="0"/>
        </w:rPr>
        <w:t xml:space="preserve">k={3,4}, or k={2,3,4,5}, is supported for </w:t>
      </w:r>
      <w:r w:rsidRPr="00C96D6C">
        <w:rPr>
          <w:snapToGrid w:val="0"/>
        </w:rPr>
        <w:t>timing</w:t>
      </w:r>
      <w:r>
        <w:rPr>
          <w:snapToGrid w:val="0"/>
        </w:rPr>
        <w:t xml:space="preserve"> r</w:t>
      </w:r>
      <w:r w:rsidRPr="00C96D6C">
        <w:rPr>
          <w:snapToGrid w:val="0"/>
        </w:rPr>
        <w:t>eporting</w:t>
      </w:r>
      <w:r>
        <w:rPr>
          <w:snapToGrid w:val="0"/>
        </w:rPr>
        <w:t xml:space="preserve"> g</w:t>
      </w:r>
      <w:r w:rsidRPr="00C96D6C">
        <w:rPr>
          <w:snapToGrid w:val="0"/>
        </w:rPr>
        <w:t>ranularity</w:t>
      </w:r>
      <w:r>
        <w:rPr>
          <w:snapToGrid w:val="0"/>
        </w:rPr>
        <w:t xml:space="preserve"> f</w:t>
      </w:r>
      <w:r w:rsidRPr="00C96D6C">
        <w:rPr>
          <w:snapToGrid w:val="0"/>
        </w:rPr>
        <w:t>actor</w:t>
      </w:r>
      <w:r>
        <w:rPr>
          <w:snapToGrid w:val="0"/>
        </w:rPr>
        <w:t xml:space="preserve"> in Rel-19.</w:t>
      </w:r>
      <w:bookmarkEnd w:id="200"/>
      <w:bookmarkEnd w:id="201"/>
    </w:p>
    <w:p w14:paraId="27FEC249" w14:textId="4C09DBFC" w:rsidR="00376B76" w:rsidRDefault="00376B76" w:rsidP="00F06DCE">
      <w:pPr>
        <w:rPr>
          <w:lang w:val="en-GB"/>
        </w:rPr>
      </w:pPr>
      <w:r>
        <w:t xml:space="preserve">During RAN1#119, it was agreed that the </w:t>
      </w:r>
      <w:r w:rsidR="00483CD0">
        <w:t xml:space="preserve">window parameter configuration values </w:t>
      </w:r>
      <w:proofErr w:type="spellStart"/>
      <w:r w:rsidR="00483CD0" w:rsidRPr="00306F79">
        <w:rPr>
          <w:lang w:val="en-GB"/>
        </w:rPr>
        <w:t>N</w:t>
      </w:r>
      <w:r w:rsidR="00483CD0" w:rsidRPr="00306F79">
        <w:rPr>
          <w:vertAlign w:val="subscript"/>
          <w:lang w:val="en-GB"/>
        </w:rPr>
        <w:t>t</w:t>
      </w:r>
      <w:proofErr w:type="spellEnd"/>
      <w:r w:rsidR="00483CD0" w:rsidRPr="00306F79">
        <w:rPr>
          <w:lang w:val="en-GB"/>
        </w:rPr>
        <w:t xml:space="preserve">, </w:t>
      </w:r>
      <w:proofErr w:type="spellStart"/>
      <w:r w:rsidR="00483CD0" w:rsidRPr="00306F79">
        <w:rPr>
          <w:lang w:val="en-GB"/>
        </w:rPr>
        <w:t>N</w:t>
      </w:r>
      <w:r w:rsidR="00483CD0" w:rsidRPr="00306F79">
        <w:rPr>
          <w:vertAlign w:val="subscript"/>
          <w:lang w:val="en-GB"/>
        </w:rPr>
        <w:t>t</w:t>
      </w:r>
      <w:proofErr w:type="spellEnd"/>
      <w:r w:rsidR="00483CD0" w:rsidRPr="00306F79">
        <w:rPr>
          <w:lang w:val="en-GB"/>
        </w:rPr>
        <w:t xml:space="preserve">', k </w:t>
      </w:r>
      <w:proofErr w:type="gramStart"/>
      <w:r w:rsidR="00483CD0">
        <w:rPr>
          <w:lang w:val="en-GB"/>
        </w:rPr>
        <w:t>are</w:t>
      </w:r>
      <w:proofErr w:type="gramEnd"/>
      <w:r w:rsidR="00483CD0">
        <w:rPr>
          <w:lang w:val="en-GB"/>
        </w:rPr>
        <w:t xml:space="preserve"> signalled </w:t>
      </w:r>
      <w:r w:rsidR="00483CD0" w:rsidRPr="00306F79">
        <w:rPr>
          <w:lang w:val="en-GB"/>
        </w:rPr>
        <w:t xml:space="preserve">to </w:t>
      </w:r>
      <w:proofErr w:type="spellStart"/>
      <w:r w:rsidR="00483CD0" w:rsidRPr="00306F79">
        <w:rPr>
          <w:lang w:val="en-GB"/>
        </w:rPr>
        <w:t>gNB</w:t>
      </w:r>
      <w:proofErr w:type="spellEnd"/>
      <w:r w:rsidR="00483CD0" w:rsidRPr="00306F79">
        <w:rPr>
          <w:lang w:val="en-GB"/>
        </w:rPr>
        <w:t xml:space="preserve"> via </w:t>
      </w:r>
      <w:proofErr w:type="spellStart"/>
      <w:r w:rsidR="00483CD0" w:rsidRPr="00306F79">
        <w:rPr>
          <w:lang w:val="en-GB"/>
        </w:rPr>
        <w:t>NRPPa</w:t>
      </w:r>
      <w:proofErr w:type="spellEnd"/>
      <w:r w:rsidR="00483CD0">
        <w:rPr>
          <w:lang w:val="en-GB"/>
        </w:rPr>
        <w:t xml:space="preserve">, but may be changed by the </w:t>
      </w:r>
      <w:proofErr w:type="spellStart"/>
      <w:r w:rsidR="00483CD0">
        <w:rPr>
          <w:lang w:val="en-GB"/>
        </w:rPr>
        <w:t>gNB</w:t>
      </w:r>
      <w:proofErr w:type="spellEnd"/>
      <w:r w:rsidR="00483CD0">
        <w:rPr>
          <w:lang w:val="en-GB"/>
        </w:rPr>
        <w:t xml:space="preserve">. </w:t>
      </w:r>
      <w:r w:rsidR="00CB4F8C">
        <w:rPr>
          <w:lang w:val="en-GB"/>
        </w:rPr>
        <w:t xml:space="preserve">In that case, the </w:t>
      </w:r>
      <w:r w:rsidR="00E20214">
        <w:rPr>
          <w:lang w:val="en-GB"/>
        </w:rPr>
        <w:t xml:space="preserve">actual </w:t>
      </w:r>
      <w:r w:rsidR="00CB4F8C">
        <w:rPr>
          <w:lang w:val="en-GB"/>
        </w:rPr>
        <w:t>values</w:t>
      </w:r>
      <w:r w:rsidR="00E20214">
        <w:rPr>
          <w:lang w:val="en-GB"/>
        </w:rPr>
        <w:t xml:space="preserve"> used by the </w:t>
      </w:r>
      <w:proofErr w:type="spellStart"/>
      <w:r w:rsidR="00E20214">
        <w:rPr>
          <w:lang w:val="en-GB"/>
        </w:rPr>
        <w:t>gNB</w:t>
      </w:r>
      <w:proofErr w:type="spellEnd"/>
      <w:r w:rsidR="00E20214">
        <w:rPr>
          <w:lang w:val="en-GB"/>
        </w:rPr>
        <w:t xml:space="preserve">/TRP </w:t>
      </w:r>
      <w:proofErr w:type="gramStart"/>
      <w:r w:rsidR="00E20214">
        <w:rPr>
          <w:lang w:val="en-GB"/>
        </w:rPr>
        <w:t xml:space="preserve">for </w:t>
      </w:r>
      <w:r w:rsidR="00CB4F8C">
        <w:rPr>
          <w:lang w:val="en-GB"/>
        </w:rPr>
        <w:t xml:space="preserve"> </w:t>
      </w:r>
      <w:proofErr w:type="spellStart"/>
      <w:r w:rsidR="00E20214" w:rsidRPr="00306F79">
        <w:rPr>
          <w:lang w:val="en-GB"/>
        </w:rPr>
        <w:t>N</w:t>
      </w:r>
      <w:r w:rsidR="00E20214" w:rsidRPr="00306F79">
        <w:rPr>
          <w:vertAlign w:val="subscript"/>
          <w:lang w:val="en-GB"/>
        </w:rPr>
        <w:t>t</w:t>
      </w:r>
      <w:proofErr w:type="spellEnd"/>
      <w:proofErr w:type="gramEnd"/>
      <w:r w:rsidR="00E20214" w:rsidRPr="00306F79">
        <w:rPr>
          <w:lang w:val="en-GB"/>
        </w:rPr>
        <w:t xml:space="preserve">, </w:t>
      </w:r>
      <w:r w:rsidR="00E20214">
        <w:rPr>
          <w:lang w:val="en-GB"/>
        </w:rPr>
        <w:t>should be sent to the LMF in the measurement report</w:t>
      </w:r>
      <w:r w:rsidR="00920A82">
        <w:rPr>
          <w:lang w:val="en-GB"/>
        </w:rPr>
        <w:t xml:space="preserve"> (note that parameter k value is already reported back). The </w:t>
      </w:r>
      <w:r w:rsidR="00445D90">
        <w:rPr>
          <w:lang w:val="en-GB"/>
        </w:rPr>
        <w:t xml:space="preserve">LMF can then better judge the compatibility of the measurement report with its model. </w:t>
      </w:r>
    </w:p>
    <w:p w14:paraId="37594084" w14:textId="1CCDA88F" w:rsidR="008073EE" w:rsidRDefault="008073EE" w:rsidP="008073EE">
      <w:pPr>
        <w:pStyle w:val="Proposal"/>
      </w:pPr>
      <w:bookmarkStart w:id="202" w:name="_Toc189845104"/>
      <w:r>
        <w:t xml:space="preserve">For Case 3b (and 3a if needed), when enhanced measurement </w:t>
      </w:r>
      <w:r w:rsidR="005B012E">
        <w:t xml:space="preserve">are </w:t>
      </w:r>
      <w:r>
        <w:t>report</w:t>
      </w:r>
      <w:r w:rsidR="005B012E">
        <w:t>ed</w:t>
      </w:r>
      <w:r>
        <w:t xml:space="preserve"> (</w:t>
      </w:r>
      <w:r w:rsidR="00CE7D00">
        <w:t xml:space="preserve">i.e., </w:t>
      </w:r>
      <w:r>
        <w:t>sample</w:t>
      </w:r>
      <w:r w:rsidR="00CE7D00">
        <w:t>-</w:t>
      </w:r>
      <w:r>
        <w:t xml:space="preserve">based reports) </w:t>
      </w:r>
      <w:r w:rsidR="005B012E">
        <w:t xml:space="preserve">from the </w:t>
      </w:r>
      <w:proofErr w:type="spellStart"/>
      <w:r w:rsidR="005B012E">
        <w:t>gNB</w:t>
      </w:r>
      <w:proofErr w:type="spellEnd"/>
      <w:r w:rsidR="005B012E">
        <w:t xml:space="preserve"> to the LMF:</w:t>
      </w:r>
      <w:bookmarkEnd w:id="202"/>
    </w:p>
    <w:p w14:paraId="201A6C9F" w14:textId="4724F608" w:rsidR="005B012E" w:rsidRPr="00592ADF" w:rsidRDefault="005A2706" w:rsidP="005B012E">
      <w:pPr>
        <w:pStyle w:val="Proposal"/>
        <w:numPr>
          <w:ilvl w:val="1"/>
          <w:numId w:val="2"/>
        </w:numPr>
      </w:pPr>
      <w:bookmarkStart w:id="203" w:name="_Toc189845105"/>
      <w:r>
        <w:t xml:space="preserve">When the </w:t>
      </w:r>
      <w:proofErr w:type="spellStart"/>
      <w:r w:rsidRPr="00306F79">
        <w:rPr>
          <w:lang w:val="en-GB"/>
        </w:rPr>
        <w:t>N</w:t>
      </w:r>
      <w:r w:rsidRPr="00306F79">
        <w:rPr>
          <w:vertAlign w:val="subscript"/>
          <w:lang w:val="en-GB"/>
        </w:rPr>
        <w:t>t</w:t>
      </w:r>
      <w:proofErr w:type="spellEnd"/>
      <w:r w:rsidRPr="00306F79">
        <w:rPr>
          <w:lang w:val="en-GB"/>
        </w:rPr>
        <w:t xml:space="preserve">, </w:t>
      </w:r>
      <w:proofErr w:type="spellStart"/>
      <w:r w:rsidRPr="00306F79">
        <w:rPr>
          <w:lang w:val="en-GB"/>
        </w:rPr>
        <w:t>N</w:t>
      </w:r>
      <w:r w:rsidRPr="00306F79">
        <w:rPr>
          <w:vertAlign w:val="subscript"/>
          <w:lang w:val="en-GB"/>
        </w:rPr>
        <w:t>t</w:t>
      </w:r>
      <w:proofErr w:type="spellEnd"/>
      <w:r w:rsidRPr="00306F79">
        <w:rPr>
          <w:lang w:val="en-GB"/>
        </w:rPr>
        <w:t>', k</w:t>
      </w:r>
      <w:r>
        <w:rPr>
          <w:lang w:val="en-GB"/>
        </w:rPr>
        <w:t xml:space="preserve"> values used to produce the report are different from the ones provided by the LMF in the measurement request, </w:t>
      </w:r>
      <w:proofErr w:type="spellStart"/>
      <w:r w:rsidR="00056DD8">
        <w:rPr>
          <w:lang w:val="en-GB"/>
        </w:rPr>
        <w:t>gNB</w:t>
      </w:r>
      <w:proofErr w:type="spellEnd"/>
      <w:r w:rsidR="00056DD8">
        <w:rPr>
          <w:lang w:val="en-GB"/>
        </w:rPr>
        <w:t xml:space="preserve"> provides </w:t>
      </w:r>
      <w:r w:rsidR="00D336EE">
        <w:rPr>
          <w:lang w:val="en-GB"/>
        </w:rPr>
        <w:t xml:space="preserve">in the measurement report to the LMF </w:t>
      </w:r>
      <w:r w:rsidR="00056DD8">
        <w:rPr>
          <w:lang w:val="en-GB"/>
        </w:rPr>
        <w:t xml:space="preserve">the </w:t>
      </w:r>
      <w:proofErr w:type="spellStart"/>
      <w:r w:rsidR="00CE7D00" w:rsidRPr="00306F79">
        <w:rPr>
          <w:lang w:val="en-GB"/>
        </w:rPr>
        <w:t>N</w:t>
      </w:r>
      <w:r w:rsidR="00CE7D00" w:rsidRPr="00306F79">
        <w:rPr>
          <w:vertAlign w:val="subscript"/>
          <w:lang w:val="en-GB"/>
        </w:rPr>
        <w:t>t</w:t>
      </w:r>
      <w:proofErr w:type="spellEnd"/>
      <w:r w:rsidR="00CE7D00">
        <w:rPr>
          <w:lang w:val="en-GB"/>
        </w:rPr>
        <w:t xml:space="preserve"> </w:t>
      </w:r>
      <w:r w:rsidR="00056DD8">
        <w:rPr>
          <w:lang w:val="en-GB"/>
        </w:rPr>
        <w:t xml:space="preserve">value used </w:t>
      </w:r>
      <w:r w:rsidR="00D336EE">
        <w:rPr>
          <w:lang w:val="en-GB"/>
        </w:rPr>
        <w:t>for the measurement.</w:t>
      </w:r>
      <w:bookmarkEnd w:id="203"/>
    </w:p>
    <w:p w14:paraId="31661421" w14:textId="3F33A205" w:rsidR="00D336EE" w:rsidRPr="00592ADF" w:rsidRDefault="00D336EE" w:rsidP="005B012E">
      <w:pPr>
        <w:pStyle w:val="Proposal"/>
        <w:numPr>
          <w:ilvl w:val="1"/>
          <w:numId w:val="2"/>
        </w:numPr>
      </w:pPr>
      <w:bookmarkStart w:id="204" w:name="_Toc189845106"/>
      <w:r>
        <w:rPr>
          <w:lang w:val="en-GB"/>
        </w:rPr>
        <w:t>Note: k value is already supported in the measurement report</w:t>
      </w:r>
      <w:r w:rsidR="00C00FB6">
        <w:rPr>
          <w:lang w:val="en-GB"/>
        </w:rPr>
        <w:t xml:space="preserve">, and </w:t>
      </w:r>
      <w:proofErr w:type="spellStart"/>
      <w:r w:rsidR="00C00FB6" w:rsidRPr="00306F79">
        <w:rPr>
          <w:lang w:val="en-GB"/>
        </w:rPr>
        <w:t>N</w:t>
      </w:r>
      <w:r w:rsidR="00C00FB6" w:rsidRPr="00306F79">
        <w:rPr>
          <w:vertAlign w:val="subscript"/>
          <w:lang w:val="en-GB"/>
        </w:rPr>
        <w:t>t</w:t>
      </w:r>
      <w:proofErr w:type="spellEnd"/>
      <w:r w:rsidR="00C00FB6">
        <w:rPr>
          <w:lang w:val="en-GB"/>
        </w:rPr>
        <w:t>’ can be inferred by the report size.</w:t>
      </w:r>
      <w:bookmarkEnd w:id="204"/>
      <w:r w:rsidR="00C00FB6">
        <w:rPr>
          <w:lang w:val="en-GB"/>
        </w:rPr>
        <w:t xml:space="preserve"> </w:t>
      </w:r>
    </w:p>
    <w:p w14:paraId="2CCEE34C" w14:textId="77777777" w:rsidR="002E7036" w:rsidRDefault="002E7036"/>
    <w:p w14:paraId="49B0020C" w14:textId="5042C28C" w:rsidR="00C00FB6" w:rsidRPr="002E7036" w:rsidRDefault="00A8771B" w:rsidP="00D73CF6">
      <w:pPr>
        <w:pStyle w:val="Heading3"/>
      </w:pPr>
      <w:bookmarkStart w:id="205" w:name="_Toc189845013"/>
      <w:r>
        <w:lastRenderedPageBreak/>
        <w:t xml:space="preserve">LMF handling of </w:t>
      </w:r>
      <w:r w:rsidR="002E7036">
        <w:t>sample</w:t>
      </w:r>
      <w:r w:rsidR="00CB1F88">
        <w:t>-based</w:t>
      </w:r>
      <w:r w:rsidR="002E7036">
        <w:t xml:space="preserve"> or path</w:t>
      </w:r>
      <w:r w:rsidR="00CB1F88">
        <w:t>-based</w:t>
      </w:r>
      <w:r w:rsidR="002E7036">
        <w:t xml:space="preserve"> reporting</w:t>
      </w:r>
      <w:bookmarkEnd w:id="205"/>
    </w:p>
    <w:p w14:paraId="1A084600" w14:textId="3C7AC696" w:rsidR="00D14756" w:rsidRDefault="005910E0" w:rsidP="00D73CF6">
      <w:r>
        <w:t xml:space="preserve">For case 3b, the LMF handles the AI model, and therefore should be able to request a suitable model input measurement. </w:t>
      </w:r>
      <w:r w:rsidR="00D14756">
        <w:t xml:space="preserve"> </w:t>
      </w:r>
    </w:p>
    <w:p w14:paraId="4A7240F2" w14:textId="3E7D36E7" w:rsidR="00D14756" w:rsidRDefault="00D14756" w:rsidP="00D14756">
      <w:pPr>
        <w:pStyle w:val="Proposal"/>
      </w:pPr>
      <w:bookmarkStart w:id="206" w:name="_Toc189845107"/>
      <w:r>
        <w:t xml:space="preserve">For </w:t>
      </w:r>
      <w:r w:rsidRPr="006D4F4F">
        <w:t>Rel-19 AI/ML based positioning Case 3b</w:t>
      </w:r>
      <w:r>
        <w:t xml:space="preserve">, </w:t>
      </w:r>
      <w:r w:rsidRPr="006D4F4F">
        <w:t xml:space="preserve">LMF </w:t>
      </w:r>
      <w:r>
        <w:t>includes an indicator in the measurement</w:t>
      </w:r>
      <w:r w:rsidRPr="006D4F4F">
        <w:t xml:space="preserve"> request to </w:t>
      </w:r>
      <w:proofErr w:type="spellStart"/>
      <w:r w:rsidRPr="006D4F4F">
        <w:t>gNB</w:t>
      </w:r>
      <w:proofErr w:type="spellEnd"/>
      <w:r>
        <w:t>, where the indicator is on the LMF preferred measurement report: either (a) sample</w:t>
      </w:r>
      <w:r w:rsidR="00CB1F88">
        <w:t>-based</w:t>
      </w:r>
      <w:r>
        <w:t xml:space="preserve"> measurement, or (b) l</w:t>
      </w:r>
      <w:r w:rsidRPr="00D52920">
        <w:t>egacy path-based measurement</w:t>
      </w:r>
      <w:r>
        <w:t>.</w:t>
      </w:r>
      <w:bookmarkEnd w:id="206"/>
    </w:p>
    <w:p w14:paraId="73565CE4" w14:textId="77777777" w:rsidR="00D14756" w:rsidRDefault="00D14756"/>
    <w:p w14:paraId="08C13260" w14:textId="7A818322" w:rsidR="00B452C1" w:rsidRDefault="00B452C1">
      <w:r>
        <w:t>Regarding legacy path-based measurement, there is a question on whether to extend the number of paths to report. In our view, if path-based measurement is used, then the existing maximum of 9 paths (first path + 8 additional paths) is sufficient. If more measurement values are desired, then sample-based measurement can be used instead.</w:t>
      </w:r>
    </w:p>
    <w:p w14:paraId="747E4B11" w14:textId="7E394B8A" w:rsidR="00B452C1" w:rsidRDefault="00B452C1" w:rsidP="00D73CF6">
      <w:pPr>
        <w:pStyle w:val="Proposal"/>
      </w:pPr>
      <w:bookmarkStart w:id="207" w:name="_Toc189845108"/>
      <w:r>
        <w:t xml:space="preserve">For </w:t>
      </w:r>
      <w:r w:rsidRPr="006D4F4F">
        <w:t>Rel-19 AI/ML based positioning</w:t>
      </w:r>
      <w:r>
        <w:t>, l</w:t>
      </w:r>
      <w:r w:rsidRPr="00D52920">
        <w:t>egacy path-based measurement</w:t>
      </w:r>
      <w:r>
        <w:t xml:space="preserve"> (if needed) is used without enhancement.</w:t>
      </w:r>
      <w:bookmarkEnd w:id="207"/>
    </w:p>
    <w:p w14:paraId="5799528B" w14:textId="77777777" w:rsidR="00B452C1" w:rsidRDefault="00B452C1"/>
    <w:p w14:paraId="77165504" w14:textId="719B6944" w:rsidR="00D336EE" w:rsidRDefault="00AA293B" w:rsidP="00E47B08">
      <w:r>
        <w:t xml:space="preserve">Finally, </w:t>
      </w:r>
      <w:r w:rsidR="00EA4CB5">
        <w:t>we also discussed possibility of fallback between sample</w:t>
      </w:r>
      <w:r w:rsidR="00010906">
        <w:t>-</w:t>
      </w:r>
      <w:r w:rsidR="00EA4CB5">
        <w:t xml:space="preserve">based reporting and legacy RTOA reporting. </w:t>
      </w:r>
      <w:r w:rsidR="00E121E1">
        <w:t xml:space="preserve"> In our view, it should be left to the LMF to decide whether to </w:t>
      </w:r>
      <w:r w:rsidR="00B44683">
        <w:t>request a fallback</w:t>
      </w:r>
      <w:r w:rsidR="00D14756">
        <w:t xml:space="preserve">, since the LMF model implementation may or may not be able to reuse legacy measurements. </w:t>
      </w:r>
      <w:r w:rsidR="00A44154">
        <w:t xml:space="preserve"> </w:t>
      </w:r>
      <w:r w:rsidR="00010906">
        <w:t>M</w:t>
      </w:r>
      <w:r w:rsidR="00C671DF">
        <w:t xml:space="preserve">oreover, the </w:t>
      </w:r>
      <w:proofErr w:type="spellStart"/>
      <w:r w:rsidR="00C671DF">
        <w:t>gNB</w:t>
      </w:r>
      <w:proofErr w:type="spellEnd"/>
      <w:r w:rsidR="00C671DF">
        <w:t xml:space="preserve"> reporting capability for path or sample measurement report may dynamically change due to processing load variations</w:t>
      </w:r>
      <w:r w:rsidR="00B44683">
        <w:t xml:space="preserve">. Hence automatic fallback from one type of </w:t>
      </w:r>
      <w:r w:rsidR="00DA0D21">
        <w:t>measurement</w:t>
      </w:r>
      <w:r w:rsidR="00B44683">
        <w:t xml:space="preserve"> to the other cannot be guaranteed. </w:t>
      </w:r>
      <w:r w:rsidR="00C671DF">
        <w:t xml:space="preserve"> </w:t>
      </w:r>
      <w:r w:rsidR="00270FD5">
        <w:t xml:space="preserve">Hence, </w:t>
      </w:r>
      <w:r w:rsidR="00E15CD9">
        <w:t>it should be enough to rely on the legacy “cause value” mechanism</w:t>
      </w:r>
      <w:r w:rsidR="00C35A7C">
        <w:t>. If the LMF request for sample</w:t>
      </w:r>
      <w:r w:rsidR="008D514C">
        <w:t>-</w:t>
      </w:r>
      <w:r w:rsidR="00C35A7C">
        <w:t xml:space="preserve">based reporting cannot be satisfied, </w:t>
      </w:r>
      <w:r w:rsidR="00960BF3">
        <w:t xml:space="preserve">a </w:t>
      </w:r>
      <w:proofErr w:type="spellStart"/>
      <w:proofErr w:type="gramStart"/>
      <w:r w:rsidR="00960BF3">
        <w:t>gNB</w:t>
      </w:r>
      <w:proofErr w:type="spellEnd"/>
      <w:r w:rsidR="00960BF3">
        <w:t xml:space="preserve"> </w:t>
      </w:r>
      <w:r w:rsidR="00C35A7C">
        <w:t xml:space="preserve"> can</w:t>
      </w:r>
      <w:proofErr w:type="gramEnd"/>
      <w:r w:rsidR="00C35A7C">
        <w:t xml:space="preserve"> reject</w:t>
      </w:r>
      <w:r w:rsidR="00960BF3">
        <w:t xml:space="preserve"> the request </w:t>
      </w:r>
      <w:r w:rsidR="00C35A7C">
        <w:t xml:space="preserve">with </w:t>
      </w:r>
      <w:r w:rsidR="007E6CD6">
        <w:t>a suitable</w:t>
      </w:r>
      <w:r w:rsidR="00C35A7C">
        <w:t xml:space="preserve"> cause value, and the LMF may </w:t>
      </w:r>
      <w:r w:rsidR="007C522E">
        <w:t>proceed by</w:t>
      </w:r>
      <w:r w:rsidR="007E6CD6">
        <w:t xml:space="preserve"> subsequently</w:t>
      </w:r>
      <w:r w:rsidR="007C522E">
        <w:t xml:space="preserve"> </w:t>
      </w:r>
      <w:r w:rsidR="004C0ADD">
        <w:t xml:space="preserve">send a new </w:t>
      </w:r>
      <w:r w:rsidR="007C522E">
        <w:t xml:space="preserve">request </w:t>
      </w:r>
      <w:r w:rsidR="004C0ADD">
        <w:t xml:space="preserve">for </w:t>
      </w:r>
      <w:r w:rsidR="007C522E">
        <w:t>legacy RTOA mea</w:t>
      </w:r>
      <w:r w:rsidR="002C3FD6">
        <w:t>s</w:t>
      </w:r>
      <w:r w:rsidR="007C522E">
        <w:t xml:space="preserve">urements. </w:t>
      </w:r>
    </w:p>
    <w:p w14:paraId="4EF016D3" w14:textId="395DD248" w:rsidR="00445D90" w:rsidRDefault="00935468" w:rsidP="00F3707C">
      <w:pPr>
        <w:pStyle w:val="Observation"/>
        <w:rPr>
          <w:lang w:val="en-GB"/>
        </w:rPr>
      </w:pPr>
      <w:bookmarkStart w:id="208" w:name="_Toc189845062"/>
      <w:r>
        <w:rPr>
          <w:lang w:val="en-GB"/>
        </w:rPr>
        <w:t xml:space="preserve">For </w:t>
      </w:r>
      <w:r w:rsidR="00C32489">
        <w:rPr>
          <w:lang w:val="en-GB"/>
        </w:rPr>
        <w:t>C</w:t>
      </w:r>
      <w:r>
        <w:rPr>
          <w:lang w:val="en-GB"/>
        </w:rPr>
        <w:t xml:space="preserve">ase 3b measurement reporting, </w:t>
      </w:r>
      <w:proofErr w:type="spellStart"/>
      <w:r>
        <w:rPr>
          <w:lang w:val="en-GB"/>
        </w:rPr>
        <w:t>g</w:t>
      </w:r>
      <w:r w:rsidR="00C32489">
        <w:rPr>
          <w:lang w:val="en-GB"/>
        </w:rPr>
        <w:t>N</w:t>
      </w:r>
      <w:r>
        <w:rPr>
          <w:lang w:val="en-GB"/>
        </w:rPr>
        <w:t>B</w:t>
      </w:r>
      <w:proofErr w:type="spellEnd"/>
      <w:r>
        <w:rPr>
          <w:lang w:val="en-GB"/>
        </w:rPr>
        <w:t xml:space="preserve"> measurement report capability may vary over time</w:t>
      </w:r>
      <w:r w:rsidR="00C32489">
        <w:rPr>
          <w:lang w:val="en-GB"/>
        </w:rPr>
        <w:t>.</w:t>
      </w:r>
      <w:bookmarkEnd w:id="208"/>
    </w:p>
    <w:p w14:paraId="2D376B98" w14:textId="5EF687A8" w:rsidR="00DA0D21" w:rsidRDefault="00DA0D21" w:rsidP="00F3707C">
      <w:pPr>
        <w:pStyle w:val="Observation"/>
        <w:rPr>
          <w:lang w:val="en-GB"/>
        </w:rPr>
      </w:pPr>
      <w:bookmarkStart w:id="209" w:name="_Toc189845063"/>
      <w:r>
        <w:rPr>
          <w:lang w:val="en-GB"/>
        </w:rPr>
        <w:t xml:space="preserve">For </w:t>
      </w:r>
      <w:r w:rsidR="00C32489">
        <w:rPr>
          <w:lang w:val="en-GB"/>
        </w:rPr>
        <w:t>C</w:t>
      </w:r>
      <w:r>
        <w:rPr>
          <w:lang w:val="en-GB"/>
        </w:rPr>
        <w:t>ase 3b, automatic fallback from one measurement method to the other cannot be guaranteed.</w:t>
      </w:r>
      <w:bookmarkEnd w:id="209"/>
    </w:p>
    <w:p w14:paraId="5FF431BF" w14:textId="49FDF439" w:rsidR="00DA0D21" w:rsidRDefault="00E57031" w:rsidP="0081791C">
      <w:pPr>
        <w:pStyle w:val="Proposal"/>
        <w:rPr>
          <w:lang w:val="en-GB"/>
        </w:rPr>
      </w:pPr>
      <w:bookmarkStart w:id="210" w:name="_Toc189845109"/>
      <w:r>
        <w:rPr>
          <w:lang w:val="en-GB"/>
        </w:rPr>
        <w:t xml:space="preserve">For </w:t>
      </w:r>
      <w:r w:rsidR="008A3521">
        <w:rPr>
          <w:lang w:val="en-GB"/>
        </w:rPr>
        <w:t>C</w:t>
      </w:r>
      <w:r>
        <w:rPr>
          <w:lang w:val="en-GB"/>
        </w:rPr>
        <w:t xml:space="preserve">ase 3b, do not specify </w:t>
      </w:r>
      <w:r w:rsidR="00792640">
        <w:rPr>
          <w:lang w:val="en-GB"/>
        </w:rPr>
        <w:t xml:space="preserve">signalling enhancements for </w:t>
      </w:r>
      <w:r>
        <w:rPr>
          <w:lang w:val="en-GB"/>
        </w:rPr>
        <w:t>fallback between sample</w:t>
      </w:r>
      <w:r w:rsidR="008A3521">
        <w:rPr>
          <w:lang w:val="en-GB"/>
        </w:rPr>
        <w:t>-based</w:t>
      </w:r>
      <w:r>
        <w:rPr>
          <w:lang w:val="en-GB"/>
        </w:rPr>
        <w:t xml:space="preserve"> </w:t>
      </w:r>
      <w:r w:rsidR="008A3521">
        <w:rPr>
          <w:lang w:val="en-GB"/>
        </w:rPr>
        <w:t>and</w:t>
      </w:r>
      <w:r>
        <w:rPr>
          <w:lang w:val="en-GB"/>
        </w:rPr>
        <w:t xml:space="preserve"> path</w:t>
      </w:r>
      <w:r w:rsidR="008A3521">
        <w:rPr>
          <w:lang w:val="en-GB"/>
        </w:rPr>
        <w:t>-</w:t>
      </w:r>
      <w:r>
        <w:rPr>
          <w:lang w:val="en-GB"/>
        </w:rPr>
        <w:t>based measurement</w:t>
      </w:r>
      <w:r w:rsidR="00665212">
        <w:rPr>
          <w:lang w:val="en-GB"/>
        </w:rPr>
        <w:t>.</w:t>
      </w:r>
      <w:bookmarkEnd w:id="210"/>
    </w:p>
    <w:p w14:paraId="1B526242" w14:textId="777281ED" w:rsidR="00E57031" w:rsidRPr="00E57031" w:rsidRDefault="00E57031" w:rsidP="0081791C">
      <w:pPr>
        <w:pStyle w:val="Proposal"/>
        <w:numPr>
          <w:ilvl w:val="1"/>
          <w:numId w:val="2"/>
        </w:numPr>
        <w:rPr>
          <w:lang w:val="en-GB"/>
        </w:rPr>
      </w:pPr>
      <w:bookmarkStart w:id="211" w:name="_Toc189845110"/>
      <w:r>
        <w:rPr>
          <w:lang w:val="en-GB"/>
        </w:rPr>
        <w:t xml:space="preserve">Note: fallback can be supported by existing </w:t>
      </w:r>
      <w:r w:rsidR="00792640">
        <w:rPr>
          <w:lang w:val="en-GB"/>
        </w:rPr>
        <w:t>procedure using cause values.</w:t>
      </w:r>
      <w:bookmarkEnd w:id="211"/>
      <w:r w:rsidR="00792640">
        <w:rPr>
          <w:lang w:val="en-GB"/>
        </w:rPr>
        <w:t xml:space="preserve"> </w:t>
      </w:r>
    </w:p>
    <w:p w14:paraId="3D2123E2" w14:textId="77777777" w:rsidR="00AB2156" w:rsidRDefault="00AB2156" w:rsidP="00F06DCE">
      <w:pPr>
        <w:rPr>
          <w:lang w:val="en-GB"/>
        </w:rPr>
      </w:pPr>
    </w:p>
    <w:p w14:paraId="5D7D92B8" w14:textId="6DDECAC5" w:rsidR="00563F9F" w:rsidRPr="00E215F0" w:rsidRDefault="0002562A" w:rsidP="00556A6C">
      <w:pPr>
        <w:pStyle w:val="Heading3"/>
      </w:pPr>
      <w:bookmarkStart w:id="212" w:name="_Toc187676820"/>
      <w:bookmarkStart w:id="213" w:name="_Toc189041691"/>
      <w:bookmarkStart w:id="214" w:name="_Toc187676821"/>
      <w:bookmarkStart w:id="215" w:name="_Toc189041692"/>
      <w:bookmarkStart w:id="216" w:name="_Toc187676822"/>
      <w:bookmarkStart w:id="217" w:name="_Toc189041693"/>
      <w:bookmarkStart w:id="218" w:name="_Toc187676823"/>
      <w:bookmarkStart w:id="219" w:name="_Toc189041694"/>
      <w:bookmarkStart w:id="220" w:name="_Toc187676824"/>
      <w:bookmarkStart w:id="221" w:name="_Toc189041695"/>
      <w:bookmarkStart w:id="222" w:name="_Toc187676825"/>
      <w:bookmarkStart w:id="223" w:name="_Toc189041696"/>
      <w:bookmarkStart w:id="224" w:name="_Toc187676826"/>
      <w:bookmarkStart w:id="225" w:name="_Toc189041697"/>
      <w:bookmarkStart w:id="226" w:name="_Toc187676827"/>
      <w:bookmarkStart w:id="227" w:name="_Toc189041698"/>
      <w:bookmarkStart w:id="228" w:name="_Toc187676828"/>
      <w:bookmarkStart w:id="229" w:name="_Toc189041699"/>
      <w:bookmarkStart w:id="230" w:name="_Toc187676829"/>
      <w:bookmarkStart w:id="231" w:name="_Toc189041700"/>
      <w:bookmarkStart w:id="232" w:name="_Toc187676830"/>
      <w:bookmarkStart w:id="233" w:name="_Toc189041701"/>
      <w:bookmarkStart w:id="234" w:name="_Toc187676831"/>
      <w:bookmarkStart w:id="235" w:name="_Toc189041702"/>
      <w:bookmarkStart w:id="236" w:name="_Toc187676832"/>
      <w:bookmarkStart w:id="237" w:name="_Toc189041703"/>
      <w:bookmarkStart w:id="238" w:name="_Toc187676833"/>
      <w:bookmarkStart w:id="239" w:name="_Toc189041704"/>
      <w:bookmarkStart w:id="240" w:name="_Toc187676834"/>
      <w:bookmarkStart w:id="241" w:name="_Toc189041705"/>
      <w:bookmarkStart w:id="242" w:name="_Toc187676835"/>
      <w:bookmarkStart w:id="243" w:name="_Toc189041706"/>
      <w:bookmarkStart w:id="244" w:name="_Toc187676836"/>
      <w:bookmarkStart w:id="245" w:name="_Toc189041707"/>
      <w:bookmarkStart w:id="246" w:name="_Toc187676837"/>
      <w:bookmarkStart w:id="247" w:name="_Toc189041708"/>
      <w:bookmarkStart w:id="248" w:name="_Toc187676838"/>
      <w:bookmarkStart w:id="249" w:name="_Toc189041709"/>
      <w:bookmarkStart w:id="250" w:name="_Toc187676839"/>
      <w:bookmarkStart w:id="251" w:name="_Toc189041710"/>
      <w:bookmarkStart w:id="252" w:name="_Toc187676840"/>
      <w:bookmarkStart w:id="253" w:name="_Toc189041711"/>
      <w:bookmarkStart w:id="254" w:name="_Toc187676841"/>
      <w:bookmarkStart w:id="255" w:name="_Toc189041712"/>
      <w:bookmarkStart w:id="256" w:name="_Toc187676842"/>
      <w:bookmarkStart w:id="257" w:name="_Toc189041713"/>
      <w:bookmarkStart w:id="258" w:name="_Toc187676843"/>
      <w:bookmarkStart w:id="259" w:name="_Toc189041714"/>
      <w:bookmarkStart w:id="260" w:name="_Toc187676953"/>
      <w:bookmarkStart w:id="261" w:name="_Toc189041824"/>
      <w:bookmarkStart w:id="262" w:name="_Toc187676954"/>
      <w:bookmarkStart w:id="263" w:name="_Toc189041825"/>
      <w:bookmarkStart w:id="264" w:name="_Toc187676955"/>
      <w:bookmarkStart w:id="265" w:name="_Toc189041826"/>
      <w:bookmarkStart w:id="266" w:name="_Toc187677065"/>
      <w:bookmarkStart w:id="267" w:name="_Toc189041936"/>
      <w:bookmarkStart w:id="268" w:name="_Toc187677066"/>
      <w:bookmarkStart w:id="269" w:name="_Toc189041937"/>
      <w:bookmarkStart w:id="270" w:name="_Toc187677067"/>
      <w:bookmarkStart w:id="271" w:name="_Toc189041938"/>
      <w:bookmarkStart w:id="272" w:name="_Toc187677068"/>
      <w:bookmarkStart w:id="273" w:name="_Toc189041939"/>
      <w:bookmarkStart w:id="274" w:name="_Toc187677069"/>
      <w:bookmarkStart w:id="275" w:name="_Toc189041940"/>
      <w:bookmarkStart w:id="276" w:name="_Toc187677179"/>
      <w:bookmarkStart w:id="277" w:name="_Toc189042050"/>
      <w:bookmarkStart w:id="278" w:name="_Toc187677180"/>
      <w:bookmarkStart w:id="279" w:name="_Toc189042051"/>
      <w:bookmarkStart w:id="280" w:name="_Toc187677290"/>
      <w:bookmarkStart w:id="281" w:name="_Toc189042161"/>
      <w:bookmarkStart w:id="282" w:name="_Toc187677291"/>
      <w:bookmarkStart w:id="283" w:name="_Toc189042162"/>
      <w:bookmarkStart w:id="284" w:name="_Toc187677292"/>
      <w:bookmarkStart w:id="285" w:name="_Toc189042163"/>
      <w:bookmarkStart w:id="286" w:name="_Toc187677293"/>
      <w:bookmarkStart w:id="287" w:name="_Toc189042164"/>
      <w:bookmarkStart w:id="288" w:name="_Toc187677294"/>
      <w:bookmarkStart w:id="289" w:name="_Toc189042165"/>
      <w:bookmarkStart w:id="290" w:name="_Toc187677295"/>
      <w:bookmarkStart w:id="291" w:name="_Toc189042166"/>
      <w:bookmarkStart w:id="292" w:name="_Toc187677405"/>
      <w:bookmarkStart w:id="293" w:name="_Toc189042276"/>
      <w:bookmarkStart w:id="294" w:name="_Toc187677406"/>
      <w:bookmarkStart w:id="295" w:name="_Toc189042277"/>
      <w:bookmarkStart w:id="296" w:name="_Toc187677407"/>
      <w:bookmarkStart w:id="297" w:name="_Toc189042278"/>
      <w:bookmarkStart w:id="298" w:name="_Toc187677517"/>
      <w:bookmarkStart w:id="299" w:name="_Toc189042388"/>
      <w:bookmarkStart w:id="300" w:name="_Toc187677518"/>
      <w:bookmarkStart w:id="301" w:name="_Toc189042389"/>
      <w:bookmarkStart w:id="302" w:name="_Toc187677519"/>
      <w:bookmarkStart w:id="303" w:name="_Toc189042390"/>
      <w:bookmarkStart w:id="304" w:name="_Toc187677520"/>
      <w:bookmarkStart w:id="305" w:name="_Toc189042391"/>
      <w:bookmarkStart w:id="306" w:name="_Toc187677521"/>
      <w:bookmarkStart w:id="307" w:name="_Toc189042392"/>
      <w:bookmarkStart w:id="308" w:name="_Toc187677522"/>
      <w:bookmarkStart w:id="309" w:name="_Toc189042393"/>
      <w:bookmarkStart w:id="310" w:name="_Toc187677523"/>
      <w:bookmarkStart w:id="311" w:name="_Toc189042394"/>
      <w:bookmarkStart w:id="312" w:name="_Toc187677524"/>
      <w:bookmarkStart w:id="313" w:name="_Toc189042395"/>
      <w:bookmarkStart w:id="314" w:name="_Toc187677525"/>
      <w:bookmarkStart w:id="315" w:name="_Toc189042396"/>
      <w:bookmarkStart w:id="316" w:name="_Toc187677526"/>
      <w:bookmarkStart w:id="317" w:name="_Toc189042397"/>
      <w:bookmarkStart w:id="318" w:name="_Toc187677527"/>
      <w:bookmarkStart w:id="319" w:name="_Toc189042398"/>
      <w:bookmarkStart w:id="320" w:name="_Toc187677528"/>
      <w:bookmarkStart w:id="321" w:name="_Toc189042399"/>
      <w:bookmarkStart w:id="322" w:name="_Toc187677529"/>
      <w:bookmarkStart w:id="323" w:name="_Toc189042400"/>
      <w:bookmarkStart w:id="324" w:name="_Toc187677530"/>
      <w:bookmarkStart w:id="325" w:name="_Toc189042401"/>
      <w:bookmarkStart w:id="326" w:name="_Toc187677531"/>
      <w:bookmarkStart w:id="327" w:name="_Toc189042402"/>
      <w:bookmarkStart w:id="328" w:name="_Toc187677532"/>
      <w:bookmarkStart w:id="329" w:name="_Toc189042403"/>
      <w:bookmarkStart w:id="330" w:name="_Toc187677533"/>
      <w:bookmarkStart w:id="331" w:name="_Toc189042404"/>
      <w:bookmarkStart w:id="332" w:name="_Toc187677534"/>
      <w:bookmarkStart w:id="333" w:name="_Toc189042405"/>
      <w:bookmarkStart w:id="334" w:name="_Toc187677535"/>
      <w:bookmarkStart w:id="335" w:name="_Toc189042406"/>
      <w:bookmarkStart w:id="336" w:name="_Toc187677542"/>
      <w:bookmarkStart w:id="337" w:name="_Toc189042413"/>
      <w:bookmarkStart w:id="338" w:name="_Toc187677543"/>
      <w:bookmarkStart w:id="339" w:name="_Toc189042414"/>
      <w:bookmarkStart w:id="340" w:name="_Toc187677544"/>
      <w:bookmarkStart w:id="341" w:name="_Toc189042415"/>
      <w:bookmarkStart w:id="342" w:name="_Toc187677551"/>
      <w:bookmarkStart w:id="343" w:name="_Toc189042422"/>
      <w:bookmarkStart w:id="344" w:name="_Toc187677552"/>
      <w:bookmarkStart w:id="345" w:name="_Toc189042423"/>
      <w:bookmarkStart w:id="346" w:name="_Toc178704971"/>
      <w:bookmarkStart w:id="347" w:name="_Toc178705873"/>
      <w:bookmarkStart w:id="348" w:name="_Toc178708851"/>
      <w:bookmarkStart w:id="349" w:name="_Toc178772573"/>
      <w:bookmarkStart w:id="350" w:name="_Toc178704972"/>
      <w:bookmarkStart w:id="351" w:name="_Toc178705874"/>
      <w:bookmarkStart w:id="352" w:name="_Toc178708852"/>
      <w:bookmarkStart w:id="353" w:name="_Toc178772574"/>
      <w:bookmarkStart w:id="354" w:name="_Toc178704973"/>
      <w:bookmarkStart w:id="355" w:name="_Toc178705875"/>
      <w:bookmarkStart w:id="356" w:name="_Toc178708853"/>
      <w:bookmarkStart w:id="357" w:name="_Toc178772575"/>
      <w:bookmarkStart w:id="358" w:name="_Toc178704974"/>
      <w:bookmarkStart w:id="359" w:name="_Toc178705876"/>
      <w:bookmarkStart w:id="360" w:name="_Toc178708854"/>
      <w:bookmarkStart w:id="361" w:name="_Toc178772576"/>
      <w:bookmarkStart w:id="362" w:name="_Toc178704975"/>
      <w:bookmarkStart w:id="363" w:name="_Toc178705877"/>
      <w:bookmarkStart w:id="364" w:name="_Toc178708855"/>
      <w:bookmarkStart w:id="365" w:name="_Toc178772577"/>
      <w:bookmarkStart w:id="366" w:name="_Toc178704976"/>
      <w:bookmarkStart w:id="367" w:name="_Toc178705878"/>
      <w:bookmarkStart w:id="368" w:name="_Toc178708856"/>
      <w:bookmarkStart w:id="369" w:name="_Toc178772578"/>
      <w:bookmarkStart w:id="370" w:name="_Toc178704977"/>
      <w:bookmarkStart w:id="371" w:name="_Toc178705879"/>
      <w:bookmarkStart w:id="372" w:name="_Toc178708857"/>
      <w:bookmarkStart w:id="373" w:name="_Toc178772579"/>
      <w:bookmarkStart w:id="374" w:name="_Toc178704978"/>
      <w:bookmarkStart w:id="375" w:name="_Toc178705880"/>
      <w:bookmarkStart w:id="376" w:name="_Toc178708858"/>
      <w:bookmarkStart w:id="377" w:name="_Toc178772580"/>
      <w:bookmarkStart w:id="378" w:name="_Toc178704979"/>
      <w:bookmarkStart w:id="379" w:name="_Toc178705881"/>
      <w:bookmarkStart w:id="380" w:name="_Toc178708859"/>
      <w:bookmarkStart w:id="381" w:name="_Toc178772581"/>
      <w:bookmarkStart w:id="382" w:name="_Toc178704980"/>
      <w:bookmarkStart w:id="383" w:name="_Toc178705882"/>
      <w:bookmarkStart w:id="384" w:name="_Toc178708860"/>
      <w:bookmarkStart w:id="385" w:name="_Toc178772582"/>
      <w:bookmarkStart w:id="386" w:name="_Toc178704981"/>
      <w:bookmarkStart w:id="387" w:name="_Toc178705883"/>
      <w:bookmarkStart w:id="388" w:name="_Toc178708861"/>
      <w:bookmarkStart w:id="389" w:name="_Toc178772583"/>
      <w:bookmarkStart w:id="390" w:name="_Toc178704982"/>
      <w:bookmarkStart w:id="391" w:name="_Toc178705884"/>
      <w:bookmarkStart w:id="392" w:name="_Toc178708862"/>
      <w:bookmarkStart w:id="393" w:name="_Toc178772584"/>
      <w:bookmarkStart w:id="394" w:name="_Toc178704983"/>
      <w:bookmarkStart w:id="395" w:name="_Toc178705885"/>
      <w:bookmarkStart w:id="396" w:name="_Toc178708863"/>
      <w:bookmarkStart w:id="397" w:name="_Toc178772585"/>
      <w:bookmarkStart w:id="398" w:name="_Toc178704984"/>
      <w:bookmarkStart w:id="399" w:name="_Toc178705886"/>
      <w:bookmarkStart w:id="400" w:name="_Toc178708864"/>
      <w:bookmarkStart w:id="401" w:name="_Toc178772586"/>
      <w:bookmarkStart w:id="402" w:name="_Toc178704985"/>
      <w:bookmarkStart w:id="403" w:name="_Toc178705887"/>
      <w:bookmarkStart w:id="404" w:name="_Toc178708865"/>
      <w:bookmarkStart w:id="405" w:name="_Toc178772587"/>
      <w:bookmarkStart w:id="406" w:name="_Toc178704986"/>
      <w:bookmarkStart w:id="407" w:name="_Toc178705888"/>
      <w:bookmarkStart w:id="408" w:name="_Toc178708866"/>
      <w:bookmarkStart w:id="409" w:name="_Toc178772588"/>
      <w:bookmarkStart w:id="410" w:name="_Toc178704987"/>
      <w:bookmarkStart w:id="411" w:name="_Toc178705889"/>
      <w:bookmarkStart w:id="412" w:name="_Toc178708867"/>
      <w:bookmarkStart w:id="413" w:name="_Toc178772589"/>
      <w:bookmarkStart w:id="414" w:name="_Toc178704988"/>
      <w:bookmarkStart w:id="415" w:name="_Toc178705890"/>
      <w:bookmarkStart w:id="416" w:name="_Toc178708868"/>
      <w:bookmarkStart w:id="417" w:name="_Toc178772590"/>
      <w:bookmarkStart w:id="418" w:name="_Toc178704989"/>
      <w:bookmarkStart w:id="419" w:name="_Toc178705891"/>
      <w:bookmarkStart w:id="420" w:name="_Toc178708869"/>
      <w:bookmarkStart w:id="421" w:name="_Toc178772591"/>
      <w:bookmarkStart w:id="422" w:name="_Toc178704990"/>
      <w:bookmarkStart w:id="423" w:name="_Toc178705892"/>
      <w:bookmarkStart w:id="424" w:name="_Toc178708870"/>
      <w:bookmarkStart w:id="425" w:name="_Toc178772592"/>
      <w:bookmarkStart w:id="426" w:name="_Toc178704991"/>
      <w:bookmarkStart w:id="427" w:name="_Toc178705893"/>
      <w:bookmarkStart w:id="428" w:name="_Toc178708871"/>
      <w:bookmarkStart w:id="429" w:name="_Toc178772593"/>
      <w:bookmarkStart w:id="430" w:name="_Toc178704992"/>
      <w:bookmarkStart w:id="431" w:name="_Toc178705894"/>
      <w:bookmarkStart w:id="432" w:name="_Toc178708872"/>
      <w:bookmarkStart w:id="433" w:name="_Toc178772594"/>
      <w:bookmarkStart w:id="434" w:name="_Toc178704993"/>
      <w:bookmarkStart w:id="435" w:name="_Toc178705895"/>
      <w:bookmarkStart w:id="436" w:name="_Toc178708873"/>
      <w:bookmarkStart w:id="437" w:name="_Toc178772595"/>
      <w:bookmarkStart w:id="438" w:name="_Toc178704994"/>
      <w:bookmarkStart w:id="439" w:name="_Toc178705896"/>
      <w:bookmarkStart w:id="440" w:name="_Toc178708874"/>
      <w:bookmarkStart w:id="441" w:name="_Toc178772596"/>
      <w:bookmarkStart w:id="442" w:name="_Toc178704995"/>
      <w:bookmarkStart w:id="443" w:name="_Toc178705897"/>
      <w:bookmarkStart w:id="444" w:name="_Toc178708875"/>
      <w:bookmarkStart w:id="445" w:name="_Toc178772597"/>
      <w:bookmarkStart w:id="446" w:name="_Toc178704996"/>
      <w:bookmarkStart w:id="447" w:name="_Toc178705898"/>
      <w:bookmarkStart w:id="448" w:name="_Toc178708876"/>
      <w:bookmarkStart w:id="449" w:name="_Toc178772598"/>
      <w:bookmarkStart w:id="450" w:name="_Toc178704997"/>
      <w:bookmarkStart w:id="451" w:name="_Toc178705899"/>
      <w:bookmarkStart w:id="452" w:name="_Toc178708877"/>
      <w:bookmarkStart w:id="453" w:name="_Toc178772599"/>
      <w:bookmarkStart w:id="454" w:name="_Toc178704998"/>
      <w:bookmarkStart w:id="455" w:name="_Toc178705900"/>
      <w:bookmarkStart w:id="456" w:name="_Toc178708878"/>
      <w:bookmarkStart w:id="457" w:name="_Toc178772600"/>
      <w:bookmarkStart w:id="458" w:name="_Toc178704999"/>
      <w:bookmarkStart w:id="459" w:name="_Toc178705901"/>
      <w:bookmarkStart w:id="460" w:name="_Toc178708879"/>
      <w:bookmarkStart w:id="461" w:name="_Toc178772601"/>
      <w:bookmarkStart w:id="462" w:name="_Toc178705000"/>
      <w:bookmarkStart w:id="463" w:name="_Toc178705902"/>
      <w:bookmarkStart w:id="464" w:name="_Toc178708880"/>
      <w:bookmarkStart w:id="465" w:name="_Toc178772602"/>
      <w:bookmarkStart w:id="466" w:name="_Toc178705001"/>
      <w:bookmarkStart w:id="467" w:name="_Toc178705903"/>
      <w:bookmarkStart w:id="468" w:name="_Toc178708881"/>
      <w:bookmarkStart w:id="469" w:name="_Toc178772603"/>
      <w:bookmarkStart w:id="470" w:name="_Toc178705002"/>
      <w:bookmarkStart w:id="471" w:name="_Toc178705904"/>
      <w:bookmarkStart w:id="472" w:name="_Toc178708882"/>
      <w:bookmarkStart w:id="473" w:name="_Toc178772604"/>
      <w:bookmarkStart w:id="474" w:name="_Toc178705003"/>
      <w:bookmarkStart w:id="475" w:name="_Toc178705905"/>
      <w:bookmarkStart w:id="476" w:name="_Toc178708883"/>
      <w:bookmarkStart w:id="477" w:name="_Toc178772605"/>
      <w:bookmarkStart w:id="478" w:name="_Toc178705004"/>
      <w:bookmarkStart w:id="479" w:name="_Toc178705906"/>
      <w:bookmarkStart w:id="480" w:name="_Toc178708884"/>
      <w:bookmarkStart w:id="481" w:name="_Toc178772606"/>
      <w:bookmarkStart w:id="482" w:name="_Toc178705005"/>
      <w:bookmarkStart w:id="483" w:name="_Toc178705907"/>
      <w:bookmarkStart w:id="484" w:name="_Toc178708885"/>
      <w:bookmarkStart w:id="485" w:name="_Toc178772607"/>
      <w:bookmarkStart w:id="486" w:name="_Toc178705006"/>
      <w:bookmarkStart w:id="487" w:name="_Toc178705908"/>
      <w:bookmarkStart w:id="488" w:name="_Toc178708886"/>
      <w:bookmarkStart w:id="489" w:name="_Toc178772608"/>
      <w:bookmarkStart w:id="490" w:name="_Toc178705007"/>
      <w:bookmarkStart w:id="491" w:name="_Toc178705909"/>
      <w:bookmarkStart w:id="492" w:name="_Toc178708887"/>
      <w:bookmarkStart w:id="493" w:name="_Toc178772609"/>
      <w:bookmarkStart w:id="494" w:name="_Toc178705008"/>
      <w:bookmarkStart w:id="495" w:name="_Toc178705910"/>
      <w:bookmarkStart w:id="496" w:name="_Toc178708888"/>
      <w:bookmarkStart w:id="497" w:name="_Toc178772610"/>
      <w:bookmarkStart w:id="498" w:name="_Toc178705009"/>
      <w:bookmarkStart w:id="499" w:name="_Toc178705911"/>
      <w:bookmarkStart w:id="500" w:name="_Toc178708889"/>
      <w:bookmarkStart w:id="501" w:name="_Toc178772611"/>
      <w:bookmarkStart w:id="502" w:name="_Toc178705010"/>
      <w:bookmarkStart w:id="503" w:name="_Toc178705912"/>
      <w:bookmarkStart w:id="504" w:name="_Toc178708890"/>
      <w:bookmarkStart w:id="505" w:name="_Toc178772612"/>
      <w:bookmarkStart w:id="506" w:name="_Toc178705011"/>
      <w:bookmarkStart w:id="507" w:name="_Toc178705913"/>
      <w:bookmarkStart w:id="508" w:name="_Toc178708891"/>
      <w:bookmarkStart w:id="509" w:name="_Toc178772613"/>
      <w:bookmarkStart w:id="510" w:name="_Toc178705012"/>
      <w:bookmarkStart w:id="511" w:name="_Toc178705914"/>
      <w:bookmarkStart w:id="512" w:name="_Toc178708892"/>
      <w:bookmarkStart w:id="513" w:name="_Toc178772614"/>
      <w:bookmarkStart w:id="514" w:name="_Toc178705013"/>
      <w:bookmarkStart w:id="515" w:name="_Toc178705915"/>
      <w:bookmarkStart w:id="516" w:name="_Toc178708893"/>
      <w:bookmarkStart w:id="517" w:name="_Toc178772615"/>
      <w:bookmarkStart w:id="518" w:name="_Toc178705014"/>
      <w:bookmarkStart w:id="519" w:name="_Toc178705916"/>
      <w:bookmarkStart w:id="520" w:name="_Toc178708894"/>
      <w:bookmarkStart w:id="521" w:name="_Toc178772616"/>
      <w:bookmarkStart w:id="522" w:name="_Toc178705015"/>
      <w:bookmarkStart w:id="523" w:name="_Toc178705917"/>
      <w:bookmarkStart w:id="524" w:name="_Toc178708895"/>
      <w:bookmarkStart w:id="525" w:name="_Toc178772617"/>
      <w:bookmarkStart w:id="526" w:name="_Toc178705016"/>
      <w:bookmarkStart w:id="527" w:name="_Toc178705918"/>
      <w:bookmarkStart w:id="528" w:name="_Toc178708896"/>
      <w:bookmarkStart w:id="529" w:name="_Toc178772618"/>
      <w:bookmarkStart w:id="530" w:name="_Toc178705017"/>
      <w:bookmarkStart w:id="531" w:name="_Toc178705919"/>
      <w:bookmarkStart w:id="532" w:name="_Toc178708897"/>
      <w:bookmarkStart w:id="533" w:name="_Toc178772619"/>
      <w:bookmarkStart w:id="534" w:name="_Toc178705018"/>
      <w:bookmarkStart w:id="535" w:name="_Toc178705920"/>
      <w:bookmarkStart w:id="536" w:name="_Toc178708898"/>
      <w:bookmarkStart w:id="537" w:name="_Toc178772620"/>
      <w:bookmarkStart w:id="538" w:name="_Toc178705019"/>
      <w:bookmarkStart w:id="539" w:name="_Toc178705921"/>
      <w:bookmarkStart w:id="540" w:name="_Toc178708899"/>
      <w:bookmarkStart w:id="541" w:name="_Toc178772621"/>
      <w:bookmarkStart w:id="542" w:name="_Toc178705020"/>
      <w:bookmarkStart w:id="543" w:name="_Toc178705922"/>
      <w:bookmarkStart w:id="544" w:name="_Toc178708900"/>
      <w:bookmarkStart w:id="545" w:name="_Toc178772622"/>
      <w:bookmarkStart w:id="546" w:name="_Toc178705031"/>
      <w:bookmarkStart w:id="547" w:name="_Toc178705933"/>
      <w:bookmarkStart w:id="548" w:name="_Toc178708911"/>
      <w:bookmarkStart w:id="549" w:name="_Toc178772633"/>
      <w:bookmarkStart w:id="550" w:name="_Toc178705032"/>
      <w:bookmarkStart w:id="551" w:name="_Toc178705934"/>
      <w:bookmarkStart w:id="552" w:name="_Toc178708912"/>
      <w:bookmarkStart w:id="553" w:name="_Toc178772634"/>
      <w:bookmarkStart w:id="554" w:name="_Toc178705033"/>
      <w:bookmarkStart w:id="555" w:name="_Toc178705935"/>
      <w:bookmarkStart w:id="556" w:name="_Toc178708913"/>
      <w:bookmarkStart w:id="557" w:name="_Toc178772635"/>
      <w:bookmarkStart w:id="558" w:name="_Toc178705034"/>
      <w:bookmarkStart w:id="559" w:name="_Toc178705936"/>
      <w:bookmarkStart w:id="560" w:name="_Toc178708914"/>
      <w:bookmarkStart w:id="561" w:name="_Toc178772636"/>
      <w:bookmarkStart w:id="562" w:name="_Toc178705035"/>
      <w:bookmarkStart w:id="563" w:name="_Toc178705937"/>
      <w:bookmarkStart w:id="564" w:name="_Toc178708915"/>
      <w:bookmarkStart w:id="565" w:name="_Toc178772637"/>
      <w:bookmarkStart w:id="566" w:name="_Toc178705036"/>
      <w:bookmarkStart w:id="567" w:name="_Toc178705938"/>
      <w:bookmarkStart w:id="568" w:name="_Toc178708916"/>
      <w:bookmarkStart w:id="569" w:name="_Toc178772638"/>
      <w:bookmarkStart w:id="570" w:name="_Toc178705037"/>
      <w:bookmarkStart w:id="571" w:name="_Toc178705939"/>
      <w:bookmarkStart w:id="572" w:name="_Toc178708917"/>
      <w:bookmarkStart w:id="573" w:name="_Toc178772639"/>
      <w:bookmarkStart w:id="574" w:name="_Toc178705038"/>
      <w:bookmarkStart w:id="575" w:name="_Toc178705940"/>
      <w:bookmarkStart w:id="576" w:name="_Toc178708918"/>
      <w:bookmarkStart w:id="577" w:name="_Toc178772640"/>
      <w:bookmarkStart w:id="578" w:name="_Toc178705039"/>
      <w:bookmarkStart w:id="579" w:name="_Toc178705941"/>
      <w:bookmarkStart w:id="580" w:name="_Toc178708919"/>
      <w:bookmarkStart w:id="581" w:name="_Toc178772641"/>
      <w:bookmarkStart w:id="582" w:name="_Toc178705040"/>
      <w:bookmarkStart w:id="583" w:name="_Toc178705942"/>
      <w:bookmarkStart w:id="584" w:name="_Toc178708920"/>
      <w:bookmarkStart w:id="585" w:name="_Toc178772642"/>
      <w:bookmarkStart w:id="586" w:name="_Toc178705041"/>
      <w:bookmarkStart w:id="587" w:name="_Toc178705943"/>
      <w:bookmarkStart w:id="588" w:name="_Toc178708921"/>
      <w:bookmarkStart w:id="589" w:name="_Toc178772643"/>
      <w:bookmarkStart w:id="590" w:name="_Toc178705042"/>
      <w:bookmarkStart w:id="591" w:name="_Toc178705944"/>
      <w:bookmarkStart w:id="592" w:name="_Toc178708922"/>
      <w:bookmarkStart w:id="593" w:name="_Toc178772644"/>
      <w:bookmarkStart w:id="594" w:name="_Toc178705043"/>
      <w:bookmarkStart w:id="595" w:name="_Toc178705945"/>
      <w:bookmarkStart w:id="596" w:name="_Toc178708923"/>
      <w:bookmarkStart w:id="597" w:name="_Toc178772645"/>
      <w:bookmarkStart w:id="598" w:name="_Toc178705044"/>
      <w:bookmarkStart w:id="599" w:name="_Toc178705946"/>
      <w:bookmarkStart w:id="600" w:name="_Toc178708924"/>
      <w:bookmarkStart w:id="601" w:name="_Toc178772646"/>
      <w:bookmarkStart w:id="602" w:name="_Toc178705045"/>
      <w:bookmarkStart w:id="603" w:name="_Toc178705947"/>
      <w:bookmarkStart w:id="604" w:name="_Toc178708925"/>
      <w:bookmarkStart w:id="605" w:name="_Toc178772647"/>
      <w:bookmarkStart w:id="606" w:name="_Toc178705046"/>
      <w:bookmarkStart w:id="607" w:name="_Toc178705948"/>
      <w:bookmarkStart w:id="608" w:name="_Toc178708926"/>
      <w:bookmarkStart w:id="609" w:name="_Toc178772648"/>
      <w:bookmarkStart w:id="610" w:name="_Toc178705047"/>
      <w:bookmarkStart w:id="611" w:name="_Toc178705949"/>
      <w:bookmarkStart w:id="612" w:name="_Toc178708927"/>
      <w:bookmarkStart w:id="613" w:name="_Toc178772649"/>
      <w:bookmarkStart w:id="614" w:name="_Toc178705048"/>
      <w:bookmarkStart w:id="615" w:name="_Toc178705950"/>
      <w:bookmarkStart w:id="616" w:name="_Toc178708928"/>
      <w:bookmarkStart w:id="617" w:name="_Toc178772650"/>
      <w:bookmarkStart w:id="618" w:name="_Toc178705049"/>
      <w:bookmarkStart w:id="619" w:name="_Toc178705951"/>
      <w:bookmarkStart w:id="620" w:name="_Toc178708929"/>
      <w:bookmarkStart w:id="621" w:name="_Toc178772651"/>
      <w:bookmarkStart w:id="622" w:name="_Toc178705050"/>
      <w:bookmarkStart w:id="623" w:name="_Toc178705952"/>
      <w:bookmarkStart w:id="624" w:name="_Toc178708930"/>
      <w:bookmarkStart w:id="625" w:name="_Toc178772652"/>
      <w:bookmarkStart w:id="626" w:name="_Toc178705051"/>
      <w:bookmarkStart w:id="627" w:name="_Toc178705953"/>
      <w:bookmarkStart w:id="628" w:name="_Toc178708931"/>
      <w:bookmarkStart w:id="629" w:name="_Toc178772653"/>
      <w:bookmarkStart w:id="630" w:name="_Toc178705052"/>
      <w:bookmarkStart w:id="631" w:name="_Toc178705954"/>
      <w:bookmarkStart w:id="632" w:name="_Toc178708932"/>
      <w:bookmarkStart w:id="633" w:name="_Toc178772654"/>
      <w:bookmarkStart w:id="634" w:name="_Toc178705053"/>
      <w:bookmarkStart w:id="635" w:name="_Toc178705955"/>
      <w:bookmarkStart w:id="636" w:name="_Toc178708933"/>
      <w:bookmarkStart w:id="637" w:name="_Toc178772655"/>
      <w:bookmarkStart w:id="638" w:name="_Toc178705054"/>
      <w:bookmarkStart w:id="639" w:name="_Toc178705956"/>
      <w:bookmarkStart w:id="640" w:name="_Toc178708934"/>
      <w:bookmarkStart w:id="641" w:name="_Toc178772656"/>
      <w:bookmarkStart w:id="642" w:name="_Toc178705055"/>
      <w:bookmarkStart w:id="643" w:name="_Toc178705957"/>
      <w:bookmarkStart w:id="644" w:name="_Toc178708935"/>
      <w:bookmarkStart w:id="645" w:name="_Toc178772657"/>
      <w:bookmarkStart w:id="646" w:name="_Toc178705056"/>
      <w:bookmarkStart w:id="647" w:name="_Toc178705958"/>
      <w:bookmarkStart w:id="648" w:name="_Toc178708936"/>
      <w:bookmarkStart w:id="649" w:name="_Toc178772658"/>
      <w:bookmarkStart w:id="650" w:name="_Toc178705057"/>
      <w:bookmarkStart w:id="651" w:name="_Toc178705959"/>
      <w:bookmarkStart w:id="652" w:name="_Toc178708937"/>
      <w:bookmarkStart w:id="653" w:name="_Toc178772659"/>
      <w:bookmarkStart w:id="654" w:name="_Toc178705058"/>
      <w:bookmarkStart w:id="655" w:name="_Toc178705960"/>
      <w:bookmarkStart w:id="656" w:name="_Toc178708938"/>
      <w:bookmarkStart w:id="657" w:name="_Toc178772660"/>
      <w:bookmarkStart w:id="658" w:name="_Toc178705059"/>
      <w:bookmarkStart w:id="659" w:name="_Toc178705961"/>
      <w:bookmarkStart w:id="660" w:name="_Toc178708939"/>
      <w:bookmarkStart w:id="661" w:name="_Toc178772661"/>
      <w:bookmarkStart w:id="662" w:name="_Toc178705060"/>
      <w:bookmarkStart w:id="663" w:name="_Toc178705962"/>
      <w:bookmarkStart w:id="664" w:name="_Toc178708940"/>
      <w:bookmarkStart w:id="665" w:name="_Toc178772662"/>
      <w:bookmarkStart w:id="666" w:name="_Toc178705061"/>
      <w:bookmarkStart w:id="667" w:name="_Toc178705963"/>
      <w:bookmarkStart w:id="668" w:name="_Toc178708941"/>
      <w:bookmarkStart w:id="669" w:name="_Toc178772663"/>
      <w:bookmarkStart w:id="670" w:name="_Toc178705062"/>
      <w:bookmarkStart w:id="671" w:name="_Toc178705964"/>
      <w:bookmarkStart w:id="672" w:name="_Toc178708942"/>
      <w:bookmarkStart w:id="673" w:name="_Toc178772664"/>
      <w:bookmarkStart w:id="674" w:name="_Toc178705063"/>
      <w:bookmarkStart w:id="675" w:name="_Toc178705965"/>
      <w:bookmarkStart w:id="676" w:name="_Toc178708943"/>
      <w:bookmarkStart w:id="677" w:name="_Toc178772665"/>
      <w:bookmarkStart w:id="678" w:name="_Toc178705064"/>
      <w:bookmarkStart w:id="679" w:name="_Toc178705966"/>
      <w:bookmarkStart w:id="680" w:name="_Toc178708944"/>
      <w:bookmarkStart w:id="681" w:name="_Toc178772666"/>
      <w:bookmarkStart w:id="682" w:name="_Toc178705065"/>
      <w:bookmarkStart w:id="683" w:name="_Toc178705967"/>
      <w:bookmarkStart w:id="684" w:name="_Toc178708945"/>
      <w:bookmarkStart w:id="685" w:name="_Toc178772667"/>
      <w:bookmarkStart w:id="686" w:name="_Toc178705066"/>
      <w:bookmarkStart w:id="687" w:name="_Toc178705968"/>
      <w:bookmarkStart w:id="688" w:name="_Toc178708946"/>
      <w:bookmarkStart w:id="689" w:name="_Toc178772668"/>
      <w:bookmarkStart w:id="690" w:name="_Toc178705067"/>
      <w:bookmarkStart w:id="691" w:name="_Toc178705969"/>
      <w:bookmarkStart w:id="692" w:name="_Toc178708947"/>
      <w:bookmarkStart w:id="693" w:name="_Toc178772669"/>
      <w:bookmarkStart w:id="694" w:name="_Toc178705068"/>
      <w:bookmarkStart w:id="695" w:name="_Toc178705970"/>
      <w:bookmarkStart w:id="696" w:name="_Toc178708948"/>
      <w:bookmarkStart w:id="697" w:name="_Toc178772670"/>
      <w:bookmarkStart w:id="698" w:name="_Toc178705069"/>
      <w:bookmarkStart w:id="699" w:name="_Toc178705971"/>
      <w:bookmarkStart w:id="700" w:name="_Toc178708949"/>
      <w:bookmarkStart w:id="701" w:name="_Toc178772671"/>
      <w:bookmarkStart w:id="702" w:name="_Toc178705070"/>
      <w:bookmarkStart w:id="703" w:name="_Toc178705972"/>
      <w:bookmarkStart w:id="704" w:name="_Toc178708950"/>
      <w:bookmarkStart w:id="705" w:name="_Toc178772672"/>
      <w:bookmarkStart w:id="706" w:name="_Toc178705071"/>
      <w:bookmarkStart w:id="707" w:name="_Toc178705973"/>
      <w:bookmarkStart w:id="708" w:name="_Toc178708951"/>
      <w:bookmarkStart w:id="709" w:name="_Toc178772673"/>
      <w:bookmarkStart w:id="710" w:name="_Toc178705072"/>
      <w:bookmarkStart w:id="711" w:name="_Toc178705974"/>
      <w:bookmarkStart w:id="712" w:name="_Toc178708952"/>
      <w:bookmarkStart w:id="713" w:name="_Toc178772674"/>
      <w:bookmarkStart w:id="714" w:name="_Toc178705073"/>
      <w:bookmarkStart w:id="715" w:name="_Toc178705975"/>
      <w:bookmarkStart w:id="716" w:name="_Toc178708953"/>
      <w:bookmarkStart w:id="717" w:name="_Toc178772675"/>
      <w:bookmarkStart w:id="718" w:name="_Toc178705074"/>
      <w:bookmarkStart w:id="719" w:name="_Toc178705976"/>
      <w:bookmarkStart w:id="720" w:name="_Toc178708954"/>
      <w:bookmarkStart w:id="721" w:name="_Toc178772676"/>
      <w:bookmarkStart w:id="722" w:name="_Toc178705075"/>
      <w:bookmarkStart w:id="723" w:name="_Toc178705977"/>
      <w:bookmarkStart w:id="724" w:name="_Toc178708955"/>
      <w:bookmarkStart w:id="725" w:name="_Toc178772677"/>
      <w:bookmarkStart w:id="726" w:name="_Toc178705076"/>
      <w:bookmarkStart w:id="727" w:name="_Toc178705978"/>
      <w:bookmarkStart w:id="728" w:name="_Toc178708956"/>
      <w:bookmarkStart w:id="729" w:name="_Toc178772678"/>
      <w:bookmarkStart w:id="730" w:name="_Toc174135438"/>
      <w:bookmarkStart w:id="731" w:name="_Toc178705077"/>
      <w:bookmarkStart w:id="732" w:name="_Toc178705979"/>
      <w:bookmarkStart w:id="733" w:name="_Toc178708957"/>
      <w:bookmarkStart w:id="734" w:name="_Toc178772679"/>
      <w:bookmarkStart w:id="735" w:name="_Toc178705078"/>
      <w:bookmarkStart w:id="736" w:name="_Toc178705980"/>
      <w:bookmarkStart w:id="737" w:name="_Toc178708958"/>
      <w:bookmarkStart w:id="738" w:name="_Toc178772680"/>
      <w:bookmarkStart w:id="739" w:name="_Toc178705079"/>
      <w:bookmarkStart w:id="740" w:name="_Toc178705981"/>
      <w:bookmarkStart w:id="741" w:name="_Toc178708959"/>
      <w:bookmarkStart w:id="742" w:name="_Toc178772681"/>
      <w:bookmarkStart w:id="743" w:name="_Toc178705093"/>
      <w:bookmarkStart w:id="744" w:name="_Toc178705995"/>
      <w:bookmarkStart w:id="745" w:name="_Toc178708973"/>
      <w:bookmarkStart w:id="746" w:name="_Toc178772695"/>
      <w:bookmarkStart w:id="747" w:name="_Toc178705094"/>
      <w:bookmarkStart w:id="748" w:name="_Toc178705996"/>
      <w:bookmarkStart w:id="749" w:name="_Toc178708974"/>
      <w:bookmarkStart w:id="750" w:name="_Toc178772696"/>
      <w:bookmarkStart w:id="751" w:name="_Toc178705095"/>
      <w:bookmarkStart w:id="752" w:name="_Toc178705997"/>
      <w:bookmarkStart w:id="753" w:name="_Toc178708975"/>
      <w:bookmarkStart w:id="754" w:name="_Toc178772697"/>
      <w:bookmarkStart w:id="755" w:name="_Toc178705096"/>
      <w:bookmarkStart w:id="756" w:name="_Toc178705998"/>
      <w:bookmarkStart w:id="757" w:name="_Toc178708976"/>
      <w:bookmarkStart w:id="758" w:name="_Toc178772698"/>
      <w:bookmarkStart w:id="759" w:name="_Toc178705097"/>
      <w:bookmarkStart w:id="760" w:name="_Toc178705999"/>
      <w:bookmarkStart w:id="761" w:name="_Toc178708977"/>
      <w:bookmarkStart w:id="762" w:name="_Toc178772699"/>
      <w:bookmarkStart w:id="763" w:name="_Toc178705098"/>
      <w:bookmarkStart w:id="764" w:name="_Toc178706000"/>
      <w:bookmarkStart w:id="765" w:name="_Toc178708978"/>
      <w:bookmarkStart w:id="766" w:name="_Toc178772700"/>
      <w:bookmarkStart w:id="767" w:name="_Toc178705099"/>
      <w:bookmarkStart w:id="768" w:name="_Toc178706001"/>
      <w:bookmarkStart w:id="769" w:name="_Toc178708979"/>
      <w:bookmarkStart w:id="770" w:name="_Toc178772701"/>
      <w:bookmarkStart w:id="771" w:name="_Toc178705100"/>
      <w:bookmarkStart w:id="772" w:name="_Toc178706002"/>
      <w:bookmarkStart w:id="773" w:name="_Toc178708980"/>
      <w:bookmarkStart w:id="774" w:name="_Toc178772702"/>
      <w:bookmarkStart w:id="775" w:name="_Toc178705101"/>
      <w:bookmarkStart w:id="776" w:name="_Toc178706003"/>
      <w:bookmarkStart w:id="777" w:name="_Toc178708981"/>
      <w:bookmarkStart w:id="778" w:name="_Toc178772703"/>
      <w:bookmarkStart w:id="779" w:name="_Toc178705102"/>
      <w:bookmarkStart w:id="780" w:name="_Toc178706004"/>
      <w:bookmarkStart w:id="781" w:name="_Toc178708982"/>
      <w:bookmarkStart w:id="782" w:name="_Toc178772704"/>
      <w:bookmarkStart w:id="783" w:name="_Toc178705103"/>
      <w:bookmarkStart w:id="784" w:name="_Toc178706005"/>
      <w:bookmarkStart w:id="785" w:name="_Toc178708983"/>
      <w:bookmarkStart w:id="786" w:name="_Toc178772705"/>
      <w:bookmarkStart w:id="787" w:name="_Toc178705104"/>
      <w:bookmarkStart w:id="788" w:name="_Toc178706006"/>
      <w:bookmarkStart w:id="789" w:name="_Toc178708984"/>
      <w:bookmarkStart w:id="790" w:name="_Toc178772706"/>
      <w:bookmarkStart w:id="791" w:name="_Toc178705105"/>
      <w:bookmarkStart w:id="792" w:name="_Toc178706007"/>
      <w:bookmarkStart w:id="793" w:name="_Toc178708985"/>
      <w:bookmarkStart w:id="794" w:name="_Toc178772707"/>
      <w:bookmarkStart w:id="795" w:name="_Toc178705106"/>
      <w:bookmarkStart w:id="796" w:name="_Toc178706008"/>
      <w:bookmarkStart w:id="797" w:name="_Toc178708986"/>
      <w:bookmarkStart w:id="798" w:name="_Toc178772708"/>
      <w:bookmarkStart w:id="799" w:name="_Toc178705107"/>
      <w:bookmarkStart w:id="800" w:name="_Toc178706009"/>
      <w:bookmarkStart w:id="801" w:name="_Toc178708987"/>
      <w:bookmarkStart w:id="802" w:name="_Toc178772709"/>
      <w:bookmarkStart w:id="803" w:name="_Toc178705108"/>
      <w:bookmarkStart w:id="804" w:name="_Toc178706010"/>
      <w:bookmarkStart w:id="805" w:name="_Toc178708988"/>
      <w:bookmarkStart w:id="806" w:name="_Toc178772710"/>
      <w:bookmarkStart w:id="807" w:name="_Toc178705109"/>
      <w:bookmarkStart w:id="808" w:name="_Toc178706011"/>
      <w:bookmarkStart w:id="809" w:name="_Toc178708989"/>
      <w:bookmarkStart w:id="810" w:name="_Toc178772711"/>
      <w:bookmarkStart w:id="811" w:name="_Toc178705110"/>
      <w:bookmarkStart w:id="812" w:name="_Toc178706012"/>
      <w:bookmarkStart w:id="813" w:name="_Toc178708990"/>
      <w:bookmarkStart w:id="814" w:name="_Toc178772712"/>
      <w:bookmarkStart w:id="815" w:name="_Toc178705111"/>
      <w:bookmarkStart w:id="816" w:name="_Toc178706013"/>
      <w:bookmarkStart w:id="817" w:name="_Toc178708991"/>
      <w:bookmarkStart w:id="818" w:name="_Toc178772713"/>
      <w:bookmarkStart w:id="819" w:name="_Toc178705112"/>
      <w:bookmarkStart w:id="820" w:name="_Toc178706014"/>
      <w:bookmarkStart w:id="821" w:name="_Toc178708992"/>
      <w:bookmarkStart w:id="822" w:name="_Toc178772714"/>
      <w:bookmarkStart w:id="823" w:name="_Toc178705113"/>
      <w:bookmarkStart w:id="824" w:name="_Toc178706015"/>
      <w:bookmarkStart w:id="825" w:name="_Toc178708993"/>
      <w:bookmarkStart w:id="826" w:name="_Toc178772715"/>
      <w:bookmarkStart w:id="827" w:name="_Toc178705114"/>
      <w:bookmarkStart w:id="828" w:name="_Toc178706016"/>
      <w:bookmarkStart w:id="829" w:name="_Toc178708994"/>
      <w:bookmarkStart w:id="830" w:name="_Toc178772716"/>
      <w:bookmarkStart w:id="831" w:name="_Toc178705115"/>
      <w:bookmarkStart w:id="832" w:name="_Toc178706017"/>
      <w:bookmarkStart w:id="833" w:name="_Toc178708995"/>
      <w:bookmarkStart w:id="834" w:name="_Toc178772717"/>
      <w:bookmarkStart w:id="835" w:name="_Toc178705116"/>
      <w:bookmarkStart w:id="836" w:name="_Toc178706018"/>
      <w:bookmarkStart w:id="837" w:name="_Toc178708996"/>
      <w:bookmarkStart w:id="838" w:name="_Toc178772718"/>
      <w:bookmarkStart w:id="839" w:name="_Toc178705117"/>
      <w:bookmarkStart w:id="840" w:name="_Toc178706019"/>
      <w:bookmarkStart w:id="841" w:name="_Toc178708997"/>
      <w:bookmarkStart w:id="842" w:name="_Toc178772719"/>
      <w:bookmarkStart w:id="843" w:name="_Toc178705118"/>
      <w:bookmarkStart w:id="844" w:name="_Toc178706020"/>
      <w:bookmarkStart w:id="845" w:name="_Toc178708998"/>
      <w:bookmarkStart w:id="846" w:name="_Toc178772720"/>
      <w:bookmarkStart w:id="847" w:name="_Toc178705143"/>
      <w:bookmarkStart w:id="848" w:name="_Toc178706045"/>
      <w:bookmarkStart w:id="849" w:name="_Toc178709023"/>
      <w:bookmarkStart w:id="850" w:name="_Toc178772745"/>
      <w:bookmarkStart w:id="851" w:name="_Toc178705144"/>
      <w:bookmarkStart w:id="852" w:name="_Toc178706046"/>
      <w:bookmarkStart w:id="853" w:name="_Toc178709024"/>
      <w:bookmarkStart w:id="854" w:name="_Toc178772746"/>
      <w:bookmarkStart w:id="855" w:name="_Toc178705145"/>
      <w:bookmarkStart w:id="856" w:name="_Toc178706047"/>
      <w:bookmarkStart w:id="857" w:name="_Toc178709025"/>
      <w:bookmarkStart w:id="858" w:name="_Toc178772747"/>
      <w:bookmarkStart w:id="859" w:name="_Toc178705146"/>
      <w:bookmarkStart w:id="860" w:name="_Toc178706048"/>
      <w:bookmarkStart w:id="861" w:name="_Toc178709026"/>
      <w:bookmarkStart w:id="862" w:name="_Toc178772748"/>
      <w:bookmarkStart w:id="863" w:name="_Toc178705147"/>
      <w:bookmarkStart w:id="864" w:name="_Toc178706049"/>
      <w:bookmarkStart w:id="865" w:name="_Toc178709027"/>
      <w:bookmarkStart w:id="866" w:name="_Toc178772749"/>
      <w:bookmarkStart w:id="867" w:name="_Toc178705148"/>
      <w:bookmarkStart w:id="868" w:name="_Toc178706050"/>
      <w:bookmarkStart w:id="869" w:name="_Toc178709028"/>
      <w:bookmarkStart w:id="870" w:name="_Toc178772750"/>
      <w:bookmarkStart w:id="871" w:name="_Toc178705149"/>
      <w:bookmarkStart w:id="872" w:name="_Toc178706051"/>
      <w:bookmarkStart w:id="873" w:name="_Toc178709029"/>
      <w:bookmarkStart w:id="874" w:name="_Toc178772751"/>
      <w:bookmarkStart w:id="875" w:name="_Toc173851133"/>
      <w:bookmarkStart w:id="876" w:name="_Toc173940885"/>
      <w:bookmarkStart w:id="877" w:name="_Toc173851134"/>
      <w:bookmarkStart w:id="878" w:name="_Toc173940886"/>
      <w:bookmarkStart w:id="879" w:name="_Toc178705150"/>
      <w:bookmarkStart w:id="880" w:name="_Toc178706052"/>
      <w:bookmarkStart w:id="881" w:name="_Toc178709030"/>
      <w:bookmarkStart w:id="882" w:name="_Toc178772752"/>
      <w:bookmarkStart w:id="883" w:name="_Toc187677553"/>
      <w:bookmarkStart w:id="884" w:name="_Toc189042424"/>
      <w:bookmarkStart w:id="885" w:name="_Toc187677554"/>
      <w:bookmarkStart w:id="886" w:name="_Toc189042425"/>
      <w:bookmarkStart w:id="887" w:name="_Toc187677555"/>
      <w:bookmarkStart w:id="888" w:name="_Toc189042426"/>
      <w:bookmarkStart w:id="889" w:name="_Toc187677556"/>
      <w:bookmarkStart w:id="890" w:name="_Toc189042427"/>
      <w:bookmarkStart w:id="891" w:name="_Toc187677557"/>
      <w:bookmarkStart w:id="892" w:name="_Toc189042428"/>
      <w:bookmarkStart w:id="893" w:name="_Toc187677558"/>
      <w:bookmarkStart w:id="894" w:name="_Toc189042429"/>
      <w:bookmarkStart w:id="895" w:name="_Toc187677559"/>
      <w:bookmarkStart w:id="896" w:name="_Toc189042430"/>
      <w:bookmarkStart w:id="897" w:name="_Toc187677560"/>
      <w:bookmarkStart w:id="898" w:name="_Toc189042431"/>
      <w:bookmarkStart w:id="899" w:name="_Toc187677561"/>
      <w:bookmarkStart w:id="900" w:name="_Toc189042432"/>
      <w:bookmarkStart w:id="901" w:name="_Toc187677562"/>
      <w:bookmarkStart w:id="902" w:name="_Toc189042433"/>
      <w:bookmarkStart w:id="903" w:name="_Toc187677563"/>
      <w:bookmarkStart w:id="904" w:name="_Toc189042434"/>
      <w:bookmarkStart w:id="905" w:name="_Toc187677564"/>
      <w:bookmarkStart w:id="906" w:name="_Toc189042435"/>
      <w:bookmarkStart w:id="907" w:name="_Toc187677565"/>
      <w:bookmarkStart w:id="908" w:name="_Toc189042436"/>
      <w:bookmarkStart w:id="909" w:name="_Toc187677566"/>
      <w:bookmarkStart w:id="910" w:name="_Toc189042437"/>
      <w:bookmarkStart w:id="911" w:name="_Toc187677567"/>
      <w:bookmarkStart w:id="912" w:name="_Toc189042438"/>
      <w:bookmarkStart w:id="913" w:name="_Toc187677568"/>
      <w:bookmarkStart w:id="914" w:name="_Toc189042439"/>
      <w:bookmarkStart w:id="915" w:name="_Toc187677569"/>
      <w:bookmarkStart w:id="916" w:name="_Toc189042440"/>
      <w:bookmarkStart w:id="917" w:name="_Toc187677570"/>
      <w:bookmarkStart w:id="918" w:name="_Toc189042441"/>
      <w:bookmarkStart w:id="919" w:name="_Toc187677571"/>
      <w:bookmarkStart w:id="920" w:name="_Toc189042442"/>
      <w:bookmarkStart w:id="921" w:name="_Toc187677572"/>
      <w:bookmarkStart w:id="922" w:name="_Toc189042443"/>
      <w:bookmarkStart w:id="923" w:name="_Toc187677573"/>
      <w:bookmarkStart w:id="924" w:name="_Toc189042444"/>
      <w:bookmarkStart w:id="925" w:name="_Toc187677574"/>
      <w:bookmarkStart w:id="926" w:name="_Toc189042445"/>
      <w:bookmarkStart w:id="927" w:name="_Toc187677644"/>
      <w:bookmarkStart w:id="928" w:name="_Toc189042515"/>
      <w:bookmarkStart w:id="929" w:name="_Toc187677645"/>
      <w:bookmarkStart w:id="930" w:name="_Toc189042516"/>
      <w:bookmarkStart w:id="931" w:name="_Toc187677672"/>
      <w:bookmarkStart w:id="932" w:name="_Toc189042543"/>
      <w:bookmarkStart w:id="933" w:name="_Toc187677673"/>
      <w:bookmarkStart w:id="934" w:name="_Toc189042544"/>
      <w:bookmarkStart w:id="935" w:name="_Toc187677674"/>
      <w:bookmarkStart w:id="936" w:name="_Toc189042545"/>
      <w:bookmarkStart w:id="937" w:name="_Toc187677675"/>
      <w:bookmarkStart w:id="938" w:name="_Toc189042546"/>
      <w:bookmarkStart w:id="939" w:name="_Toc187677676"/>
      <w:bookmarkStart w:id="940" w:name="_Toc189042547"/>
      <w:bookmarkStart w:id="941" w:name="_Toc187677677"/>
      <w:bookmarkStart w:id="942" w:name="_Toc189042548"/>
      <w:bookmarkStart w:id="943" w:name="_Toc187677678"/>
      <w:bookmarkStart w:id="944" w:name="_Toc189042549"/>
      <w:bookmarkStart w:id="945" w:name="_Toc187677679"/>
      <w:bookmarkStart w:id="946" w:name="_Toc189042550"/>
      <w:bookmarkStart w:id="947" w:name="_Toc187677680"/>
      <w:bookmarkStart w:id="948" w:name="_Toc189042551"/>
      <w:bookmarkStart w:id="949" w:name="_Toc187677681"/>
      <w:bookmarkStart w:id="950" w:name="_Toc189042552"/>
      <w:bookmarkStart w:id="951" w:name="_Toc187677682"/>
      <w:bookmarkStart w:id="952" w:name="_Toc189042553"/>
      <w:bookmarkStart w:id="953" w:name="_Toc187677683"/>
      <w:bookmarkStart w:id="954" w:name="_Toc189042554"/>
      <w:bookmarkStart w:id="955" w:name="_Toc187677684"/>
      <w:bookmarkStart w:id="956" w:name="_Toc189042555"/>
      <w:bookmarkStart w:id="957" w:name="_Toc187677685"/>
      <w:bookmarkStart w:id="958" w:name="_Toc189042556"/>
      <w:bookmarkStart w:id="959" w:name="_Toc187677686"/>
      <w:bookmarkStart w:id="960" w:name="_Toc189042557"/>
      <w:bookmarkStart w:id="961" w:name="_Toc187677687"/>
      <w:bookmarkStart w:id="962" w:name="_Toc189042558"/>
      <w:bookmarkStart w:id="963" w:name="_Toc187677688"/>
      <w:bookmarkStart w:id="964" w:name="_Toc189042559"/>
      <w:bookmarkStart w:id="965" w:name="_Toc187677689"/>
      <w:bookmarkStart w:id="966" w:name="_Toc189042560"/>
      <w:bookmarkStart w:id="967" w:name="_Toc187677690"/>
      <w:bookmarkStart w:id="968" w:name="_Toc189042561"/>
      <w:bookmarkStart w:id="969" w:name="_Toc187677691"/>
      <w:bookmarkStart w:id="970" w:name="_Toc189042562"/>
      <w:bookmarkStart w:id="971" w:name="_Toc187677692"/>
      <w:bookmarkStart w:id="972" w:name="_Toc189042563"/>
      <w:bookmarkStart w:id="973" w:name="_Toc187677693"/>
      <w:bookmarkStart w:id="974" w:name="_Toc189042564"/>
      <w:bookmarkStart w:id="975" w:name="_Toc187677694"/>
      <w:bookmarkStart w:id="976" w:name="_Toc189042565"/>
      <w:bookmarkStart w:id="977" w:name="_Toc187677695"/>
      <w:bookmarkStart w:id="978" w:name="_Toc189042566"/>
      <w:bookmarkStart w:id="979" w:name="_Toc187677696"/>
      <w:bookmarkStart w:id="980" w:name="_Toc189042567"/>
      <w:bookmarkStart w:id="981" w:name="_Toc187677697"/>
      <w:bookmarkStart w:id="982" w:name="_Toc189042568"/>
      <w:bookmarkStart w:id="983" w:name="_Toc187677698"/>
      <w:bookmarkStart w:id="984" w:name="_Toc189042569"/>
      <w:bookmarkStart w:id="985" w:name="_Toc187677700"/>
      <w:bookmarkStart w:id="986" w:name="_Toc189042571"/>
      <w:bookmarkStart w:id="987" w:name="_Toc187677701"/>
      <w:bookmarkStart w:id="988" w:name="_Toc189042572"/>
      <w:bookmarkStart w:id="989" w:name="_Toc187677702"/>
      <w:bookmarkStart w:id="990" w:name="_Toc189042573"/>
      <w:bookmarkStart w:id="991" w:name="_Toc187677703"/>
      <w:bookmarkStart w:id="992" w:name="_Toc189042574"/>
      <w:bookmarkStart w:id="993" w:name="_Toc187677704"/>
      <w:bookmarkStart w:id="994" w:name="_Toc189042575"/>
      <w:bookmarkStart w:id="995" w:name="_Toc187677706"/>
      <w:bookmarkStart w:id="996" w:name="_Toc189042577"/>
      <w:bookmarkStart w:id="997" w:name="_Toc187677707"/>
      <w:bookmarkStart w:id="998" w:name="_Toc189042578"/>
      <w:bookmarkStart w:id="999" w:name="_Toc187677708"/>
      <w:bookmarkStart w:id="1000" w:name="_Toc189042579"/>
      <w:bookmarkStart w:id="1001" w:name="_Toc187677709"/>
      <w:bookmarkStart w:id="1002" w:name="_Toc189042580"/>
      <w:bookmarkStart w:id="1003" w:name="_Toc187677710"/>
      <w:bookmarkStart w:id="1004" w:name="_Toc189042581"/>
      <w:bookmarkStart w:id="1005" w:name="_Toc187677711"/>
      <w:bookmarkStart w:id="1006" w:name="_Toc189042582"/>
      <w:bookmarkStart w:id="1007" w:name="_Toc187677712"/>
      <w:bookmarkStart w:id="1008" w:name="_Toc189042583"/>
      <w:bookmarkStart w:id="1009" w:name="_Toc187677713"/>
      <w:bookmarkStart w:id="1010" w:name="_Toc189042584"/>
      <w:bookmarkStart w:id="1011" w:name="_Toc187677714"/>
      <w:bookmarkStart w:id="1012" w:name="_Toc189042585"/>
      <w:bookmarkStart w:id="1013" w:name="_Toc187677716"/>
      <w:bookmarkStart w:id="1014" w:name="_Toc189042587"/>
      <w:bookmarkStart w:id="1015" w:name="_Toc187677717"/>
      <w:bookmarkStart w:id="1016" w:name="_Toc189042588"/>
      <w:bookmarkStart w:id="1017" w:name="_Toc187677718"/>
      <w:bookmarkStart w:id="1018" w:name="_Toc189042589"/>
      <w:bookmarkStart w:id="1019" w:name="_Toc187677719"/>
      <w:bookmarkStart w:id="1020" w:name="_Toc189042590"/>
      <w:bookmarkStart w:id="1021" w:name="_Toc187677720"/>
      <w:bookmarkStart w:id="1022" w:name="_Toc189042591"/>
      <w:bookmarkStart w:id="1023" w:name="_Toc187677721"/>
      <w:bookmarkStart w:id="1024" w:name="_Toc189042592"/>
      <w:bookmarkStart w:id="1025" w:name="_Toc187677722"/>
      <w:bookmarkStart w:id="1026" w:name="_Toc189042593"/>
      <w:bookmarkStart w:id="1027" w:name="_Toc187677723"/>
      <w:bookmarkStart w:id="1028" w:name="_Toc189042594"/>
      <w:bookmarkStart w:id="1029" w:name="_Toc187677724"/>
      <w:bookmarkStart w:id="1030" w:name="_Toc189042595"/>
      <w:bookmarkStart w:id="1031" w:name="_Toc187677726"/>
      <w:bookmarkStart w:id="1032" w:name="_Toc189042597"/>
      <w:bookmarkStart w:id="1033" w:name="_Toc187677727"/>
      <w:bookmarkStart w:id="1034" w:name="_Toc189042598"/>
      <w:bookmarkStart w:id="1035" w:name="_Toc187677728"/>
      <w:bookmarkStart w:id="1036" w:name="_Toc189042599"/>
      <w:bookmarkStart w:id="1037" w:name="_Toc187677729"/>
      <w:bookmarkStart w:id="1038" w:name="_Toc189042600"/>
      <w:bookmarkStart w:id="1039" w:name="_Toc187677730"/>
      <w:bookmarkStart w:id="1040" w:name="_Toc189042601"/>
      <w:bookmarkStart w:id="1041" w:name="_Toc187677731"/>
      <w:bookmarkStart w:id="1042" w:name="_Toc189042602"/>
      <w:bookmarkStart w:id="1043" w:name="_Toc187677732"/>
      <w:bookmarkStart w:id="1044" w:name="_Toc189042603"/>
      <w:bookmarkStart w:id="1045" w:name="_Toc187677733"/>
      <w:bookmarkStart w:id="1046" w:name="_Toc189042604"/>
      <w:bookmarkStart w:id="1047" w:name="_Toc187677734"/>
      <w:bookmarkStart w:id="1048" w:name="_Toc189042605"/>
      <w:bookmarkStart w:id="1049" w:name="_Toc187677736"/>
      <w:bookmarkStart w:id="1050" w:name="_Toc189042607"/>
      <w:bookmarkStart w:id="1051" w:name="_Toc187677737"/>
      <w:bookmarkStart w:id="1052" w:name="_Toc189042608"/>
      <w:bookmarkStart w:id="1053" w:name="_Toc187677738"/>
      <w:bookmarkStart w:id="1054" w:name="_Toc189042609"/>
      <w:bookmarkStart w:id="1055" w:name="_Toc187677739"/>
      <w:bookmarkStart w:id="1056" w:name="_Toc189042610"/>
      <w:bookmarkStart w:id="1057" w:name="_Toc187677740"/>
      <w:bookmarkStart w:id="1058" w:name="_Toc189042611"/>
      <w:bookmarkStart w:id="1059" w:name="_Toc187677741"/>
      <w:bookmarkStart w:id="1060" w:name="_Toc189042612"/>
      <w:bookmarkStart w:id="1061" w:name="_Toc187677742"/>
      <w:bookmarkStart w:id="1062" w:name="_Toc189042613"/>
      <w:bookmarkStart w:id="1063" w:name="_Toc187677743"/>
      <w:bookmarkStart w:id="1064" w:name="_Toc189042614"/>
      <w:bookmarkStart w:id="1065" w:name="_Toc187677744"/>
      <w:bookmarkStart w:id="1066" w:name="_Toc189042615"/>
      <w:bookmarkStart w:id="1067" w:name="_Toc187677746"/>
      <w:bookmarkStart w:id="1068" w:name="_Toc189042617"/>
      <w:bookmarkStart w:id="1069" w:name="_Toc187677747"/>
      <w:bookmarkStart w:id="1070" w:name="_Toc189042618"/>
      <w:bookmarkStart w:id="1071" w:name="_Toc187677748"/>
      <w:bookmarkStart w:id="1072" w:name="_Toc189042619"/>
      <w:bookmarkStart w:id="1073" w:name="_Toc187677749"/>
      <w:bookmarkStart w:id="1074" w:name="_Toc189042620"/>
      <w:bookmarkStart w:id="1075" w:name="_Toc187677750"/>
      <w:bookmarkStart w:id="1076" w:name="_Toc189042621"/>
      <w:bookmarkStart w:id="1077" w:name="_Toc187677751"/>
      <w:bookmarkStart w:id="1078" w:name="_Toc189042622"/>
      <w:bookmarkStart w:id="1079" w:name="_Toc187677752"/>
      <w:bookmarkStart w:id="1080" w:name="_Toc189042623"/>
      <w:bookmarkStart w:id="1081" w:name="_Toc187677753"/>
      <w:bookmarkStart w:id="1082" w:name="_Toc189042624"/>
      <w:bookmarkStart w:id="1083" w:name="_Toc187677754"/>
      <w:bookmarkStart w:id="1084" w:name="_Toc189042625"/>
      <w:bookmarkStart w:id="1085" w:name="_Toc187677756"/>
      <w:bookmarkStart w:id="1086" w:name="_Toc189042627"/>
      <w:bookmarkStart w:id="1087" w:name="_Toc187677757"/>
      <w:bookmarkStart w:id="1088" w:name="_Toc189042628"/>
      <w:bookmarkStart w:id="1089" w:name="_Toc187677758"/>
      <w:bookmarkStart w:id="1090" w:name="_Toc189042629"/>
      <w:bookmarkStart w:id="1091" w:name="_Toc187677759"/>
      <w:bookmarkStart w:id="1092" w:name="_Toc189042630"/>
      <w:bookmarkStart w:id="1093" w:name="_Toc187677760"/>
      <w:bookmarkStart w:id="1094" w:name="_Toc189042631"/>
      <w:bookmarkStart w:id="1095" w:name="_Toc187677761"/>
      <w:bookmarkStart w:id="1096" w:name="_Toc189042632"/>
      <w:bookmarkStart w:id="1097" w:name="_Toc187677762"/>
      <w:bookmarkStart w:id="1098" w:name="_Toc189042633"/>
      <w:bookmarkStart w:id="1099" w:name="_Toc187677763"/>
      <w:bookmarkStart w:id="1100" w:name="_Toc189042634"/>
      <w:bookmarkStart w:id="1101" w:name="_Toc187677764"/>
      <w:bookmarkStart w:id="1102" w:name="_Toc189042635"/>
      <w:bookmarkStart w:id="1103" w:name="_Toc187677766"/>
      <w:bookmarkStart w:id="1104" w:name="_Toc189042637"/>
      <w:bookmarkStart w:id="1105" w:name="_Toc187677767"/>
      <w:bookmarkStart w:id="1106" w:name="_Toc189042638"/>
      <w:bookmarkStart w:id="1107" w:name="_Toc187677768"/>
      <w:bookmarkStart w:id="1108" w:name="_Toc189042639"/>
      <w:bookmarkStart w:id="1109" w:name="_Toc187677769"/>
      <w:bookmarkStart w:id="1110" w:name="_Toc189042640"/>
      <w:bookmarkStart w:id="1111" w:name="_Toc187677770"/>
      <w:bookmarkStart w:id="1112" w:name="_Toc189042641"/>
      <w:bookmarkStart w:id="1113" w:name="_Toc187677771"/>
      <w:bookmarkStart w:id="1114" w:name="_Toc189042642"/>
      <w:bookmarkStart w:id="1115" w:name="_Toc187677772"/>
      <w:bookmarkStart w:id="1116" w:name="_Toc189042643"/>
      <w:bookmarkStart w:id="1117" w:name="_Toc187677773"/>
      <w:bookmarkStart w:id="1118" w:name="_Toc189042644"/>
      <w:bookmarkStart w:id="1119" w:name="_Toc187677774"/>
      <w:bookmarkStart w:id="1120" w:name="_Toc189042645"/>
      <w:bookmarkStart w:id="1121" w:name="_Toc187677776"/>
      <w:bookmarkStart w:id="1122" w:name="_Toc189042647"/>
      <w:bookmarkStart w:id="1123" w:name="_Toc187677777"/>
      <w:bookmarkStart w:id="1124" w:name="_Toc189042648"/>
      <w:bookmarkStart w:id="1125" w:name="_Toc187677778"/>
      <w:bookmarkStart w:id="1126" w:name="_Toc189042649"/>
      <w:bookmarkStart w:id="1127" w:name="_Toc187677779"/>
      <w:bookmarkStart w:id="1128" w:name="_Toc189042650"/>
      <w:bookmarkStart w:id="1129" w:name="_Toc187677780"/>
      <w:bookmarkStart w:id="1130" w:name="_Toc189042651"/>
      <w:bookmarkStart w:id="1131" w:name="_Toc187677781"/>
      <w:bookmarkStart w:id="1132" w:name="_Toc189042652"/>
      <w:bookmarkStart w:id="1133" w:name="_Toc187677782"/>
      <w:bookmarkStart w:id="1134" w:name="_Toc189042653"/>
      <w:bookmarkStart w:id="1135" w:name="_Toc187677783"/>
      <w:bookmarkStart w:id="1136" w:name="_Toc189042654"/>
      <w:bookmarkStart w:id="1137" w:name="_Toc187677784"/>
      <w:bookmarkStart w:id="1138" w:name="_Toc189042655"/>
      <w:bookmarkStart w:id="1139" w:name="_Toc187677786"/>
      <w:bookmarkStart w:id="1140" w:name="_Toc189042657"/>
      <w:bookmarkStart w:id="1141" w:name="_Toc187677787"/>
      <w:bookmarkStart w:id="1142" w:name="_Toc189042658"/>
      <w:bookmarkStart w:id="1143" w:name="_Toc187677788"/>
      <w:bookmarkStart w:id="1144" w:name="_Toc189042659"/>
      <w:bookmarkStart w:id="1145" w:name="_Toc187677789"/>
      <w:bookmarkStart w:id="1146" w:name="_Toc189042660"/>
      <w:bookmarkStart w:id="1147" w:name="_Toc187677790"/>
      <w:bookmarkStart w:id="1148" w:name="_Toc189042661"/>
      <w:bookmarkStart w:id="1149" w:name="_Toc187677791"/>
      <w:bookmarkStart w:id="1150" w:name="_Toc189042662"/>
      <w:bookmarkStart w:id="1151" w:name="_Toc187677792"/>
      <w:bookmarkStart w:id="1152" w:name="_Toc189042663"/>
      <w:bookmarkStart w:id="1153" w:name="_Toc187677793"/>
      <w:bookmarkStart w:id="1154" w:name="_Toc189042664"/>
      <w:bookmarkStart w:id="1155" w:name="_Toc187677794"/>
      <w:bookmarkStart w:id="1156" w:name="_Toc189042665"/>
      <w:bookmarkStart w:id="1157" w:name="_Toc187677796"/>
      <w:bookmarkStart w:id="1158" w:name="_Toc189042667"/>
      <w:bookmarkStart w:id="1159" w:name="_Toc187677797"/>
      <w:bookmarkStart w:id="1160" w:name="_Toc189042668"/>
      <w:bookmarkStart w:id="1161" w:name="_Toc187677798"/>
      <w:bookmarkStart w:id="1162" w:name="_Toc189042669"/>
      <w:bookmarkStart w:id="1163" w:name="_Toc187677799"/>
      <w:bookmarkStart w:id="1164" w:name="_Toc189042670"/>
      <w:bookmarkStart w:id="1165" w:name="_Toc187677800"/>
      <w:bookmarkStart w:id="1166" w:name="_Toc189042671"/>
      <w:bookmarkStart w:id="1167" w:name="_Toc187677801"/>
      <w:bookmarkStart w:id="1168" w:name="_Toc189042672"/>
      <w:bookmarkStart w:id="1169" w:name="_Toc187677802"/>
      <w:bookmarkStart w:id="1170" w:name="_Toc189042673"/>
      <w:bookmarkStart w:id="1171" w:name="_Toc187677803"/>
      <w:bookmarkStart w:id="1172" w:name="_Toc189042674"/>
      <w:bookmarkStart w:id="1173" w:name="_Toc187677804"/>
      <w:bookmarkStart w:id="1174" w:name="_Toc189042675"/>
      <w:bookmarkStart w:id="1175" w:name="_Toc187677806"/>
      <w:bookmarkStart w:id="1176" w:name="_Toc189042677"/>
      <w:bookmarkStart w:id="1177" w:name="_Toc187677807"/>
      <w:bookmarkStart w:id="1178" w:name="_Toc189042678"/>
      <w:bookmarkStart w:id="1179" w:name="_Toc187677808"/>
      <w:bookmarkStart w:id="1180" w:name="_Toc189042679"/>
      <w:bookmarkStart w:id="1181" w:name="_Toc187677809"/>
      <w:bookmarkStart w:id="1182" w:name="_Toc189042680"/>
      <w:bookmarkStart w:id="1183" w:name="_Toc187677810"/>
      <w:bookmarkStart w:id="1184" w:name="_Toc189042681"/>
      <w:bookmarkStart w:id="1185" w:name="_Toc187677811"/>
      <w:bookmarkStart w:id="1186" w:name="_Toc189042682"/>
      <w:bookmarkStart w:id="1187" w:name="_Toc187677812"/>
      <w:bookmarkStart w:id="1188" w:name="_Toc189042683"/>
      <w:bookmarkStart w:id="1189" w:name="_Toc187677813"/>
      <w:bookmarkStart w:id="1190" w:name="_Toc189042684"/>
      <w:bookmarkStart w:id="1191" w:name="_Toc187677814"/>
      <w:bookmarkStart w:id="1192" w:name="_Toc189042685"/>
      <w:bookmarkStart w:id="1193" w:name="_Toc187677816"/>
      <w:bookmarkStart w:id="1194" w:name="_Toc189042687"/>
      <w:bookmarkStart w:id="1195" w:name="_Toc187677817"/>
      <w:bookmarkStart w:id="1196" w:name="_Toc189042688"/>
      <w:bookmarkStart w:id="1197" w:name="_Toc187677818"/>
      <w:bookmarkStart w:id="1198" w:name="_Toc189042689"/>
      <w:bookmarkStart w:id="1199" w:name="_Toc187677819"/>
      <w:bookmarkStart w:id="1200" w:name="_Toc189042690"/>
      <w:bookmarkStart w:id="1201" w:name="_Toc187677820"/>
      <w:bookmarkStart w:id="1202" w:name="_Toc189042691"/>
      <w:bookmarkStart w:id="1203" w:name="_Toc187677821"/>
      <w:bookmarkStart w:id="1204" w:name="_Toc189042692"/>
      <w:bookmarkStart w:id="1205" w:name="_Toc187677822"/>
      <w:bookmarkStart w:id="1206" w:name="_Toc189042693"/>
      <w:bookmarkStart w:id="1207" w:name="_Toc187677823"/>
      <w:bookmarkStart w:id="1208" w:name="_Toc189042694"/>
      <w:bookmarkStart w:id="1209" w:name="_Toc187677824"/>
      <w:bookmarkStart w:id="1210" w:name="_Toc189042695"/>
      <w:bookmarkStart w:id="1211" w:name="_Toc187677826"/>
      <w:bookmarkStart w:id="1212" w:name="_Toc189042697"/>
      <w:bookmarkStart w:id="1213" w:name="_Toc187677827"/>
      <w:bookmarkStart w:id="1214" w:name="_Toc189042698"/>
      <w:bookmarkStart w:id="1215" w:name="_Toc187677828"/>
      <w:bookmarkStart w:id="1216" w:name="_Toc189042699"/>
      <w:bookmarkStart w:id="1217" w:name="_Toc187677829"/>
      <w:bookmarkStart w:id="1218" w:name="_Toc189042700"/>
      <w:bookmarkStart w:id="1219" w:name="_Toc187677830"/>
      <w:bookmarkStart w:id="1220" w:name="_Toc189042701"/>
      <w:bookmarkStart w:id="1221" w:name="_Toc187677831"/>
      <w:bookmarkStart w:id="1222" w:name="_Toc189042702"/>
      <w:bookmarkStart w:id="1223" w:name="_Toc187677832"/>
      <w:bookmarkStart w:id="1224" w:name="_Toc189042703"/>
      <w:bookmarkStart w:id="1225" w:name="_Toc187677833"/>
      <w:bookmarkStart w:id="1226" w:name="_Toc189042704"/>
      <w:bookmarkStart w:id="1227" w:name="_Toc187677834"/>
      <w:bookmarkStart w:id="1228" w:name="_Toc189042705"/>
      <w:bookmarkStart w:id="1229" w:name="_Toc187677836"/>
      <w:bookmarkStart w:id="1230" w:name="_Toc189042707"/>
      <w:bookmarkStart w:id="1231" w:name="_Toc187677837"/>
      <w:bookmarkStart w:id="1232" w:name="_Toc189042708"/>
      <w:bookmarkStart w:id="1233" w:name="_Toc187677838"/>
      <w:bookmarkStart w:id="1234" w:name="_Toc189042709"/>
      <w:bookmarkStart w:id="1235" w:name="_Toc187677839"/>
      <w:bookmarkStart w:id="1236" w:name="_Toc189042710"/>
      <w:bookmarkStart w:id="1237" w:name="_Toc187677840"/>
      <w:bookmarkStart w:id="1238" w:name="_Toc189042711"/>
      <w:bookmarkStart w:id="1239" w:name="_Toc187677841"/>
      <w:bookmarkStart w:id="1240" w:name="_Toc189042712"/>
      <w:bookmarkStart w:id="1241" w:name="_Toc187677842"/>
      <w:bookmarkStart w:id="1242" w:name="_Toc189042713"/>
      <w:bookmarkStart w:id="1243" w:name="_Toc187677843"/>
      <w:bookmarkStart w:id="1244" w:name="_Toc189042714"/>
      <w:bookmarkStart w:id="1245" w:name="_Toc187677844"/>
      <w:bookmarkStart w:id="1246" w:name="_Toc189042715"/>
      <w:bookmarkStart w:id="1247" w:name="_Toc187677846"/>
      <w:bookmarkStart w:id="1248" w:name="_Toc189042717"/>
      <w:bookmarkStart w:id="1249" w:name="_Toc187677847"/>
      <w:bookmarkStart w:id="1250" w:name="_Toc189042718"/>
      <w:bookmarkStart w:id="1251" w:name="_Toc187677848"/>
      <w:bookmarkStart w:id="1252" w:name="_Toc189042719"/>
      <w:bookmarkStart w:id="1253" w:name="_Toc187677849"/>
      <w:bookmarkStart w:id="1254" w:name="_Toc189042720"/>
      <w:bookmarkStart w:id="1255" w:name="_Toc187677850"/>
      <w:bookmarkStart w:id="1256" w:name="_Toc189042721"/>
      <w:bookmarkStart w:id="1257" w:name="_Toc187677851"/>
      <w:bookmarkStart w:id="1258" w:name="_Toc189042722"/>
      <w:bookmarkStart w:id="1259" w:name="_Toc187677852"/>
      <w:bookmarkStart w:id="1260" w:name="_Toc189042723"/>
      <w:bookmarkStart w:id="1261" w:name="_Toc187677853"/>
      <w:bookmarkStart w:id="1262" w:name="_Toc189042724"/>
      <w:bookmarkStart w:id="1263" w:name="_Toc187677854"/>
      <w:bookmarkStart w:id="1264" w:name="_Toc189042725"/>
      <w:bookmarkStart w:id="1265" w:name="_Toc187677856"/>
      <w:bookmarkStart w:id="1266" w:name="_Toc189042727"/>
      <w:bookmarkStart w:id="1267" w:name="_Toc187677857"/>
      <w:bookmarkStart w:id="1268" w:name="_Toc189042728"/>
      <w:bookmarkStart w:id="1269" w:name="_Toc187677858"/>
      <w:bookmarkStart w:id="1270" w:name="_Toc189042729"/>
      <w:bookmarkStart w:id="1271" w:name="_Toc187677859"/>
      <w:bookmarkStart w:id="1272" w:name="_Toc189042730"/>
      <w:bookmarkStart w:id="1273" w:name="_Toc187677860"/>
      <w:bookmarkStart w:id="1274" w:name="_Toc189042731"/>
      <w:bookmarkStart w:id="1275" w:name="_Toc187677861"/>
      <w:bookmarkStart w:id="1276" w:name="_Toc189042732"/>
      <w:bookmarkStart w:id="1277" w:name="_Toc187677862"/>
      <w:bookmarkStart w:id="1278" w:name="_Toc189042733"/>
      <w:bookmarkStart w:id="1279" w:name="_Toc187677863"/>
      <w:bookmarkStart w:id="1280" w:name="_Toc189042734"/>
      <w:bookmarkStart w:id="1281" w:name="_Toc187677864"/>
      <w:bookmarkStart w:id="1282" w:name="_Toc189042735"/>
      <w:bookmarkStart w:id="1283" w:name="_Toc187677866"/>
      <w:bookmarkStart w:id="1284" w:name="_Toc189042737"/>
      <w:bookmarkStart w:id="1285" w:name="_Toc187677867"/>
      <w:bookmarkStart w:id="1286" w:name="_Toc189042738"/>
      <w:bookmarkStart w:id="1287" w:name="_Toc187677868"/>
      <w:bookmarkStart w:id="1288" w:name="_Toc189042739"/>
      <w:bookmarkStart w:id="1289" w:name="_Toc187677869"/>
      <w:bookmarkStart w:id="1290" w:name="_Toc189042740"/>
      <w:bookmarkStart w:id="1291" w:name="_Toc187677870"/>
      <w:bookmarkStart w:id="1292" w:name="_Toc189042741"/>
      <w:bookmarkStart w:id="1293" w:name="_Toc187677871"/>
      <w:bookmarkStart w:id="1294" w:name="_Toc189042742"/>
      <w:bookmarkStart w:id="1295" w:name="_Toc187677872"/>
      <w:bookmarkStart w:id="1296" w:name="_Toc189042743"/>
      <w:bookmarkStart w:id="1297" w:name="_Toc187677873"/>
      <w:bookmarkStart w:id="1298" w:name="_Toc189042744"/>
      <w:bookmarkStart w:id="1299" w:name="_Toc187677874"/>
      <w:bookmarkStart w:id="1300" w:name="_Toc189042745"/>
      <w:bookmarkStart w:id="1301" w:name="_Toc187677876"/>
      <w:bookmarkStart w:id="1302" w:name="_Toc189042747"/>
      <w:bookmarkStart w:id="1303" w:name="_Toc187677877"/>
      <w:bookmarkStart w:id="1304" w:name="_Toc189042748"/>
      <w:bookmarkStart w:id="1305" w:name="_Toc187677878"/>
      <w:bookmarkStart w:id="1306" w:name="_Toc189042749"/>
      <w:bookmarkStart w:id="1307" w:name="_Toc187677879"/>
      <w:bookmarkStart w:id="1308" w:name="_Toc189042750"/>
      <w:bookmarkStart w:id="1309" w:name="_Toc187677880"/>
      <w:bookmarkStart w:id="1310" w:name="_Toc189042751"/>
      <w:bookmarkStart w:id="1311" w:name="_Toc187677881"/>
      <w:bookmarkStart w:id="1312" w:name="_Toc189042752"/>
      <w:bookmarkStart w:id="1313" w:name="_Toc187677882"/>
      <w:bookmarkStart w:id="1314" w:name="_Toc189042753"/>
      <w:bookmarkStart w:id="1315" w:name="_Toc187677883"/>
      <w:bookmarkStart w:id="1316" w:name="_Toc189042754"/>
      <w:bookmarkStart w:id="1317" w:name="_Toc187677884"/>
      <w:bookmarkStart w:id="1318" w:name="_Toc189042755"/>
      <w:bookmarkStart w:id="1319" w:name="_Toc187677886"/>
      <w:bookmarkStart w:id="1320" w:name="_Toc189042757"/>
      <w:bookmarkStart w:id="1321" w:name="_Toc187677887"/>
      <w:bookmarkStart w:id="1322" w:name="_Toc189042758"/>
      <w:bookmarkStart w:id="1323" w:name="_Toc187677888"/>
      <w:bookmarkStart w:id="1324" w:name="_Toc189042759"/>
      <w:bookmarkStart w:id="1325" w:name="_Toc187677889"/>
      <w:bookmarkStart w:id="1326" w:name="_Toc189042760"/>
      <w:bookmarkStart w:id="1327" w:name="_Toc187677890"/>
      <w:bookmarkStart w:id="1328" w:name="_Toc189042761"/>
      <w:bookmarkStart w:id="1329" w:name="_Toc187677891"/>
      <w:bookmarkStart w:id="1330" w:name="_Toc189042762"/>
      <w:bookmarkStart w:id="1331" w:name="_Toc187677892"/>
      <w:bookmarkStart w:id="1332" w:name="_Toc189042763"/>
      <w:bookmarkStart w:id="1333" w:name="_Toc187677893"/>
      <w:bookmarkStart w:id="1334" w:name="_Toc189042764"/>
      <w:bookmarkStart w:id="1335" w:name="_Toc187677894"/>
      <w:bookmarkStart w:id="1336" w:name="_Toc189042765"/>
      <w:bookmarkStart w:id="1337" w:name="_Toc187677896"/>
      <w:bookmarkStart w:id="1338" w:name="_Toc189042767"/>
      <w:bookmarkStart w:id="1339" w:name="_Toc187677897"/>
      <w:bookmarkStart w:id="1340" w:name="_Toc189042768"/>
      <w:bookmarkStart w:id="1341" w:name="_Toc187677898"/>
      <w:bookmarkStart w:id="1342" w:name="_Toc189042769"/>
      <w:bookmarkStart w:id="1343" w:name="_Toc187677899"/>
      <w:bookmarkStart w:id="1344" w:name="_Toc189042770"/>
      <w:bookmarkStart w:id="1345" w:name="_Toc187677900"/>
      <w:bookmarkStart w:id="1346" w:name="_Toc189042771"/>
      <w:bookmarkStart w:id="1347" w:name="_Toc187677901"/>
      <w:bookmarkStart w:id="1348" w:name="_Toc189042772"/>
      <w:bookmarkStart w:id="1349" w:name="_Toc187677902"/>
      <w:bookmarkStart w:id="1350" w:name="_Toc189042773"/>
      <w:bookmarkStart w:id="1351" w:name="_Toc187677903"/>
      <w:bookmarkStart w:id="1352" w:name="_Toc189042774"/>
      <w:bookmarkStart w:id="1353" w:name="_Toc187677904"/>
      <w:bookmarkStart w:id="1354" w:name="_Toc189042775"/>
      <w:bookmarkStart w:id="1355" w:name="_Toc187677906"/>
      <w:bookmarkStart w:id="1356" w:name="_Toc189042777"/>
      <w:bookmarkStart w:id="1357" w:name="_Toc187677907"/>
      <w:bookmarkStart w:id="1358" w:name="_Toc189042778"/>
      <w:bookmarkStart w:id="1359" w:name="_Toc187677908"/>
      <w:bookmarkStart w:id="1360" w:name="_Toc189042779"/>
      <w:bookmarkStart w:id="1361" w:name="_Toc187677909"/>
      <w:bookmarkStart w:id="1362" w:name="_Toc189042780"/>
      <w:bookmarkStart w:id="1363" w:name="_Toc187677910"/>
      <w:bookmarkStart w:id="1364" w:name="_Toc189042781"/>
      <w:bookmarkStart w:id="1365" w:name="_Toc187677911"/>
      <w:bookmarkStart w:id="1366" w:name="_Toc189042782"/>
      <w:bookmarkStart w:id="1367" w:name="_Toc187677912"/>
      <w:bookmarkStart w:id="1368" w:name="_Toc189042783"/>
      <w:bookmarkStart w:id="1369" w:name="_Toc187677913"/>
      <w:bookmarkStart w:id="1370" w:name="_Toc189042784"/>
      <w:bookmarkStart w:id="1371" w:name="_Toc187677914"/>
      <w:bookmarkStart w:id="1372" w:name="_Toc189042785"/>
      <w:bookmarkStart w:id="1373" w:name="_Toc187677916"/>
      <w:bookmarkStart w:id="1374" w:name="_Toc189042787"/>
      <w:bookmarkStart w:id="1375" w:name="_Toc187677917"/>
      <w:bookmarkStart w:id="1376" w:name="_Toc189042788"/>
      <w:bookmarkStart w:id="1377" w:name="_Toc187677918"/>
      <w:bookmarkStart w:id="1378" w:name="_Toc189042789"/>
      <w:bookmarkStart w:id="1379" w:name="_Toc187677919"/>
      <w:bookmarkStart w:id="1380" w:name="_Toc189042790"/>
      <w:bookmarkStart w:id="1381" w:name="_Toc187677920"/>
      <w:bookmarkStart w:id="1382" w:name="_Toc189042791"/>
      <w:bookmarkStart w:id="1383" w:name="_Toc187677921"/>
      <w:bookmarkStart w:id="1384" w:name="_Toc189042792"/>
      <w:bookmarkStart w:id="1385" w:name="_Toc187677922"/>
      <w:bookmarkStart w:id="1386" w:name="_Toc189042793"/>
      <w:bookmarkStart w:id="1387" w:name="_Toc187677923"/>
      <w:bookmarkStart w:id="1388" w:name="_Toc189042794"/>
      <w:bookmarkStart w:id="1389" w:name="_Toc187677924"/>
      <w:bookmarkStart w:id="1390" w:name="_Toc189042795"/>
      <w:bookmarkStart w:id="1391" w:name="_Toc187677926"/>
      <w:bookmarkStart w:id="1392" w:name="_Toc189042797"/>
      <w:bookmarkStart w:id="1393" w:name="_Toc187677927"/>
      <w:bookmarkStart w:id="1394" w:name="_Toc189042798"/>
      <w:bookmarkStart w:id="1395" w:name="_Toc187677928"/>
      <w:bookmarkStart w:id="1396" w:name="_Toc189042799"/>
      <w:bookmarkStart w:id="1397" w:name="_Toc187677929"/>
      <w:bookmarkStart w:id="1398" w:name="_Toc189042800"/>
      <w:bookmarkStart w:id="1399" w:name="_Toc187677930"/>
      <w:bookmarkStart w:id="1400" w:name="_Toc189042801"/>
      <w:bookmarkStart w:id="1401" w:name="_Toc187677931"/>
      <w:bookmarkStart w:id="1402" w:name="_Toc189042802"/>
      <w:bookmarkStart w:id="1403" w:name="_Toc187677932"/>
      <w:bookmarkStart w:id="1404" w:name="_Toc189042803"/>
      <w:bookmarkStart w:id="1405" w:name="_Toc187677933"/>
      <w:bookmarkStart w:id="1406" w:name="_Toc189042804"/>
      <w:bookmarkStart w:id="1407" w:name="_Toc187677934"/>
      <w:bookmarkStart w:id="1408" w:name="_Toc189042805"/>
      <w:bookmarkStart w:id="1409" w:name="_Toc187677936"/>
      <w:bookmarkStart w:id="1410" w:name="_Toc189042807"/>
      <w:bookmarkStart w:id="1411" w:name="_Toc187677937"/>
      <w:bookmarkStart w:id="1412" w:name="_Toc189042808"/>
      <w:bookmarkStart w:id="1413" w:name="_Toc187677938"/>
      <w:bookmarkStart w:id="1414" w:name="_Toc189042809"/>
      <w:bookmarkStart w:id="1415" w:name="_Toc187677939"/>
      <w:bookmarkStart w:id="1416" w:name="_Toc189042810"/>
      <w:bookmarkStart w:id="1417" w:name="_Toc187677940"/>
      <w:bookmarkStart w:id="1418" w:name="_Toc189042811"/>
      <w:bookmarkStart w:id="1419" w:name="_Toc187677941"/>
      <w:bookmarkStart w:id="1420" w:name="_Toc189042812"/>
      <w:bookmarkStart w:id="1421" w:name="_Toc187677942"/>
      <w:bookmarkStart w:id="1422" w:name="_Toc189042813"/>
      <w:bookmarkStart w:id="1423" w:name="_Toc187677943"/>
      <w:bookmarkStart w:id="1424" w:name="_Toc189042814"/>
      <w:bookmarkStart w:id="1425" w:name="_Toc187677944"/>
      <w:bookmarkStart w:id="1426" w:name="_Toc189042815"/>
      <w:bookmarkStart w:id="1427" w:name="_Toc187677946"/>
      <w:bookmarkStart w:id="1428" w:name="_Toc189042817"/>
      <w:bookmarkStart w:id="1429" w:name="_Toc173850903"/>
      <w:bookmarkStart w:id="1430" w:name="_Toc173940655"/>
      <w:bookmarkStart w:id="1431" w:name="_Toc173850904"/>
      <w:bookmarkStart w:id="1432" w:name="_Toc173940656"/>
      <w:bookmarkStart w:id="1433" w:name="_Toc173850905"/>
      <w:bookmarkStart w:id="1434" w:name="_Toc173940657"/>
      <w:bookmarkStart w:id="1435" w:name="_Toc165990981"/>
      <w:bookmarkStart w:id="1436" w:name="_Toc18984501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r>
        <w:lastRenderedPageBreak/>
        <w:t>Total-power</w:t>
      </w:r>
      <w:r w:rsidRPr="00E215F0">
        <w:t xml:space="preserve"> </w:t>
      </w:r>
      <w:r w:rsidR="00801D3C" w:rsidRPr="00E215F0">
        <w:t xml:space="preserve">PDP </w:t>
      </w:r>
      <w:r w:rsidR="00B77CE8" w:rsidRPr="00E215F0">
        <w:t>report</w:t>
      </w:r>
      <w:r w:rsidR="008F6CA4" w:rsidRPr="00E215F0">
        <w:t xml:space="preserve"> </w:t>
      </w:r>
      <w:r w:rsidR="00B77CE8">
        <w:t>for</w:t>
      </w:r>
      <w:r w:rsidR="00B77CE8" w:rsidRPr="00E215F0">
        <w:t xml:space="preserve"> </w:t>
      </w:r>
      <w:r w:rsidR="00D62E7B">
        <w:t>Rel-19</w:t>
      </w:r>
      <w:bookmarkEnd w:id="1435"/>
      <w:bookmarkEnd w:id="1436"/>
    </w:p>
    <w:p w14:paraId="0F56A803" w14:textId="1E12BFB9" w:rsidR="00CE718C" w:rsidRDefault="00A6412E" w:rsidP="006F6085">
      <w:r>
        <w:t xml:space="preserve">For a UE or a </w:t>
      </w:r>
      <w:proofErr w:type="spellStart"/>
      <w:r>
        <w:t>gNB</w:t>
      </w:r>
      <w:proofErr w:type="spellEnd"/>
      <w:r>
        <w:t xml:space="preserve"> equipped with multiple </w:t>
      </w:r>
      <w:r w:rsidR="00B73C94">
        <w:t xml:space="preserve">receive </w:t>
      </w:r>
      <w:r>
        <w:t xml:space="preserve">antenna ports, </w:t>
      </w:r>
      <w:r w:rsidR="00F9214C">
        <w:t>sources had investigate</w:t>
      </w:r>
      <w:r w:rsidR="000D08F0">
        <w:t xml:space="preserve">d </w:t>
      </w:r>
      <w:r w:rsidR="00970770">
        <w:t xml:space="preserve">tradeoffs of using </w:t>
      </w:r>
      <w:r w:rsidR="00CE718C">
        <w:t>the following two different PDP input options during the SI phase:</w:t>
      </w:r>
    </w:p>
    <w:p w14:paraId="304B869A" w14:textId="4275E7F2" w:rsidR="0016375F" w:rsidRPr="00E215F0" w:rsidRDefault="00F61854" w:rsidP="00D35F36">
      <w:pPr>
        <w:pStyle w:val="ListParagraph"/>
        <w:numPr>
          <w:ilvl w:val="0"/>
          <w:numId w:val="27"/>
        </w:numPr>
      </w:pPr>
      <w:r>
        <w:t xml:space="preserve">total-power </w:t>
      </w:r>
      <w:r w:rsidR="00CE718C">
        <w:t>PDP (summed over all antenna ports)</w:t>
      </w:r>
    </w:p>
    <w:p w14:paraId="0DDC2871" w14:textId="77777777" w:rsidR="007978E4" w:rsidRDefault="00013B05" w:rsidP="007978E4">
      <m:oMathPara>
        <m:oMath>
          <m:r>
            <w:rPr>
              <w:rFonts w:ascii="Cambria Math" w:hAnsi="Cambria Math"/>
            </w:rPr>
            <m:t>p</m:t>
          </m:r>
          <m:d>
            <m:dPr>
              <m:begChr m:val="["/>
              <m:endChr m:val="]"/>
              <m:ctrlPr>
                <w:rPr>
                  <w:rFonts w:ascii="Cambria Math" w:hAnsi="Cambria Math"/>
                  <w:i/>
                </w:rPr>
              </m:ctrlPr>
            </m:dPr>
            <m:e>
              <m:r>
                <w:rPr>
                  <w:rFonts w:ascii="Cambria Math" w:hAnsi="Cambria Math"/>
                </w:rPr>
                <m:t>d</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a</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e>
          </m:nary>
        </m:oMath>
      </m:oMathPara>
    </w:p>
    <w:p w14:paraId="31AD403B" w14:textId="105690E2" w:rsidR="00CE718C" w:rsidRPr="00E215F0" w:rsidRDefault="00CE718C" w:rsidP="00D35F36">
      <w:pPr>
        <w:pStyle w:val="ListParagraph"/>
        <w:numPr>
          <w:ilvl w:val="0"/>
          <w:numId w:val="27"/>
        </w:numPr>
      </w:pPr>
      <w:r>
        <w:t>Multi-port PDP</w:t>
      </w:r>
      <w:r w:rsidR="00D17989">
        <w:t xml:space="preserve"> (measurement at each </w:t>
      </w:r>
      <w:r w:rsidR="00B73C94">
        <w:t xml:space="preserve">receive </w:t>
      </w:r>
      <w:r w:rsidR="00D17989">
        <w:t>antenna port individually)</w:t>
      </w:r>
      <w:r w:rsidR="00B136DB">
        <w:t xml:space="preserve"> </w:t>
      </w:r>
    </w:p>
    <w:p w14:paraId="287A3E6A" w14:textId="05AFE637" w:rsidR="00FD772C" w:rsidRDefault="00B27F97" w:rsidP="006F6085">
      <m:oMathPara>
        <m:oMath>
          <m:sSub>
            <m:sSubPr>
              <m:ctrlPr>
                <w:rPr>
                  <w:rFonts w:ascii="Cambria Math" w:hAnsi="Cambria Math"/>
                  <w:i/>
                </w:rPr>
              </m:ctrlPr>
            </m:sSubPr>
            <m:e>
              <m:r>
                <w:rPr>
                  <w:rFonts w:ascii="Cambria Math" w:hAnsi="Cambria Math"/>
                </w:rPr>
                <m:t>p</m:t>
              </m:r>
            </m:e>
            <m:sub>
              <m:r>
                <w:rPr>
                  <w:rFonts w:ascii="Cambria Math" w:hAnsi="Cambria Math"/>
                </w:rPr>
                <m:t>a</m:t>
              </m:r>
            </m:sub>
          </m:sSub>
          <m:r>
            <w:rPr>
              <w:rFonts w:ascii="Cambria Math" w:hAnsi="Cambria Math"/>
            </w:rPr>
            <m:t>[d]≜</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sup>
              <m:r>
                <w:rPr>
                  <w:rFonts w:ascii="Cambria Math" w:hAnsi="Cambria Math"/>
                </w:rPr>
                <m:t>2</m:t>
              </m:r>
            </m:sup>
          </m:sSup>
        </m:oMath>
      </m:oMathPara>
    </w:p>
    <w:p w14:paraId="57216957" w14:textId="3AC7881C" w:rsidR="00B73C94" w:rsidRDefault="00B73C94" w:rsidP="006F6085">
      <w:r>
        <w:t xml:space="preserve">It is noted that the reference signals defined for positioning (DL PRS, UL positioning SRS) is </w:t>
      </w:r>
      <w:proofErr w:type="gramStart"/>
      <w:r>
        <w:t>single-port</w:t>
      </w:r>
      <w:proofErr w:type="gramEnd"/>
      <w:r>
        <w:t xml:space="preserve"> at transmit antenna. Hence 'multi-port' </w:t>
      </w:r>
      <w:r w:rsidR="001256EF">
        <w:t xml:space="preserve">in this discussion </w:t>
      </w:r>
      <w:r>
        <w:t>refers to receive antenna ports only.</w:t>
      </w:r>
    </w:p>
    <w:p w14:paraId="4ACDA514" w14:textId="32305E19" w:rsidR="00FF4460" w:rsidRDefault="00607C10" w:rsidP="006F6085">
      <w:r>
        <w:t xml:space="preserve">One set of evaluation results </w:t>
      </w:r>
      <w:r w:rsidR="001050DF">
        <w:t xml:space="preserve">are copied in </w:t>
      </w:r>
      <w:r w:rsidR="002E34A3">
        <w:fldChar w:fldCharType="begin"/>
      </w:r>
      <w:r w:rsidR="002E34A3">
        <w:instrText xml:space="preserve"> REF _Ref134019909 \h </w:instrText>
      </w:r>
      <w:r w:rsidR="002E34A3">
        <w:fldChar w:fldCharType="separate"/>
      </w:r>
      <w:r w:rsidR="00C713E4" w:rsidRPr="00086111">
        <w:t xml:space="preserve">Table </w:t>
      </w:r>
      <w:r w:rsidR="00C713E4">
        <w:rPr>
          <w:noProof/>
        </w:rPr>
        <w:t>1</w:t>
      </w:r>
      <w:r w:rsidR="002E34A3">
        <w:fldChar w:fldCharType="end"/>
      </w:r>
      <w:r w:rsidR="002E34A3">
        <w:t xml:space="preserve"> where </w:t>
      </w:r>
      <w:r w:rsidR="00C824B0">
        <w:t xml:space="preserve">the 90%tile positioning </w:t>
      </w:r>
      <w:r w:rsidR="004426A5">
        <w:t xml:space="preserve">errors of using 2-port PDP or </w:t>
      </w:r>
      <w:r w:rsidR="00EF77A2">
        <w:t>the summed PDP are compared</w:t>
      </w:r>
      <w:r w:rsidR="001050DF">
        <w:t>.</w:t>
      </w:r>
      <w:r w:rsidR="00EF77A2">
        <w:t xml:space="preserve"> </w:t>
      </w:r>
      <w:r w:rsidR="008577B1">
        <w:t>It can be observed that</w:t>
      </w:r>
    </w:p>
    <w:p w14:paraId="7261146C" w14:textId="0D0A27A0" w:rsidR="000472ED" w:rsidRPr="00194B5B" w:rsidRDefault="00380314" w:rsidP="00D35F36">
      <w:pPr>
        <w:pStyle w:val="ListParagraph"/>
        <w:numPr>
          <w:ilvl w:val="0"/>
          <w:numId w:val="27"/>
        </w:numPr>
      </w:pPr>
      <w:r>
        <w:t>T</w:t>
      </w:r>
      <w:r w:rsidRPr="00194B5B">
        <w:t>he 2-port PDP input type doubles the signal sizes</w:t>
      </w:r>
      <w:r>
        <w:t>,</w:t>
      </w:r>
      <w:r w:rsidRPr="00194B5B">
        <w:t xml:space="preserve"> requires higher computational complexity</w:t>
      </w:r>
      <w:r w:rsidR="007C171C">
        <w:t>,</w:t>
      </w:r>
      <w:r w:rsidRPr="00194B5B">
        <w:t xml:space="preserve"> and achieves marginal performance improvements</w:t>
      </w:r>
      <w:r w:rsidR="007C171C">
        <w:t xml:space="preserve"> when compared to the total PDP input type.</w:t>
      </w:r>
    </w:p>
    <w:p w14:paraId="20A23B87" w14:textId="0E3CD49F" w:rsidR="007C171C" w:rsidRPr="00194B5B" w:rsidRDefault="008D17AF" w:rsidP="00D35F36">
      <w:pPr>
        <w:pStyle w:val="ListParagraph"/>
        <w:numPr>
          <w:ilvl w:val="0"/>
          <w:numId w:val="27"/>
        </w:numPr>
      </w:pPr>
      <w:r>
        <w:t xml:space="preserve">Using only 1-port to compute PDP </w:t>
      </w:r>
      <w:r w:rsidR="00B00ECE">
        <w:t xml:space="preserve">discards </w:t>
      </w:r>
      <w:r w:rsidR="00EB2F75">
        <w:t xml:space="preserve">signal power and radio channel </w:t>
      </w:r>
      <w:r w:rsidR="00EB6B94">
        <w:t>information that is readily available at the measurement node</w:t>
      </w:r>
      <w:r w:rsidR="00CC3831">
        <w:t xml:space="preserve">, which causes </w:t>
      </w:r>
      <w:r w:rsidR="00837C54">
        <w:t xml:space="preserve">lower </w:t>
      </w:r>
      <w:r w:rsidR="00837C54" w:rsidRPr="00194B5B">
        <w:t>positioning accuracy</w:t>
      </w:r>
      <w:r w:rsidR="00837C54">
        <w:t xml:space="preserve"> when compared to the total PDP input type.</w:t>
      </w:r>
      <w:r w:rsidR="00482845">
        <w:t xml:space="preserve"> The</w:t>
      </w:r>
      <w:r w:rsidR="00CD5CE6">
        <w:t xml:space="preserve"> positioning accuracy</w:t>
      </w:r>
      <w:r w:rsidR="00482845">
        <w:t xml:space="preserve"> degradation ranges from 11% </w:t>
      </w:r>
      <w:r w:rsidR="00552C0A">
        <w:t>with very large training datasets to 20% with smaller training datasets.</w:t>
      </w:r>
    </w:p>
    <w:p w14:paraId="0AB11EA1" w14:textId="77777777" w:rsidR="008577B1" w:rsidRDefault="008577B1" w:rsidP="006F6085"/>
    <w:p w14:paraId="6902DC38" w14:textId="3DB99D5A" w:rsidR="004F6B11" w:rsidRPr="00086111" w:rsidRDefault="004F6B11" w:rsidP="002938DE">
      <w:pPr>
        <w:pStyle w:val="Observation"/>
      </w:pPr>
      <w:bookmarkStart w:id="1437" w:name="_Toc142672294"/>
      <w:bookmarkStart w:id="1438" w:name="_Toc158978316"/>
      <w:bookmarkStart w:id="1439" w:name="_Toc161827806"/>
      <w:bookmarkStart w:id="1440" w:name="_Toc189845064"/>
      <w:r w:rsidRPr="00086111">
        <w:t xml:space="preserve">When compared to the </w:t>
      </w:r>
      <w:r w:rsidR="007C171C">
        <w:t>total</w:t>
      </w:r>
      <w:r w:rsidR="004157FD">
        <w:t>-power</w:t>
      </w:r>
      <w:r w:rsidR="001801E5">
        <w:t xml:space="preserve"> </w:t>
      </w:r>
      <w:r w:rsidRPr="00086111">
        <w:t xml:space="preserve">PDP input type, the 2-port PDP input type (1) doubles the </w:t>
      </w:r>
      <w:r w:rsidR="001801E5">
        <w:t>signal</w:t>
      </w:r>
      <w:r w:rsidRPr="00086111">
        <w:t xml:space="preserve"> sizes; (2) requires higher computational complexity; and (3) achieves marginal performance improvements.</w:t>
      </w:r>
      <w:bookmarkEnd w:id="1437"/>
      <w:bookmarkEnd w:id="1438"/>
      <w:bookmarkEnd w:id="1439"/>
      <w:bookmarkEnd w:id="1440"/>
    </w:p>
    <w:p w14:paraId="62D4A29E" w14:textId="7DDCF38E" w:rsidR="00372F97" w:rsidRPr="00086111" w:rsidRDefault="00372F97" w:rsidP="002938DE">
      <w:pPr>
        <w:pStyle w:val="Observation"/>
      </w:pPr>
      <w:bookmarkStart w:id="1441" w:name="_Toc158978317"/>
      <w:bookmarkStart w:id="1442" w:name="_Toc161827807"/>
      <w:bookmarkStart w:id="1443" w:name="_Toc189845065"/>
      <w:r w:rsidRPr="00086111">
        <w:t xml:space="preserve">When compared to the </w:t>
      </w:r>
      <w:r w:rsidR="007C171C">
        <w:t>total</w:t>
      </w:r>
      <w:r w:rsidR="004157FD">
        <w:t>-power</w:t>
      </w:r>
      <w:r>
        <w:t xml:space="preserve"> </w:t>
      </w:r>
      <w:r w:rsidRPr="00086111">
        <w:t xml:space="preserve">PDP input type, the </w:t>
      </w:r>
      <w:r w:rsidR="00174CBD">
        <w:t>1</w:t>
      </w:r>
      <w:r w:rsidRPr="00086111">
        <w:t xml:space="preserve">-port PDP input type </w:t>
      </w:r>
      <w:r w:rsidR="006B5995">
        <w:t xml:space="preserve">(1) </w:t>
      </w:r>
      <w:r w:rsidR="00775F73">
        <w:t>discards signal power and radio channel information that is readily available, and</w:t>
      </w:r>
      <w:r w:rsidR="00775F73" w:rsidRPr="00086111">
        <w:t xml:space="preserve"> </w:t>
      </w:r>
      <w:r w:rsidR="006B5995">
        <w:t xml:space="preserve">(2) </w:t>
      </w:r>
      <w:r w:rsidRPr="00086111">
        <w:t xml:space="preserve">achieves </w:t>
      </w:r>
      <w:r w:rsidR="00C7617F">
        <w:t>lower positioning accuracy</w:t>
      </w:r>
      <w:r w:rsidRPr="00086111">
        <w:t>.</w:t>
      </w:r>
      <w:bookmarkEnd w:id="1441"/>
      <w:bookmarkEnd w:id="1442"/>
      <w:bookmarkEnd w:id="1443"/>
    </w:p>
    <w:p w14:paraId="7EDA7DF6" w14:textId="77777777" w:rsidR="00372F97" w:rsidRDefault="00372F97" w:rsidP="006F6085"/>
    <w:p w14:paraId="2A75C505" w14:textId="26805166" w:rsidR="00FD772C" w:rsidRPr="00086111" w:rsidRDefault="00FD772C" w:rsidP="00FD772C">
      <w:pPr>
        <w:pStyle w:val="Caption"/>
        <w:rPr>
          <w:lang w:eastAsia="ja-JP"/>
        </w:rPr>
      </w:pPr>
      <w:bookmarkStart w:id="1444" w:name="_Ref134019909"/>
      <w:r w:rsidRPr="00086111">
        <w:t xml:space="preserve">Table </w:t>
      </w:r>
      <w:r w:rsidRPr="00086111">
        <w:fldChar w:fldCharType="begin"/>
      </w:r>
      <w:r w:rsidRPr="00086111">
        <w:instrText>SEQ Table \* ARABIC</w:instrText>
      </w:r>
      <w:r w:rsidRPr="00086111">
        <w:fldChar w:fldCharType="separate"/>
      </w:r>
      <w:r w:rsidR="00C713E4">
        <w:rPr>
          <w:noProof/>
        </w:rPr>
        <w:t>1</w:t>
      </w:r>
      <w:r w:rsidRPr="00086111">
        <w:fldChar w:fldCharType="end"/>
      </w:r>
      <w:bookmarkEnd w:id="1444"/>
      <w:r w:rsidRPr="00086111">
        <w:t xml:space="preserve"> </w:t>
      </w:r>
      <w:r w:rsidRPr="00086111">
        <w:rPr>
          <w:lang w:eastAsia="ja-JP"/>
        </w:rPr>
        <w:t xml:space="preserve">90%tile </w:t>
      </w:r>
      <w:r w:rsidRPr="00086111">
        <w:t xml:space="preserve">2D positioning accuracy </w:t>
      </w:r>
      <w:r w:rsidR="00A7172A">
        <w:t xml:space="preserve">(meters) </w:t>
      </w:r>
      <w:r w:rsidRPr="00086111">
        <w:t xml:space="preserve">using </w:t>
      </w:r>
      <w:r w:rsidR="00533962">
        <w:t>summed total</w:t>
      </w:r>
      <w:r w:rsidR="004157FD">
        <w:t>-power</w:t>
      </w:r>
      <w:r w:rsidRPr="00086111">
        <w:t xml:space="preserve"> PDP</w:t>
      </w:r>
      <w:r w:rsidR="00533962">
        <w:t xml:space="preserve"> or </w:t>
      </w:r>
      <w:r w:rsidRPr="00086111">
        <w:t>2-port PDP</w:t>
      </w:r>
      <w:r w:rsidR="00DF187A">
        <w:t xml:space="preserve"> inputs</w:t>
      </w:r>
      <w:r w:rsidRPr="00086111">
        <w:t xml:space="preserve"> for the small models and different training dataset sizes in the </w:t>
      </w:r>
      <w:r w:rsidRPr="00086111">
        <w:rPr>
          <w:lang w:eastAsia="ja-JP"/>
        </w:rPr>
        <w:t xml:space="preserve">{60%, 6m, 2m} </w:t>
      </w:r>
      <w:proofErr w:type="spellStart"/>
      <w:r w:rsidRPr="00086111">
        <w:rPr>
          <w:lang w:eastAsia="ja-JP"/>
        </w:rPr>
        <w:t>InF</w:t>
      </w:r>
      <w:proofErr w:type="spellEnd"/>
      <w:r w:rsidRPr="00086111">
        <w:rPr>
          <w:lang w:eastAsia="ja-JP"/>
        </w:rPr>
        <w:t>-DH scenario</w:t>
      </w:r>
      <w:r w:rsidRPr="00086111">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vertAlign w:val="subscript"/>
              </w:rPr>
              <m:t>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=256</m:t>
        </m:r>
      </m:oMath>
      <w:r w:rsidRPr="00086111">
        <w:t>.</w:t>
      </w:r>
      <w:r w:rsidR="00A744D7" w:rsidRPr="00E215F0">
        <w:t xml:space="preserve"> The positioning accuracy is for the “small model” for centralized direct positioning trained with 40,000 samples </w:t>
      </w:r>
      <w:r w:rsidR="00A744D7" w:rsidRPr="00E215F0">
        <w:fldChar w:fldCharType="begin"/>
      </w:r>
      <w:r w:rsidR="00A744D7" w:rsidRPr="00E215F0">
        <w:instrText xml:space="preserve"> REF _Ref158730650 \r \h </w:instrText>
      </w:r>
      <w:r w:rsidR="00A744D7" w:rsidRPr="00E215F0">
        <w:fldChar w:fldCharType="separate"/>
      </w:r>
      <w:r w:rsidR="00C713E4">
        <w:t>[6]</w:t>
      </w:r>
      <w:r w:rsidR="00A744D7" w:rsidRPr="00E215F0">
        <w:fldChar w:fldCharType="end"/>
      </w:r>
      <w:r w:rsidR="00A744D7" w:rsidRPr="00E215F0">
        <w:t>.</w:t>
      </w:r>
    </w:p>
    <w:tbl>
      <w:tblPr>
        <w:tblStyle w:val="TableGrid"/>
        <w:tblW w:w="0" w:type="auto"/>
        <w:tblInd w:w="-5" w:type="dxa"/>
        <w:tblLayout w:type="fixed"/>
        <w:tblLook w:val="04A0" w:firstRow="1" w:lastRow="0" w:firstColumn="1" w:lastColumn="0" w:noHBand="0" w:noVBand="1"/>
      </w:tblPr>
      <w:tblGrid>
        <w:gridCol w:w="1818"/>
        <w:gridCol w:w="1575"/>
        <w:gridCol w:w="1642"/>
        <w:gridCol w:w="1188"/>
        <w:gridCol w:w="1188"/>
        <w:gridCol w:w="1188"/>
        <w:gridCol w:w="1188"/>
      </w:tblGrid>
      <w:tr w:rsidR="00E64A54" w:rsidRPr="00086111" w14:paraId="617E980E" w14:textId="77777777" w:rsidTr="004157FD">
        <w:tc>
          <w:tcPr>
            <w:tcW w:w="1818" w:type="dxa"/>
            <w:vMerge w:val="restart"/>
            <w:vAlign w:val="center"/>
          </w:tcPr>
          <w:p w14:paraId="03141CDF" w14:textId="7FFB6E47" w:rsidR="00E64A54" w:rsidRPr="00194B5B" w:rsidRDefault="0081517B" w:rsidP="006515CB">
            <w:pPr>
              <w:spacing w:before="60" w:after="60"/>
              <w:jc w:val="center"/>
              <w:rPr>
                <w:sz w:val="20"/>
                <w:szCs w:val="20"/>
              </w:rPr>
            </w:pPr>
            <w:r w:rsidRPr="00194B5B">
              <w:rPr>
                <w:sz w:val="20"/>
                <w:szCs w:val="20"/>
              </w:rPr>
              <w:lastRenderedPageBreak/>
              <w:t>Input</w:t>
            </w:r>
          </w:p>
        </w:tc>
        <w:tc>
          <w:tcPr>
            <w:tcW w:w="1575" w:type="dxa"/>
            <w:vMerge w:val="restart"/>
            <w:vAlign w:val="center"/>
          </w:tcPr>
          <w:p w14:paraId="7CE3F6E6" w14:textId="77777777" w:rsidR="00E64A54" w:rsidRPr="00194B5B" w:rsidRDefault="00E64A54" w:rsidP="006515CB">
            <w:pPr>
              <w:spacing w:before="60" w:after="60"/>
              <w:jc w:val="center"/>
              <w:rPr>
                <w:sz w:val="20"/>
                <w:szCs w:val="20"/>
              </w:rPr>
            </w:pPr>
            <w:r w:rsidRPr="00194B5B">
              <w:rPr>
                <w:sz w:val="20"/>
                <w:szCs w:val="20"/>
              </w:rPr>
              <w:t>Model complexity</w:t>
            </w:r>
            <w:r w:rsidRPr="00194B5B">
              <w:rPr>
                <w:sz w:val="20"/>
                <w:szCs w:val="20"/>
              </w:rPr>
              <w:br/>
              <w:t>[# parameters]</w:t>
            </w:r>
          </w:p>
        </w:tc>
        <w:tc>
          <w:tcPr>
            <w:tcW w:w="1642" w:type="dxa"/>
            <w:vMerge w:val="restart"/>
            <w:vAlign w:val="center"/>
          </w:tcPr>
          <w:p w14:paraId="5083C293" w14:textId="77777777" w:rsidR="00E64A54" w:rsidRPr="00194B5B" w:rsidRDefault="00E64A54" w:rsidP="006515CB">
            <w:pPr>
              <w:spacing w:before="60" w:after="60"/>
              <w:jc w:val="center"/>
              <w:rPr>
                <w:sz w:val="20"/>
                <w:szCs w:val="20"/>
              </w:rPr>
            </w:pPr>
            <w:r w:rsidRPr="00194B5B">
              <w:rPr>
                <w:sz w:val="20"/>
                <w:szCs w:val="20"/>
              </w:rPr>
              <w:t>Computational complexity</w:t>
            </w:r>
            <w:r w:rsidRPr="00194B5B">
              <w:rPr>
                <w:sz w:val="20"/>
                <w:szCs w:val="20"/>
              </w:rPr>
              <w:br/>
              <w:t>[FLOPs]</w:t>
            </w:r>
          </w:p>
        </w:tc>
        <w:tc>
          <w:tcPr>
            <w:tcW w:w="4752" w:type="dxa"/>
            <w:gridSpan w:val="4"/>
            <w:vAlign w:val="center"/>
          </w:tcPr>
          <w:p w14:paraId="69CC6654" w14:textId="77777777" w:rsidR="00E64A54" w:rsidRPr="00194B5B" w:rsidRDefault="00E64A54" w:rsidP="006515CB">
            <w:pPr>
              <w:spacing w:before="60" w:after="60"/>
              <w:jc w:val="center"/>
              <w:rPr>
                <w:sz w:val="20"/>
                <w:szCs w:val="20"/>
              </w:rPr>
            </w:pPr>
            <w:r w:rsidRPr="00194B5B">
              <w:rPr>
                <w:sz w:val="20"/>
                <w:szCs w:val="20"/>
              </w:rPr>
              <w:t>90%tile 2D positioning error [m]</w:t>
            </w:r>
            <w:r w:rsidRPr="00194B5B">
              <w:rPr>
                <w:sz w:val="20"/>
                <w:szCs w:val="20"/>
              </w:rPr>
              <w:br/>
              <w:t xml:space="preserve">with different train set sizes in </w:t>
            </w:r>
            <w:r w:rsidRPr="00194B5B">
              <w:rPr>
                <w:sz w:val="20"/>
                <w:szCs w:val="20"/>
              </w:rPr>
              <w:br/>
              <w:t xml:space="preserve">{60%, 6m, 2m} </w:t>
            </w:r>
            <w:proofErr w:type="spellStart"/>
            <w:r w:rsidRPr="00194B5B">
              <w:rPr>
                <w:sz w:val="20"/>
                <w:szCs w:val="20"/>
              </w:rPr>
              <w:t>InF</w:t>
            </w:r>
            <w:proofErr w:type="spellEnd"/>
            <w:r w:rsidRPr="00194B5B">
              <w:rPr>
                <w:sz w:val="20"/>
                <w:szCs w:val="20"/>
              </w:rPr>
              <w:t>-DH</w:t>
            </w:r>
          </w:p>
        </w:tc>
      </w:tr>
      <w:tr w:rsidR="000A5F23" w:rsidRPr="00086111" w14:paraId="6B4E72B3" w14:textId="77777777" w:rsidTr="004157FD">
        <w:tc>
          <w:tcPr>
            <w:tcW w:w="1818" w:type="dxa"/>
            <w:vMerge/>
            <w:tcBorders>
              <w:bottom w:val="double" w:sz="4" w:space="0" w:color="auto"/>
            </w:tcBorders>
            <w:vAlign w:val="center"/>
          </w:tcPr>
          <w:p w14:paraId="509C2E5F" w14:textId="77777777" w:rsidR="00E64A54" w:rsidRPr="00194B5B" w:rsidRDefault="00E64A54" w:rsidP="006515CB">
            <w:pPr>
              <w:spacing w:before="60" w:after="60"/>
              <w:jc w:val="center"/>
              <w:rPr>
                <w:sz w:val="20"/>
                <w:szCs w:val="20"/>
              </w:rPr>
            </w:pPr>
          </w:p>
        </w:tc>
        <w:tc>
          <w:tcPr>
            <w:tcW w:w="1575" w:type="dxa"/>
            <w:vMerge/>
            <w:tcBorders>
              <w:bottom w:val="double" w:sz="4" w:space="0" w:color="auto"/>
            </w:tcBorders>
            <w:vAlign w:val="center"/>
          </w:tcPr>
          <w:p w14:paraId="649D40ED" w14:textId="77777777" w:rsidR="00E64A54" w:rsidRPr="00194B5B" w:rsidRDefault="00E64A54" w:rsidP="006515CB">
            <w:pPr>
              <w:spacing w:before="60" w:after="60"/>
              <w:jc w:val="center"/>
              <w:rPr>
                <w:sz w:val="20"/>
                <w:szCs w:val="20"/>
              </w:rPr>
            </w:pPr>
          </w:p>
        </w:tc>
        <w:tc>
          <w:tcPr>
            <w:tcW w:w="1642" w:type="dxa"/>
            <w:vMerge/>
            <w:tcBorders>
              <w:bottom w:val="double" w:sz="4" w:space="0" w:color="auto"/>
            </w:tcBorders>
            <w:vAlign w:val="center"/>
          </w:tcPr>
          <w:p w14:paraId="7FD0A38D" w14:textId="77777777" w:rsidR="00E64A54" w:rsidRPr="00194B5B" w:rsidRDefault="00E64A54" w:rsidP="006515CB">
            <w:pPr>
              <w:spacing w:before="60" w:after="60"/>
              <w:jc w:val="center"/>
              <w:rPr>
                <w:sz w:val="20"/>
                <w:szCs w:val="20"/>
              </w:rPr>
            </w:pPr>
          </w:p>
        </w:tc>
        <w:tc>
          <w:tcPr>
            <w:tcW w:w="1188" w:type="dxa"/>
            <w:tcBorders>
              <w:bottom w:val="double" w:sz="4" w:space="0" w:color="auto"/>
            </w:tcBorders>
            <w:vAlign w:val="center"/>
          </w:tcPr>
          <w:p w14:paraId="021F682A" w14:textId="77777777" w:rsidR="00E64A54" w:rsidRPr="00194B5B" w:rsidRDefault="00E64A54" w:rsidP="006515CB">
            <w:pPr>
              <w:spacing w:before="60" w:after="60"/>
              <w:jc w:val="center"/>
              <w:rPr>
                <w:sz w:val="20"/>
                <w:szCs w:val="20"/>
              </w:rPr>
            </w:pPr>
            <w:r w:rsidRPr="00194B5B">
              <w:rPr>
                <w:sz w:val="20"/>
                <w:szCs w:val="20"/>
              </w:rPr>
              <w:t>80,000</w:t>
            </w:r>
          </w:p>
        </w:tc>
        <w:tc>
          <w:tcPr>
            <w:tcW w:w="1188" w:type="dxa"/>
            <w:tcBorders>
              <w:bottom w:val="double" w:sz="4" w:space="0" w:color="auto"/>
            </w:tcBorders>
            <w:vAlign w:val="center"/>
          </w:tcPr>
          <w:p w14:paraId="09EBC431" w14:textId="77777777" w:rsidR="00E64A54" w:rsidRPr="00194B5B" w:rsidRDefault="00E64A54" w:rsidP="006515CB">
            <w:pPr>
              <w:spacing w:before="60" w:after="60"/>
              <w:jc w:val="center"/>
              <w:rPr>
                <w:sz w:val="20"/>
                <w:szCs w:val="20"/>
              </w:rPr>
            </w:pPr>
            <w:r w:rsidRPr="00194B5B">
              <w:rPr>
                <w:sz w:val="20"/>
                <w:szCs w:val="20"/>
              </w:rPr>
              <w:t>40,000</w:t>
            </w:r>
          </w:p>
        </w:tc>
        <w:tc>
          <w:tcPr>
            <w:tcW w:w="1188" w:type="dxa"/>
            <w:tcBorders>
              <w:bottom w:val="double" w:sz="4" w:space="0" w:color="auto"/>
            </w:tcBorders>
            <w:vAlign w:val="center"/>
          </w:tcPr>
          <w:p w14:paraId="34D2305F" w14:textId="77777777" w:rsidR="00E64A54" w:rsidRPr="00194B5B" w:rsidRDefault="00E64A54" w:rsidP="006515CB">
            <w:pPr>
              <w:spacing w:before="60" w:after="60"/>
              <w:jc w:val="center"/>
              <w:rPr>
                <w:sz w:val="20"/>
                <w:szCs w:val="20"/>
              </w:rPr>
            </w:pPr>
            <w:r w:rsidRPr="00194B5B">
              <w:rPr>
                <w:sz w:val="20"/>
                <w:szCs w:val="20"/>
              </w:rPr>
              <w:t>20,000</w:t>
            </w:r>
          </w:p>
        </w:tc>
        <w:tc>
          <w:tcPr>
            <w:tcW w:w="1188" w:type="dxa"/>
            <w:tcBorders>
              <w:bottom w:val="double" w:sz="4" w:space="0" w:color="auto"/>
            </w:tcBorders>
            <w:vAlign w:val="center"/>
          </w:tcPr>
          <w:p w14:paraId="7E966931" w14:textId="77777777" w:rsidR="00E64A54" w:rsidRPr="00194B5B" w:rsidRDefault="00E64A54" w:rsidP="006515CB">
            <w:pPr>
              <w:spacing w:before="60" w:after="60"/>
              <w:jc w:val="center"/>
              <w:rPr>
                <w:sz w:val="20"/>
                <w:szCs w:val="20"/>
              </w:rPr>
            </w:pPr>
            <w:r w:rsidRPr="00194B5B">
              <w:rPr>
                <w:sz w:val="20"/>
                <w:szCs w:val="20"/>
              </w:rPr>
              <w:t>10,000</w:t>
            </w:r>
          </w:p>
        </w:tc>
      </w:tr>
      <w:tr w:rsidR="00E953C6" w:rsidRPr="00086111" w14:paraId="5B24C2B1" w14:textId="77777777" w:rsidTr="004157FD">
        <w:tc>
          <w:tcPr>
            <w:tcW w:w="1818" w:type="dxa"/>
            <w:tcBorders>
              <w:top w:val="double" w:sz="4" w:space="0" w:color="auto"/>
            </w:tcBorders>
            <w:vAlign w:val="center"/>
          </w:tcPr>
          <w:p w14:paraId="3B9322DB" w14:textId="2CB5DBE0" w:rsidR="0081517B" w:rsidRPr="00194B5B" w:rsidRDefault="00D41564" w:rsidP="006515CB">
            <w:pPr>
              <w:spacing w:before="60" w:after="60"/>
              <w:jc w:val="center"/>
              <w:rPr>
                <w:sz w:val="20"/>
                <w:szCs w:val="20"/>
              </w:rPr>
            </w:pPr>
            <w:r>
              <w:t>total</w:t>
            </w:r>
            <w:r w:rsidR="004157FD">
              <w:t>-power</w:t>
            </w:r>
            <w:r w:rsidR="0081517B" w:rsidRPr="00194B5B">
              <w:rPr>
                <w:sz w:val="20"/>
                <w:szCs w:val="20"/>
              </w:rPr>
              <w:t xml:space="preserve"> PDP</w:t>
            </w:r>
          </w:p>
        </w:tc>
        <w:tc>
          <w:tcPr>
            <w:tcW w:w="1575" w:type="dxa"/>
            <w:tcBorders>
              <w:top w:val="double" w:sz="4" w:space="0" w:color="auto"/>
              <w:bottom w:val="single" w:sz="4" w:space="0" w:color="auto"/>
            </w:tcBorders>
            <w:vAlign w:val="center"/>
          </w:tcPr>
          <w:p w14:paraId="05DA758F" w14:textId="6DA6A767" w:rsidR="0081517B" w:rsidRPr="00194B5B" w:rsidRDefault="0081517B" w:rsidP="006515CB">
            <w:pPr>
              <w:spacing w:before="60" w:after="60"/>
              <w:jc w:val="center"/>
              <w:rPr>
                <w:sz w:val="20"/>
                <w:szCs w:val="20"/>
              </w:rPr>
            </w:pPr>
            <w:r w:rsidRPr="00194B5B">
              <w:rPr>
                <w:sz w:val="20"/>
                <w:szCs w:val="20"/>
              </w:rPr>
              <w:t>0.36 M</w:t>
            </w:r>
          </w:p>
        </w:tc>
        <w:tc>
          <w:tcPr>
            <w:tcW w:w="1642" w:type="dxa"/>
            <w:tcBorders>
              <w:top w:val="double" w:sz="4" w:space="0" w:color="auto"/>
              <w:bottom w:val="single" w:sz="4" w:space="0" w:color="auto"/>
            </w:tcBorders>
            <w:vAlign w:val="center"/>
          </w:tcPr>
          <w:p w14:paraId="28DCA845" w14:textId="63963FDB" w:rsidR="0081517B" w:rsidRPr="00194B5B" w:rsidRDefault="0081517B" w:rsidP="006515CB">
            <w:pPr>
              <w:spacing w:before="60" w:after="60"/>
              <w:jc w:val="center"/>
              <w:rPr>
                <w:sz w:val="20"/>
                <w:szCs w:val="20"/>
              </w:rPr>
            </w:pPr>
            <w:r w:rsidRPr="00194B5B">
              <w:rPr>
                <w:sz w:val="20"/>
                <w:szCs w:val="20"/>
              </w:rPr>
              <w:t>9 M</w:t>
            </w:r>
          </w:p>
        </w:tc>
        <w:tc>
          <w:tcPr>
            <w:tcW w:w="1188" w:type="dxa"/>
            <w:tcBorders>
              <w:top w:val="double" w:sz="4" w:space="0" w:color="auto"/>
              <w:bottom w:val="single" w:sz="4" w:space="0" w:color="auto"/>
            </w:tcBorders>
            <w:vAlign w:val="center"/>
          </w:tcPr>
          <w:p w14:paraId="3430372F" w14:textId="16AC0476" w:rsidR="0081517B" w:rsidRPr="00194B5B" w:rsidRDefault="0081517B" w:rsidP="006515CB">
            <w:pPr>
              <w:spacing w:before="60" w:after="60"/>
              <w:jc w:val="center"/>
              <w:rPr>
                <w:sz w:val="20"/>
                <w:szCs w:val="20"/>
              </w:rPr>
            </w:pPr>
            <w:r w:rsidRPr="00194B5B">
              <w:rPr>
                <w:sz w:val="20"/>
                <w:szCs w:val="20"/>
              </w:rPr>
              <w:t>0.4</w:t>
            </w:r>
            <w:r w:rsidR="00431044">
              <w:rPr>
                <w:sz w:val="20"/>
                <w:szCs w:val="20"/>
              </w:rPr>
              <w:t>3</w:t>
            </w:r>
          </w:p>
        </w:tc>
        <w:tc>
          <w:tcPr>
            <w:tcW w:w="1188" w:type="dxa"/>
            <w:tcBorders>
              <w:top w:val="double" w:sz="4" w:space="0" w:color="auto"/>
              <w:bottom w:val="single" w:sz="4" w:space="0" w:color="auto"/>
            </w:tcBorders>
            <w:vAlign w:val="center"/>
          </w:tcPr>
          <w:p w14:paraId="38C1D0EE" w14:textId="7F225053" w:rsidR="0081517B" w:rsidRPr="00194B5B" w:rsidRDefault="0081517B" w:rsidP="006515CB">
            <w:pPr>
              <w:spacing w:before="60" w:after="60"/>
              <w:jc w:val="center"/>
              <w:rPr>
                <w:sz w:val="20"/>
                <w:szCs w:val="20"/>
              </w:rPr>
            </w:pPr>
            <w:r w:rsidRPr="00194B5B">
              <w:rPr>
                <w:sz w:val="20"/>
                <w:szCs w:val="20"/>
              </w:rPr>
              <w:t>0.51</w:t>
            </w:r>
          </w:p>
        </w:tc>
        <w:tc>
          <w:tcPr>
            <w:tcW w:w="1188" w:type="dxa"/>
            <w:tcBorders>
              <w:top w:val="double" w:sz="4" w:space="0" w:color="auto"/>
              <w:bottom w:val="single" w:sz="4" w:space="0" w:color="auto"/>
            </w:tcBorders>
            <w:vAlign w:val="center"/>
          </w:tcPr>
          <w:p w14:paraId="7E78FF8B" w14:textId="627075F0" w:rsidR="0081517B" w:rsidRPr="00194B5B" w:rsidRDefault="0081517B" w:rsidP="006515CB">
            <w:pPr>
              <w:spacing w:before="60" w:after="60"/>
              <w:jc w:val="center"/>
              <w:rPr>
                <w:sz w:val="20"/>
                <w:szCs w:val="20"/>
              </w:rPr>
            </w:pPr>
            <w:r w:rsidRPr="00194B5B">
              <w:rPr>
                <w:sz w:val="20"/>
                <w:szCs w:val="20"/>
              </w:rPr>
              <w:t>0.66</w:t>
            </w:r>
          </w:p>
        </w:tc>
        <w:tc>
          <w:tcPr>
            <w:tcW w:w="1188" w:type="dxa"/>
            <w:tcBorders>
              <w:top w:val="double" w:sz="4" w:space="0" w:color="auto"/>
              <w:bottom w:val="single" w:sz="4" w:space="0" w:color="auto"/>
            </w:tcBorders>
            <w:vAlign w:val="center"/>
          </w:tcPr>
          <w:p w14:paraId="02F06379" w14:textId="27194942" w:rsidR="0081517B" w:rsidRPr="00194B5B" w:rsidRDefault="0081517B" w:rsidP="006515CB">
            <w:pPr>
              <w:spacing w:before="60" w:after="60"/>
              <w:jc w:val="center"/>
              <w:rPr>
                <w:sz w:val="20"/>
                <w:szCs w:val="20"/>
              </w:rPr>
            </w:pPr>
            <w:r w:rsidRPr="00194B5B">
              <w:rPr>
                <w:sz w:val="20"/>
                <w:szCs w:val="20"/>
              </w:rPr>
              <w:t>0.86</w:t>
            </w:r>
          </w:p>
        </w:tc>
      </w:tr>
      <w:tr w:rsidR="00331C98" w:rsidRPr="00086111" w14:paraId="29AB9877" w14:textId="77777777" w:rsidTr="004157FD">
        <w:tc>
          <w:tcPr>
            <w:tcW w:w="1818" w:type="dxa"/>
            <w:tcBorders>
              <w:bottom w:val="single" w:sz="4" w:space="0" w:color="auto"/>
            </w:tcBorders>
            <w:vAlign w:val="center"/>
          </w:tcPr>
          <w:p w14:paraId="2C4DE0D0" w14:textId="2A4E9131" w:rsidR="0081517B" w:rsidRPr="00194B5B" w:rsidRDefault="0081517B" w:rsidP="006515CB">
            <w:pPr>
              <w:spacing w:before="60" w:after="60"/>
              <w:jc w:val="center"/>
              <w:rPr>
                <w:sz w:val="20"/>
                <w:szCs w:val="20"/>
              </w:rPr>
            </w:pPr>
            <w:r w:rsidRPr="00194B5B">
              <w:rPr>
                <w:sz w:val="20"/>
                <w:szCs w:val="20"/>
              </w:rPr>
              <w:t>2-port PDP</w:t>
            </w:r>
          </w:p>
        </w:tc>
        <w:tc>
          <w:tcPr>
            <w:tcW w:w="1575" w:type="dxa"/>
            <w:tcBorders>
              <w:bottom w:val="single" w:sz="4" w:space="0" w:color="auto"/>
            </w:tcBorders>
            <w:vAlign w:val="center"/>
          </w:tcPr>
          <w:p w14:paraId="67CAAFB4" w14:textId="5FC77E8B" w:rsidR="0081517B" w:rsidRPr="00194B5B" w:rsidRDefault="0081517B" w:rsidP="006515CB">
            <w:pPr>
              <w:spacing w:before="60" w:after="60"/>
              <w:jc w:val="center"/>
              <w:rPr>
                <w:sz w:val="20"/>
                <w:szCs w:val="20"/>
              </w:rPr>
            </w:pPr>
            <w:r w:rsidRPr="00194B5B">
              <w:rPr>
                <w:sz w:val="20"/>
                <w:szCs w:val="20"/>
              </w:rPr>
              <w:t>0.37 M</w:t>
            </w:r>
          </w:p>
        </w:tc>
        <w:tc>
          <w:tcPr>
            <w:tcW w:w="1642" w:type="dxa"/>
            <w:tcBorders>
              <w:bottom w:val="single" w:sz="4" w:space="0" w:color="auto"/>
            </w:tcBorders>
            <w:vAlign w:val="center"/>
          </w:tcPr>
          <w:p w14:paraId="65C37CC8" w14:textId="77ABCC8D" w:rsidR="0081517B" w:rsidRPr="00194B5B" w:rsidRDefault="0081517B" w:rsidP="006515CB">
            <w:pPr>
              <w:spacing w:before="60" w:after="60"/>
              <w:jc w:val="center"/>
              <w:rPr>
                <w:sz w:val="20"/>
                <w:szCs w:val="20"/>
              </w:rPr>
            </w:pPr>
            <w:r w:rsidRPr="00194B5B">
              <w:rPr>
                <w:sz w:val="20"/>
                <w:szCs w:val="20"/>
              </w:rPr>
              <w:t>11 M</w:t>
            </w:r>
          </w:p>
        </w:tc>
        <w:tc>
          <w:tcPr>
            <w:tcW w:w="1188" w:type="dxa"/>
            <w:tcBorders>
              <w:bottom w:val="single" w:sz="4" w:space="0" w:color="auto"/>
            </w:tcBorders>
            <w:vAlign w:val="center"/>
          </w:tcPr>
          <w:p w14:paraId="1796F02E" w14:textId="6033E2B4" w:rsidR="0081517B" w:rsidRPr="00194B5B" w:rsidRDefault="0081517B" w:rsidP="006515CB">
            <w:pPr>
              <w:spacing w:before="60" w:after="60"/>
              <w:jc w:val="center"/>
              <w:rPr>
                <w:sz w:val="20"/>
                <w:szCs w:val="20"/>
              </w:rPr>
            </w:pPr>
            <w:r w:rsidRPr="00194B5B">
              <w:rPr>
                <w:sz w:val="20"/>
                <w:szCs w:val="20"/>
              </w:rPr>
              <w:t>0.40</w:t>
            </w:r>
          </w:p>
        </w:tc>
        <w:tc>
          <w:tcPr>
            <w:tcW w:w="1188" w:type="dxa"/>
            <w:tcBorders>
              <w:bottom w:val="single" w:sz="4" w:space="0" w:color="auto"/>
            </w:tcBorders>
            <w:vAlign w:val="center"/>
          </w:tcPr>
          <w:p w14:paraId="1488E14A" w14:textId="307B240A" w:rsidR="0081517B" w:rsidRPr="00194B5B" w:rsidRDefault="0081517B" w:rsidP="006515CB">
            <w:pPr>
              <w:spacing w:before="60" w:after="60"/>
              <w:jc w:val="center"/>
              <w:rPr>
                <w:sz w:val="20"/>
                <w:szCs w:val="20"/>
              </w:rPr>
            </w:pPr>
            <w:r w:rsidRPr="00194B5B">
              <w:rPr>
                <w:sz w:val="20"/>
                <w:szCs w:val="20"/>
              </w:rPr>
              <w:t>0.50</w:t>
            </w:r>
          </w:p>
        </w:tc>
        <w:tc>
          <w:tcPr>
            <w:tcW w:w="1188" w:type="dxa"/>
            <w:tcBorders>
              <w:bottom w:val="single" w:sz="4" w:space="0" w:color="auto"/>
            </w:tcBorders>
            <w:vAlign w:val="center"/>
          </w:tcPr>
          <w:p w14:paraId="62379FC9" w14:textId="0F6966B6" w:rsidR="0081517B" w:rsidRPr="00194B5B" w:rsidRDefault="0081517B" w:rsidP="006515CB">
            <w:pPr>
              <w:spacing w:before="60" w:after="60"/>
              <w:jc w:val="center"/>
              <w:rPr>
                <w:sz w:val="20"/>
                <w:szCs w:val="20"/>
              </w:rPr>
            </w:pPr>
            <w:r w:rsidRPr="00194B5B">
              <w:rPr>
                <w:sz w:val="20"/>
                <w:szCs w:val="20"/>
              </w:rPr>
              <w:t>0.64</w:t>
            </w:r>
          </w:p>
        </w:tc>
        <w:tc>
          <w:tcPr>
            <w:tcW w:w="1188" w:type="dxa"/>
            <w:tcBorders>
              <w:bottom w:val="single" w:sz="4" w:space="0" w:color="auto"/>
            </w:tcBorders>
            <w:vAlign w:val="center"/>
          </w:tcPr>
          <w:p w14:paraId="0AF9BBF0" w14:textId="695CC5B3" w:rsidR="0081517B" w:rsidRPr="00194B5B" w:rsidRDefault="0081517B" w:rsidP="006515CB">
            <w:pPr>
              <w:spacing w:before="60" w:after="60"/>
              <w:jc w:val="center"/>
              <w:rPr>
                <w:sz w:val="20"/>
                <w:szCs w:val="20"/>
              </w:rPr>
            </w:pPr>
            <w:r w:rsidRPr="00194B5B">
              <w:rPr>
                <w:sz w:val="20"/>
                <w:szCs w:val="20"/>
              </w:rPr>
              <w:t>0.83</w:t>
            </w:r>
          </w:p>
        </w:tc>
      </w:tr>
      <w:tr w:rsidR="0056312F" w:rsidRPr="00086111" w14:paraId="11D37ED5" w14:textId="77777777" w:rsidTr="004157FD">
        <w:tc>
          <w:tcPr>
            <w:tcW w:w="1818" w:type="dxa"/>
          </w:tcPr>
          <w:p w14:paraId="31240747" w14:textId="23D175B0" w:rsidR="0056312F" w:rsidRPr="00194B5B" w:rsidRDefault="0056312F">
            <w:pPr>
              <w:spacing w:before="60" w:after="60"/>
              <w:jc w:val="center"/>
              <w:rPr>
                <w:sz w:val="20"/>
                <w:szCs w:val="20"/>
              </w:rPr>
            </w:pPr>
            <w:r w:rsidRPr="00194B5B">
              <w:rPr>
                <w:sz w:val="20"/>
                <w:szCs w:val="20"/>
              </w:rPr>
              <w:t>1-port PDP</w:t>
            </w:r>
          </w:p>
        </w:tc>
        <w:tc>
          <w:tcPr>
            <w:tcW w:w="1575" w:type="dxa"/>
          </w:tcPr>
          <w:p w14:paraId="4E380808" w14:textId="05842028" w:rsidR="0056312F" w:rsidRPr="00194B5B" w:rsidRDefault="0056312F">
            <w:pPr>
              <w:spacing w:before="60" w:after="60"/>
              <w:jc w:val="center"/>
              <w:rPr>
                <w:sz w:val="20"/>
                <w:szCs w:val="20"/>
              </w:rPr>
            </w:pPr>
            <w:r w:rsidRPr="00194B5B">
              <w:rPr>
                <w:sz w:val="20"/>
                <w:szCs w:val="20"/>
              </w:rPr>
              <w:t>0.3</w:t>
            </w:r>
            <w:r w:rsidR="00BA765D" w:rsidRPr="00194B5B">
              <w:rPr>
                <w:sz w:val="20"/>
                <w:szCs w:val="20"/>
              </w:rPr>
              <w:t>6</w:t>
            </w:r>
            <w:r w:rsidRPr="00194B5B">
              <w:rPr>
                <w:sz w:val="20"/>
                <w:szCs w:val="20"/>
              </w:rPr>
              <w:t xml:space="preserve"> M</w:t>
            </w:r>
          </w:p>
        </w:tc>
        <w:tc>
          <w:tcPr>
            <w:tcW w:w="1642" w:type="dxa"/>
          </w:tcPr>
          <w:p w14:paraId="5699018F" w14:textId="6740B94D" w:rsidR="0056312F" w:rsidRPr="00194B5B" w:rsidRDefault="00712D97">
            <w:pPr>
              <w:spacing w:before="60" w:after="60"/>
              <w:jc w:val="center"/>
              <w:rPr>
                <w:sz w:val="20"/>
                <w:szCs w:val="20"/>
              </w:rPr>
            </w:pPr>
            <w:r w:rsidRPr="00194B5B">
              <w:rPr>
                <w:sz w:val="20"/>
                <w:szCs w:val="20"/>
              </w:rPr>
              <w:t>9</w:t>
            </w:r>
            <w:r w:rsidR="0056312F" w:rsidRPr="00194B5B">
              <w:rPr>
                <w:sz w:val="20"/>
                <w:szCs w:val="20"/>
              </w:rPr>
              <w:t xml:space="preserve"> M</w:t>
            </w:r>
          </w:p>
        </w:tc>
        <w:tc>
          <w:tcPr>
            <w:tcW w:w="1188" w:type="dxa"/>
          </w:tcPr>
          <w:p w14:paraId="46DD9EF2" w14:textId="418D0A4D" w:rsidR="0056312F" w:rsidRPr="00194B5B" w:rsidRDefault="00CE5648">
            <w:pPr>
              <w:spacing w:before="60" w:after="60"/>
              <w:jc w:val="center"/>
              <w:rPr>
                <w:sz w:val="20"/>
                <w:szCs w:val="20"/>
              </w:rPr>
            </w:pPr>
            <w:r w:rsidRPr="00194B5B">
              <w:rPr>
                <w:sz w:val="20"/>
                <w:szCs w:val="20"/>
              </w:rPr>
              <w:t>0.47</w:t>
            </w:r>
          </w:p>
        </w:tc>
        <w:tc>
          <w:tcPr>
            <w:tcW w:w="1188" w:type="dxa"/>
          </w:tcPr>
          <w:p w14:paraId="3F277524" w14:textId="028E846E" w:rsidR="0056312F" w:rsidRPr="00194B5B" w:rsidRDefault="003B1D57">
            <w:pPr>
              <w:spacing w:before="60" w:after="60"/>
              <w:jc w:val="center"/>
              <w:rPr>
                <w:sz w:val="20"/>
                <w:szCs w:val="20"/>
              </w:rPr>
            </w:pPr>
            <w:r w:rsidRPr="00194B5B">
              <w:rPr>
                <w:sz w:val="20"/>
                <w:szCs w:val="20"/>
              </w:rPr>
              <w:t>0.5</w:t>
            </w:r>
            <w:r w:rsidR="00431044">
              <w:rPr>
                <w:sz w:val="20"/>
                <w:szCs w:val="20"/>
              </w:rPr>
              <w:t>8</w:t>
            </w:r>
          </w:p>
        </w:tc>
        <w:tc>
          <w:tcPr>
            <w:tcW w:w="1188" w:type="dxa"/>
          </w:tcPr>
          <w:p w14:paraId="67C5CE00" w14:textId="59960485" w:rsidR="0056312F" w:rsidRPr="00194B5B" w:rsidRDefault="00605884">
            <w:pPr>
              <w:spacing w:before="60" w:after="60"/>
              <w:jc w:val="center"/>
              <w:rPr>
                <w:sz w:val="20"/>
                <w:szCs w:val="20"/>
              </w:rPr>
            </w:pPr>
            <w:r w:rsidRPr="00194B5B">
              <w:rPr>
                <w:sz w:val="20"/>
                <w:szCs w:val="20"/>
              </w:rPr>
              <w:t>0.76</w:t>
            </w:r>
          </w:p>
        </w:tc>
        <w:tc>
          <w:tcPr>
            <w:tcW w:w="1188" w:type="dxa"/>
          </w:tcPr>
          <w:p w14:paraId="2A7CD3BB" w14:textId="6B384931" w:rsidR="0056312F" w:rsidRPr="00194B5B" w:rsidRDefault="00605884">
            <w:pPr>
              <w:spacing w:before="60" w:after="60"/>
              <w:jc w:val="center"/>
              <w:rPr>
                <w:sz w:val="20"/>
                <w:szCs w:val="20"/>
              </w:rPr>
            </w:pPr>
            <w:r w:rsidRPr="00194B5B">
              <w:rPr>
                <w:sz w:val="20"/>
                <w:szCs w:val="20"/>
              </w:rPr>
              <w:t>1.04</w:t>
            </w:r>
          </w:p>
        </w:tc>
      </w:tr>
    </w:tbl>
    <w:p w14:paraId="7F6A4213" w14:textId="77777777" w:rsidR="00FD772C" w:rsidRDefault="00FD772C" w:rsidP="006F6085"/>
    <w:p w14:paraId="77DBFFD1" w14:textId="4F4CD57B" w:rsidR="00B956E2" w:rsidRDefault="00224791" w:rsidP="006F6085">
      <w:r>
        <w:t xml:space="preserve">It can be concluded that </w:t>
      </w:r>
      <w:r w:rsidR="00B62A39">
        <w:t xml:space="preserve">the performance gains of using multi-port PDP </w:t>
      </w:r>
      <w:r w:rsidR="00EE49C3">
        <w:t>do not justify the multiple increases in signaling sizes</w:t>
      </w:r>
      <w:r w:rsidR="00642536">
        <w:t>; and 1-port PDP discards useful information unnecessarily</w:t>
      </w:r>
      <w:r w:rsidR="00EE49C3">
        <w:t xml:space="preserve">. </w:t>
      </w:r>
      <w:r w:rsidR="00DC2677">
        <w:t>T</w:t>
      </w:r>
      <w:r w:rsidR="00D11707">
        <w:t xml:space="preserve">herefore, Rel-19 </w:t>
      </w:r>
      <w:r w:rsidR="00A03ED0">
        <w:t xml:space="preserve">PDP reports should be based on </w:t>
      </w:r>
      <w:r w:rsidR="00936A15">
        <w:t>PDP samples containing sample powers from all antenna ports.</w:t>
      </w:r>
    </w:p>
    <w:p w14:paraId="5F9FDBA9" w14:textId="39298553" w:rsidR="005A3E0A" w:rsidRDefault="00936A15" w:rsidP="00AE7A2F">
      <w:r>
        <w:t xml:space="preserve">Furthermore, the nonzero </w:t>
      </w:r>
      <w:r w:rsidR="003026AA">
        <w:t xml:space="preserve">value positions of the </w:t>
      </w:r>
      <w:r>
        <w:t>DP report</w:t>
      </w:r>
      <w:r w:rsidR="003026AA">
        <w:t xml:space="preserve"> type</w:t>
      </w:r>
      <w:r>
        <w:t xml:space="preserve"> should be </w:t>
      </w:r>
      <w:r w:rsidR="003026AA">
        <w:t xml:space="preserve">determined based on PDP samples containing sample powers </w:t>
      </w:r>
      <w:r w:rsidR="001C463D" w:rsidRPr="00E215F0">
        <w:t xml:space="preserve">summed </w:t>
      </w:r>
      <w:r w:rsidR="003026AA">
        <w:t>from all</w:t>
      </w:r>
      <w:r w:rsidR="003026AA" w:rsidRPr="00E215F0">
        <w:t xml:space="preserve"> </w:t>
      </w:r>
      <w:r w:rsidR="00B026B0">
        <w:t>RX</w:t>
      </w:r>
      <w:r w:rsidR="003026AA">
        <w:t xml:space="preserve"> antenna ports.</w:t>
      </w:r>
      <w:r w:rsidR="00AE7A2F">
        <w:t xml:space="preserve"> </w:t>
      </w:r>
    </w:p>
    <w:p w14:paraId="1E873631" w14:textId="29A855D9" w:rsidR="009444A3" w:rsidRDefault="009444A3" w:rsidP="00AE7A2F">
      <w:r>
        <w:t>Additionally, if 1-port is used, there exists the inconsistency issue between training and inference. That is, since it is up to implementation to select the receiver branch(es) in the existing definition of PRS-RSRPP and SRS-RSRPP, the UEs in training data collection and the UEs in inference are likely to use different receiver branch(es). This inconsistency issue does not exist if total-power is used instead.</w:t>
      </w:r>
    </w:p>
    <w:p w14:paraId="69C1332F" w14:textId="0C4A9F17" w:rsidR="009444A3" w:rsidRDefault="009444A3" w:rsidP="00AE7A2F">
      <w:r>
        <w:t xml:space="preserve">For the existing SRS-RSRPP definition, the receiver branch(es) to select is based on the first path, see the red-highlighted phrase below. If this is extended straightforwardly to sample-based measurement, then the receiver branch(es) to select is based on the first path for path-based </w:t>
      </w:r>
      <w:proofErr w:type="gramStart"/>
      <w:r>
        <w:t>measurement, and</w:t>
      </w:r>
      <w:proofErr w:type="gramEnd"/>
      <w:r>
        <w:t xml:space="preserve"> based on the first sample for sample-based measurement. However, for AI/ML fingerprinting, which is expected to be deployed in heavy NLOS environment, the first path or the first sample is expected to be weak and noisy, thus unreliable for selecting the strongest receiver branch. If using total-power, there is no need to select receiver branch(es), thus avoiding this issue. </w:t>
      </w:r>
      <w:r w:rsidR="00AC2E40">
        <w:t xml:space="preserve">Furthermore, using total-power avoids any need to specify that the measurements for additional paths/samples are </w:t>
      </w:r>
      <w:r w:rsidR="00AC2E40" w:rsidRPr="00AC2E40">
        <w:t>provided for the same receiver branch(es)</w:t>
      </w:r>
      <w:r w:rsidR="00AC2E40">
        <w:t xml:space="preserve"> as the first path/sample measurement (see blue-highlighted text below).</w:t>
      </w:r>
    </w:p>
    <w:p w14:paraId="7BA4FD08" w14:textId="765F0119" w:rsidR="005B78DB" w:rsidRPr="00E215F0" w:rsidRDefault="005B78DB" w:rsidP="006F6085">
      <w:r>
        <w:t>Accordingly, definition of DP and PDP measurements in 38.215 should be made according to the above for AI/ML positioning.</w:t>
      </w:r>
    </w:p>
    <w:p w14:paraId="2E583AD2" w14:textId="07A444D0" w:rsidR="00A56169" w:rsidRPr="00E215F0" w:rsidRDefault="00AC2E40" w:rsidP="006F6085">
      <w:pPr>
        <w:pStyle w:val="Proposal"/>
      </w:pPr>
      <w:bookmarkStart w:id="1445" w:name="_Toc189845111"/>
      <w:r>
        <w:t>Regarding PDP f</w:t>
      </w:r>
      <w:r w:rsidR="009656E9" w:rsidRPr="00E215F0">
        <w:t>or</w:t>
      </w:r>
      <w:r w:rsidR="00956D0A" w:rsidRPr="00E215F0">
        <w:t xml:space="preserve"> model input</w:t>
      </w:r>
      <w:r w:rsidR="004470A6" w:rsidRPr="00E215F0">
        <w:t xml:space="preserve">, </w:t>
      </w:r>
      <w:r w:rsidR="009444A3">
        <w:t>update the DL PRS-RSRPP and UL SRS-RSPP definitions where the</w:t>
      </w:r>
      <w:r w:rsidR="00956D0A" w:rsidRPr="00E215F0">
        <w:t xml:space="preserve"> </w:t>
      </w:r>
      <w:r w:rsidR="009444A3">
        <w:t>path or</w:t>
      </w:r>
      <w:r w:rsidR="00956D0A" w:rsidRPr="00E215F0">
        <w:t xml:space="preserve"> sample powers </w:t>
      </w:r>
      <w:r w:rsidR="009444A3">
        <w:t xml:space="preserve">are </w:t>
      </w:r>
      <w:r w:rsidR="00956D0A" w:rsidRPr="00E215F0">
        <w:t xml:space="preserve">summed </w:t>
      </w:r>
      <w:r w:rsidR="00B73C94">
        <w:t>over</w:t>
      </w:r>
      <w:r w:rsidR="00956D0A" w:rsidRPr="00E215F0">
        <w:t xml:space="preserve"> all </w:t>
      </w:r>
      <w:r w:rsidR="00B73C94">
        <w:t xml:space="preserve">receive </w:t>
      </w:r>
      <w:r w:rsidR="00956D0A" w:rsidRPr="00E215F0">
        <w:t>antenna ports</w:t>
      </w:r>
      <w:r w:rsidR="00B47DE2">
        <w:t xml:space="preserve">, i.e., </w:t>
      </w:r>
      <w:r>
        <w:t xml:space="preserve">using </w:t>
      </w:r>
      <w:r w:rsidR="00B47DE2">
        <w:t>total-power PDP</w:t>
      </w:r>
      <w:r w:rsidR="00956D0A" w:rsidRPr="00E215F0">
        <w:t>.</w:t>
      </w:r>
      <w:bookmarkEnd w:id="1445"/>
    </w:p>
    <w:p w14:paraId="0075DB32" w14:textId="77777777" w:rsidR="003E3CA0" w:rsidRDefault="003E3CA0" w:rsidP="00397642">
      <w:pPr>
        <w:rPr>
          <w:lang w:eastAsia="en-GB"/>
        </w:rPr>
      </w:pPr>
      <w:bookmarkStart w:id="1446" w:name="_Toc163127624"/>
      <w:bookmarkStart w:id="1447" w:name="_Toc163128488"/>
      <w:bookmarkStart w:id="1448" w:name="_Toc163133008"/>
      <w:bookmarkStart w:id="1449" w:name="_Toc163145184"/>
      <w:bookmarkStart w:id="1450" w:name="_Toc163145413"/>
      <w:bookmarkStart w:id="1451" w:name="_Toc163147958"/>
      <w:bookmarkEnd w:id="1446"/>
      <w:bookmarkEnd w:id="1447"/>
      <w:bookmarkEnd w:id="1448"/>
      <w:bookmarkEnd w:id="1449"/>
      <w:bookmarkEnd w:id="1450"/>
      <w:bookmarkEnd w:id="1451"/>
    </w:p>
    <w:p w14:paraId="43C11175" w14:textId="68F13F3E" w:rsidR="00033023" w:rsidRPr="008A4D96" w:rsidRDefault="009444A3" w:rsidP="00397642">
      <w:pPr>
        <w:rPr>
          <w:b/>
          <w:bCs/>
          <w:u w:val="single"/>
          <w:lang w:eastAsia="en-GB"/>
        </w:rPr>
      </w:pPr>
      <w:r>
        <w:rPr>
          <w:b/>
          <w:bCs/>
          <w:u w:val="single"/>
          <w:lang w:eastAsia="en-GB"/>
        </w:rPr>
        <w:t xml:space="preserve">Existing definitions in </w:t>
      </w:r>
      <w:r w:rsidR="00033023" w:rsidRPr="008A4D96">
        <w:rPr>
          <w:b/>
          <w:bCs/>
          <w:u w:val="single"/>
          <w:lang w:eastAsia="en-GB"/>
        </w:rPr>
        <w:t>38.215:</w:t>
      </w:r>
    </w:p>
    <w:p w14:paraId="2C451FCB" w14:textId="1816FE7F" w:rsidR="003E3CA0" w:rsidRPr="00450BE9" w:rsidRDefault="003E3CA0" w:rsidP="008A4D96">
      <w:bookmarkStart w:id="1452" w:name="_Toc161687946"/>
      <w:r>
        <w:lastRenderedPageBreak/>
        <w:t>5.1.35</w:t>
      </w:r>
      <w:r>
        <w:tab/>
        <w:t>DL PRS reference signal received path power (DL PRS-RSRPP)</w:t>
      </w:r>
      <w:bookmarkEnd w:id="1452"/>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E3CA0" w:rsidRPr="003E3CA0" w14:paraId="36AAC126" w14:textId="77777777" w:rsidTr="00E445F4">
        <w:trPr>
          <w:cantSplit/>
          <w:jc w:val="center"/>
        </w:trPr>
        <w:tc>
          <w:tcPr>
            <w:tcW w:w="1951" w:type="dxa"/>
          </w:tcPr>
          <w:p w14:paraId="72E17301" w14:textId="77777777" w:rsidR="003E3CA0" w:rsidRPr="008A4D96" w:rsidRDefault="003E3CA0" w:rsidP="008A4D96">
            <w:pPr>
              <w:pStyle w:val="TAL"/>
              <w:spacing w:after="0"/>
              <w:rPr>
                <w:rFonts w:ascii="Arial" w:hAnsi="Arial" w:cs="Arial"/>
                <w:b/>
                <w:sz w:val="16"/>
                <w:szCs w:val="16"/>
              </w:rPr>
            </w:pPr>
            <w:r w:rsidRPr="008A4D96">
              <w:rPr>
                <w:rFonts w:ascii="Arial" w:hAnsi="Arial" w:cs="Arial"/>
                <w:b/>
                <w:sz w:val="16"/>
                <w:szCs w:val="16"/>
              </w:rPr>
              <w:t>Definition</w:t>
            </w:r>
          </w:p>
        </w:tc>
        <w:tc>
          <w:tcPr>
            <w:tcW w:w="7787" w:type="dxa"/>
          </w:tcPr>
          <w:p w14:paraId="4E05D969" w14:textId="77777777" w:rsidR="003E3CA0" w:rsidRPr="008A4D96" w:rsidRDefault="003E3CA0" w:rsidP="00033023">
            <w:pPr>
              <w:spacing w:after="0"/>
              <w:rPr>
                <w:rFonts w:ascii="Arial" w:hAnsi="Arial" w:cs="Arial"/>
                <w:sz w:val="16"/>
                <w:szCs w:val="16"/>
                <w:lang w:eastAsia="x-none"/>
              </w:rPr>
            </w:pPr>
            <w:r w:rsidRPr="008A4D96">
              <w:rPr>
                <w:rFonts w:ascii="Arial" w:hAnsi="Arial" w:cs="Arial"/>
                <w:sz w:val="16"/>
                <w:szCs w:val="16"/>
                <w:lang w:eastAsia="x-none"/>
              </w:rPr>
              <w:t xml:space="preserve">DL PRS reference signal received path power (DL PRS-RSRPP), is defined as the power of the linear average of the channel response at the </w:t>
            </w:r>
            <w:proofErr w:type="spellStart"/>
            <w:r w:rsidRPr="008A4D96">
              <w:rPr>
                <w:rFonts w:ascii="Arial" w:hAnsi="Arial" w:cs="Arial"/>
                <w:sz w:val="16"/>
                <w:szCs w:val="16"/>
                <w:lang w:eastAsia="x-none"/>
              </w:rPr>
              <w:t>i-th</w:t>
            </w:r>
            <w:proofErr w:type="spellEnd"/>
            <w:r w:rsidRPr="008A4D96">
              <w:rPr>
                <w:rFonts w:ascii="Arial" w:hAnsi="Arial" w:cs="Arial"/>
                <w:sz w:val="16"/>
                <w:szCs w:val="16"/>
                <w:lang w:eastAsia="x-none"/>
              </w:rPr>
              <w:t xml:space="preserve"> path delay of the resource elements that carry DL PRS signal configured for the measurement, where DL PRS-RSRPP for the 1st path delay is the power contribution corresponding to the first detected path in time.</w:t>
            </w:r>
          </w:p>
          <w:p w14:paraId="51726849" w14:textId="77777777" w:rsidR="003E3CA0" w:rsidRPr="008A4D96" w:rsidRDefault="003E3CA0" w:rsidP="008A4D96">
            <w:pPr>
              <w:pStyle w:val="TAL"/>
              <w:spacing w:after="0"/>
              <w:rPr>
                <w:rFonts w:ascii="Arial" w:hAnsi="Arial" w:cs="Arial"/>
                <w:sz w:val="16"/>
                <w:szCs w:val="16"/>
              </w:rPr>
            </w:pPr>
          </w:p>
          <w:p w14:paraId="2D179BE0"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For frequency range 1, the reference point for the DL PRS-RSRPP shall be the antenna connector of the UE. For frequency range 2, DL PRS-RSRPP shall be measured based on the combined signal from antenna elements corresponding to a given receiver branch.</w:t>
            </w:r>
          </w:p>
          <w:p w14:paraId="7DC3B4AA" w14:textId="77777777" w:rsidR="003E3CA0" w:rsidRPr="008A4D96" w:rsidRDefault="003E3CA0" w:rsidP="008A4D96">
            <w:pPr>
              <w:pStyle w:val="TAL"/>
              <w:spacing w:after="0"/>
              <w:rPr>
                <w:rFonts w:ascii="Arial" w:hAnsi="Arial" w:cs="Arial"/>
                <w:sz w:val="16"/>
                <w:szCs w:val="16"/>
              </w:rPr>
            </w:pPr>
          </w:p>
          <w:p w14:paraId="57F6EB39"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 xml:space="preserve">For frequency range 1 and 2, if receiver diversity is in use by the UE for DL PRS-RSRPP measurements, </w:t>
            </w:r>
            <w:r w:rsidRPr="008A4D96">
              <w:rPr>
                <w:rFonts w:ascii="Arial" w:eastAsia="SimSun" w:hAnsi="Arial" w:cs="Arial"/>
                <w:sz w:val="16"/>
                <w:szCs w:val="16"/>
                <w:lang w:eastAsia="zh-CN"/>
              </w:rPr>
              <w:t xml:space="preserve">the reported DL PRS-RSRPP value included in the higher layer parameter </w:t>
            </w:r>
            <w:r w:rsidRPr="008A4D96">
              <w:rPr>
                <w:rFonts w:ascii="Arial" w:hAnsi="Arial" w:cs="Arial"/>
                <w:i/>
                <w:snapToGrid w:val="0"/>
                <w:sz w:val="16"/>
                <w:szCs w:val="16"/>
              </w:rPr>
              <w:t>NR-DL-</w:t>
            </w:r>
            <w:proofErr w:type="spellStart"/>
            <w:r w:rsidRPr="008A4D96">
              <w:rPr>
                <w:rFonts w:ascii="Arial" w:hAnsi="Arial" w:cs="Arial"/>
                <w:i/>
                <w:snapToGrid w:val="0"/>
                <w:sz w:val="16"/>
                <w:szCs w:val="16"/>
              </w:rPr>
              <w:t>AoD</w:t>
            </w:r>
            <w:proofErr w:type="spellEnd"/>
            <w:r w:rsidRPr="008A4D96">
              <w:rPr>
                <w:rFonts w:ascii="Arial" w:hAnsi="Arial" w:cs="Arial"/>
                <w:i/>
                <w:snapToGrid w:val="0"/>
                <w:sz w:val="16"/>
                <w:szCs w:val="16"/>
              </w:rPr>
              <w:t>-</w:t>
            </w:r>
            <w:proofErr w:type="spellStart"/>
            <w:r w:rsidRPr="008A4D96">
              <w:rPr>
                <w:rFonts w:ascii="Arial" w:hAnsi="Arial" w:cs="Arial"/>
                <w:i/>
                <w:snapToGrid w:val="0"/>
                <w:sz w:val="16"/>
                <w:szCs w:val="16"/>
              </w:rPr>
              <w:t>MeasElement</w:t>
            </w:r>
            <w:proofErr w:type="spellEnd"/>
            <w:r w:rsidRPr="008A4D96">
              <w:rPr>
                <w:rFonts w:ascii="Arial" w:eastAsia="SimSun" w:hAnsi="Arial" w:cs="Arial"/>
                <w:sz w:val="16"/>
                <w:szCs w:val="16"/>
                <w:lang w:eastAsia="zh-CN"/>
              </w:rPr>
              <w:t xml:space="preserve"> for </w:t>
            </w:r>
            <w:r w:rsidRPr="008A4D96">
              <w:rPr>
                <w:rFonts w:ascii="Arial" w:eastAsia="SimSun" w:hAnsi="Arial" w:cs="Arial"/>
                <w:color w:val="0070C0"/>
                <w:sz w:val="16"/>
                <w:szCs w:val="16"/>
                <w:lang w:eastAsia="zh-CN"/>
              </w:rPr>
              <w:t>the first and additional measurements shall be provided for the same receiver branch(es)</w:t>
            </w:r>
            <w:r w:rsidRPr="008A4D96">
              <w:rPr>
                <w:rFonts w:ascii="Arial" w:eastAsia="SimSun" w:hAnsi="Arial" w:cs="Arial"/>
                <w:sz w:val="16"/>
                <w:szCs w:val="16"/>
                <w:lang w:eastAsia="zh-CN"/>
              </w:rPr>
              <w:t xml:space="preserve"> as applied for DL PRS-RSRP measurements</w:t>
            </w:r>
            <w:r w:rsidRPr="008A4D96">
              <w:rPr>
                <w:rFonts w:ascii="Arial" w:hAnsi="Arial" w:cs="Arial"/>
                <w:sz w:val="16"/>
                <w:szCs w:val="16"/>
              </w:rPr>
              <w:t>.</w:t>
            </w:r>
          </w:p>
        </w:tc>
      </w:tr>
    </w:tbl>
    <w:p w14:paraId="36821F7D" w14:textId="77777777" w:rsidR="003E3CA0" w:rsidRDefault="003E3CA0" w:rsidP="00397642">
      <w:pPr>
        <w:rPr>
          <w:lang w:eastAsia="en-GB"/>
        </w:rPr>
      </w:pPr>
    </w:p>
    <w:p w14:paraId="1E74DB56" w14:textId="3E5C0F6E" w:rsidR="003E3CA0" w:rsidRDefault="003E3CA0" w:rsidP="00B94B09">
      <w:pPr>
        <w:rPr>
          <w:lang w:eastAsia="en-GB"/>
        </w:rPr>
      </w:pPr>
      <w:r w:rsidRPr="003E3CA0">
        <w:rPr>
          <w:lang w:eastAsia="en-GB"/>
        </w:rPr>
        <w:t>5.2.6</w:t>
      </w:r>
      <w:r w:rsidRPr="003E3CA0">
        <w:rPr>
          <w:lang w:eastAsia="en-GB"/>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E3CA0" w:rsidRPr="00955185" w14:paraId="42C41B65" w14:textId="77777777" w:rsidTr="00E445F4">
        <w:trPr>
          <w:cantSplit/>
          <w:trHeight w:val="3446"/>
          <w:jc w:val="center"/>
        </w:trPr>
        <w:tc>
          <w:tcPr>
            <w:tcW w:w="1951" w:type="dxa"/>
          </w:tcPr>
          <w:p w14:paraId="46BDDDC1" w14:textId="77777777" w:rsidR="003E3CA0" w:rsidRPr="008A4D96" w:rsidRDefault="003E3CA0" w:rsidP="008A4D96">
            <w:pPr>
              <w:pStyle w:val="TAL"/>
              <w:spacing w:after="0"/>
              <w:rPr>
                <w:rFonts w:ascii="Arial" w:hAnsi="Arial" w:cs="Arial"/>
                <w:b/>
                <w:sz w:val="16"/>
                <w:szCs w:val="16"/>
              </w:rPr>
            </w:pPr>
            <w:r w:rsidRPr="008A4D96">
              <w:rPr>
                <w:rFonts w:ascii="Arial" w:hAnsi="Arial" w:cs="Arial"/>
                <w:b/>
                <w:sz w:val="16"/>
                <w:szCs w:val="16"/>
              </w:rPr>
              <w:t>Definition</w:t>
            </w:r>
          </w:p>
        </w:tc>
        <w:tc>
          <w:tcPr>
            <w:tcW w:w="7787" w:type="dxa"/>
          </w:tcPr>
          <w:p w14:paraId="7CF112B2"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 xml:space="preserve">UL SRS reference signal received path power (UL SRS-RSRPP) is defined as the power of the linear average of the channel response at the </w:t>
            </w:r>
            <w:proofErr w:type="spellStart"/>
            <w:r w:rsidRPr="008A4D96">
              <w:rPr>
                <w:rFonts w:ascii="Arial" w:hAnsi="Arial" w:cs="Arial"/>
                <w:sz w:val="16"/>
                <w:szCs w:val="16"/>
              </w:rPr>
              <w:t>i-th</w:t>
            </w:r>
            <w:proofErr w:type="spellEnd"/>
            <w:r w:rsidRPr="008A4D96">
              <w:rPr>
                <w:rFonts w:ascii="Arial" w:hAnsi="Arial" w:cs="Arial"/>
                <w:sz w:val="16"/>
                <w:szCs w:val="16"/>
              </w:rPr>
              <w:t xml:space="preserve"> path delay of the resource elements that carry the received UL SRS signal configured for the measurement, where UL SRS-RSRPP for 1st path delay is the power contribution corresponding to the first detected path in time</w:t>
            </w:r>
          </w:p>
          <w:p w14:paraId="476731D9" w14:textId="77777777" w:rsidR="003E3CA0" w:rsidRPr="008A4D96" w:rsidRDefault="003E3CA0" w:rsidP="008A4D96">
            <w:pPr>
              <w:pStyle w:val="TAL"/>
              <w:spacing w:after="0"/>
              <w:rPr>
                <w:rFonts w:ascii="Arial" w:hAnsi="Arial" w:cs="Arial"/>
                <w:sz w:val="16"/>
                <w:szCs w:val="16"/>
              </w:rPr>
            </w:pPr>
          </w:p>
          <w:p w14:paraId="5CF01CFC"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The reference point for UL SRS-RSRPP shall be:</w:t>
            </w:r>
          </w:p>
          <w:p w14:paraId="0294D082"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w:t>
            </w:r>
            <w:r w:rsidRPr="008A4D96">
              <w:rPr>
                <w:rFonts w:ascii="Arial" w:hAnsi="Arial" w:cs="Arial"/>
                <w:sz w:val="16"/>
                <w:szCs w:val="16"/>
              </w:rPr>
              <w:tab/>
              <w:t>for type 1-C base station TS 38.104 [9]: the Rx antenna connector,</w:t>
            </w:r>
          </w:p>
          <w:p w14:paraId="220FC05A"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w:t>
            </w:r>
            <w:r w:rsidRPr="008A4D96">
              <w:rPr>
                <w:rFonts w:ascii="Arial" w:hAnsi="Arial" w:cs="Arial"/>
                <w:sz w:val="16"/>
                <w:szCs w:val="16"/>
              </w:rPr>
              <w:tab/>
              <w:t>for type 1-O or 2-O base station TS 38.104 [9]:  based on the combined signal from antenna elements corresponding to a given receiver branch</w:t>
            </w:r>
          </w:p>
          <w:p w14:paraId="51530E38"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w:t>
            </w:r>
            <w:r w:rsidRPr="008A4D96">
              <w:rPr>
                <w:rFonts w:ascii="Arial" w:hAnsi="Arial" w:cs="Arial"/>
                <w:sz w:val="16"/>
                <w:szCs w:val="16"/>
              </w:rPr>
              <w:tab/>
              <w:t>for type 1-H base station TS 38.104 [9]: the Rx Transceiver Array Boundary connector.</w:t>
            </w:r>
          </w:p>
          <w:p w14:paraId="7A555CCC" w14:textId="77777777" w:rsidR="003E3CA0" w:rsidRPr="008A4D96" w:rsidRDefault="003E3CA0" w:rsidP="008A4D96">
            <w:pPr>
              <w:pStyle w:val="TAL"/>
              <w:spacing w:after="0"/>
              <w:rPr>
                <w:rFonts w:ascii="Arial" w:hAnsi="Arial" w:cs="Arial"/>
                <w:sz w:val="16"/>
                <w:szCs w:val="16"/>
              </w:rPr>
            </w:pPr>
          </w:p>
          <w:p w14:paraId="37D5F1E0" w14:textId="77777777" w:rsidR="003E3CA0" w:rsidRPr="008A4D96" w:rsidRDefault="003E3CA0" w:rsidP="008A4D96">
            <w:pPr>
              <w:pStyle w:val="TAL"/>
              <w:spacing w:after="0"/>
              <w:rPr>
                <w:rFonts w:ascii="Arial" w:hAnsi="Arial" w:cs="Arial"/>
                <w:sz w:val="16"/>
                <w:szCs w:val="16"/>
              </w:rPr>
            </w:pPr>
            <w:r w:rsidRPr="008A4D96">
              <w:rPr>
                <w:rFonts w:ascii="Arial" w:hAnsi="Arial" w:cs="Arial"/>
                <w:sz w:val="16"/>
                <w:szCs w:val="16"/>
              </w:rPr>
              <w:t xml:space="preserve">For frequency range 1 and 2, if receiver diversity is in use by the </w:t>
            </w:r>
            <w:proofErr w:type="spellStart"/>
            <w:r w:rsidRPr="008A4D96">
              <w:rPr>
                <w:rFonts w:ascii="Arial" w:hAnsi="Arial" w:cs="Arial"/>
                <w:sz w:val="16"/>
                <w:szCs w:val="16"/>
              </w:rPr>
              <w:t>gNB</w:t>
            </w:r>
            <w:proofErr w:type="spellEnd"/>
            <w:r w:rsidRPr="008A4D96">
              <w:rPr>
                <w:rFonts w:ascii="Arial" w:hAnsi="Arial" w:cs="Arial"/>
                <w:sz w:val="16"/>
                <w:szCs w:val="16"/>
              </w:rPr>
              <w:t xml:space="preserve"> for UL SRS-RSRPP measurements:</w:t>
            </w:r>
          </w:p>
          <w:p w14:paraId="25ACEA47" w14:textId="77777777" w:rsidR="003E3CA0" w:rsidRPr="008A4D96" w:rsidRDefault="003E3CA0" w:rsidP="008A4D96">
            <w:pPr>
              <w:pStyle w:val="TAL"/>
              <w:spacing w:after="0"/>
              <w:rPr>
                <w:rFonts w:ascii="Arial" w:eastAsia="SimSun" w:hAnsi="Arial" w:cs="Arial"/>
                <w:sz w:val="16"/>
                <w:szCs w:val="16"/>
                <w:lang w:eastAsia="zh-CN"/>
              </w:rPr>
            </w:pPr>
            <w:r w:rsidRPr="008A4D96">
              <w:rPr>
                <w:rFonts w:ascii="Arial" w:eastAsia="SimSun" w:hAnsi="Arial" w:cs="Arial"/>
                <w:sz w:val="16"/>
                <w:szCs w:val="16"/>
                <w:lang w:eastAsia="zh-CN"/>
              </w:rPr>
              <w:t>-</w:t>
            </w:r>
            <w:r w:rsidRPr="008A4D96">
              <w:rPr>
                <w:rFonts w:ascii="Arial" w:eastAsia="SimSun" w:hAnsi="Arial" w:cs="Arial"/>
                <w:sz w:val="16"/>
                <w:szCs w:val="16"/>
                <w:lang w:eastAsia="zh-CN"/>
              </w:rPr>
              <w:tab/>
              <w:t>The reported UL SRS-RSRPP value for the first and additional paths shall be provided for the same receiver branch(es) as applied for UL SRS-RSRP measurements, or</w:t>
            </w:r>
          </w:p>
          <w:p w14:paraId="75A47FB4" w14:textId="77777777" w:rsidR="003E3CA0" w:rsidRPr="008A4D96" w:rsidRDefault="003E3CA0" w:rsidP="008A4D96">
            <w:pPr>
              <w:pStyle w:val="TAL"/>
              <w:spacing w:after="0"/>
              <w:rPr>
                <w:rFonts w:ascii="Arial" w:hAnsi="Arial" w:cs="Arial"/>
                <w:sz w:val="16"/>
                <w:szCs w:val="16"/>
                <w:lang w:val="en-US"/>
              </w:rPr>
            </w:pPr>
            <w:r w:rsidRPr="008A4D96">
              <w:rPr>
                <w:rFonts w:ascii="Arial" w:eastAsia="SimSun" w:hAnsi="Arial" w:cs="Arial"/>
                <w:sz w:val="16"/>
                <w:szCs w:val="16"/>
                <w:lang w:eastAsia="zh-CN"/>
              </w:rPr>
              <w:t>-</w:t>
            </w:r>
            <w:r w:rsidRPr="008A4D96">
              <w:rPr>
                <w:rFonts w:ascii="Arial" w:eastAsia="SimSun" w:hAnsi="Arial" w:cs="Arial"/>
                <w:sz w:val="16"/>
                <w:szCs w:val="16"/>
                <w:lang w:eastAsia="zh-CN"/>
              </w:rPr>
              <w:tab/>
            </w:r>
            <w:r w:rsidRPr="008A4D96">
              <w:rPr>
                <w:rFonts w:ascii="Arial" w:eastAsia="SimSun" w:hAnsi="Arial" w:cs="Arial"/>
                <w:color w:val="FF0000"/>
                <w:sz w:val="16"/>
                <w:szCs w:val="16"/>
                <w:lang w:eastAsia="zh-CN"/>
              </w:rPr>
              <w:t xml:space="preserve">The reported UL SRS-RSRPP value for the first path shall not be lower than the corresponding UL SRS-RSRPP for the first path of any of the individual receiver branches </w:t>
            </w:r>
            <w:r w:rsidRPr="008A4D96">
              <w:rPr>
                <w:rFonts w:ascii="Arial" w:eastAsia="SimSun" w:hAnsi="Arial" w:cs="Arial"/>
                <w:sz w:val="16"/>
                <w:szCs w:val="16"/>
                <w:lang w:eastAsia="zh-CN"/>
              </w:rPr>
              <w:t xml:space="preserve">and </w:t>
            </w:r>
            <w:r w:rsidRPr="008A4D96">
              <w:rPr>
                <w:rFonts w:ascii="Arial" w:eastAsia="SimSun" w:hAnsi="Arial" w:cs="Arial"/>
                <w:color w:val="0070C0"/>
                <w:sz w:val="16"/>
                <w:szCs w:val="16"/>
                <w:lang w:eastAsia="zh-CN"/>
              </w:rPr>
              <w:t>the reported UL SRS-RSRPP for the additional paths shall be provided for the same receiver branch(es) as applied UL SRS-RSRPP for the first path.</w:t>
            </w:r>
          </w:p>
        </w:tc>
      </w:tr>
    </w:tbl>
    <w:p w14:paraId="7A89D077" w14:textId="77777777" w:rsidR="00397828" w:rsidRPr="009C33E3" w:rsidRDefault="00397828" w:rsidP="00397642"/>
    <w:p w14:paraId="0412C92F" w14:textId="23564EE0" w:rsidR="00300C42" w:rsidRDefault="00300C42" w:rsidP="00300C42">
      <w:pPr>
        <w:pStyle w:val="Heading2"/>
        <w:rPr>
          <w:lang w:val="en-US"/>
        </w:rPr>
      </w:pPr>
      <w:bookmarkStart w:id="1453" w:name="_Toc173850913"/>
      <w:bookmarkStart w:id="1454" w:name="_Toc173940665"/>
      <w:bookmarkStart w:id="1455" w:name="_Toc173850914"/>
      <w:bookmarkStart w:id="1456" w:name="_Toc173940666"/>
      <w:bookmarkStart w:id="1457" w:name="_Toc173850915"/>
      <w:bookmarkStart w:id="1458" w:name="_Toc173940667"/>
      <w:bookmarkStart w:id="1459" w:name="_Toc173850916"/>
      <w:bookmarkStart w:id="1460" w:name="_Toc173940668"/>
      <w:bookmarkStart w:id="1461" w:name="_Toc173850917"/>
      <w:bookmarkStart w:id="1462" w:name="_Toc173940669"/>
      <w:bookmarkStart w:id="1463" w:name="_Toc173850918"/>
      <w:bookmarkStart w:id="1464" w:name="_Toc173940670"/>
      <w:bookmarkStart w:id="1465" w:name="_Toc173850919"/>
      <w:bookmarkStart w:id="1466" w:name="_Toc173940671"/>
      <w:bookmarkStart w:id="1467" w:name="_Toc173850920"/>
      <w:bookmarkStart w:id="1468" w:name="_Toc173940672"/>
      <w:bookmarkStart w:id="1469" w:name="_Toc165990987"/>
      <w:bookmarkStart w:id="1470" w:name="_Toc189845015"/>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r>
        <w:rPr>
          <w:lang w:val="en-US"/>
        </w:rPr>
        <w:t>A</w:t>
      </w:r>
      <w:r w:rsidRPr="00CD59F9">
        <w:rPr>
          <w:lang w:val="en-US"/>
        </w:rPr>
        <w:t>nalysis</w:t>
      </w:r>
      <w:r>
        <w:rPr>
          <w:lang w:val="en-US"/>
        </w:rPr>
        <w:t xml:space="preserve"> of </w:t>
      </w:r>
      <w:r w:rsidR="009E1513">
        <w:rPr>
          <w:lang w:val="en-US"/>
        </w:rPr>
        <w:t>support</w:t>
      </w:r>
      <w:r w:rsidR="00110C55">
        <w:rPr>
          <w:lang w:val="en-US"/>
        </w:rPr>
        <w:t>ing</w:t>
      </w:r>
      <w:r w:rsidR="009E1513">
        <w:rPr>
          <w:lang w:val="en-US"/>
        </w:rPr>
        <w:t xml:space="preserve"> phase information measurement</w:t>
      </w:r>
      <w:bookmarkEnd w:id="1469"/>
      <w:bookmarkEnd w:id="1470"/>
    </w:p>
    <w:p w14:paraId="6669F1E6" w14:textId="7743E330" w:rsidR="00300C42" w:rsidRDefault="00300C42" w:rsidP="00300C42">
      <w:r>
        <w:t xml:space="preserve">In RAN1#116, the following agreement was made to investigate whether phase information should be supported as a part of model input, for example, as list of phase information as in CIR or one phase value for the first detected path only. </w:t>
      </w:r>
    </w:p>
    <w:tbl>
      <w:tblPr>
        <w:tblStyle w:val="TableGrid"/>
        <w:tblW w:w="0" w:type="auto"/>
        <w:tblLook w:val="04A0" w:firstRow="1" w:lastRow="0" w:firstColumn="1" w:lastColumn="0" w:noHBand="0" w:noVBand="1"/>
      </w:tblPr>
      <w:tblGrid>
        <w:gridCol w:w="9962"/>
      </w:tblGrid>
      <w:tr w:rsidR="006F1ADE" w14:paraId="596460A8" w14:textId="77777777">
        <w:tc>
          <w:tcPr>
            <w:tcW w:w="9962" w:type="dxa"/>
          </w:tcPr>
          <w:p w14:paraId="75A1D542" w14:textId="77777777" w:rsidR="00300C42" w:rsidRPr="00AF48A0" w:rsidRDefault="00300C42" w:rsidP="00566053">
            <w:pPr>
              <w:spacing w:after="0"/>
              <w:rPr>
                <w:rFonts w:ascii="Times" w:eastAsia="DengXian" w:hAnsi="Times"/>
                <w:b/>
                <w:bCs/>
                <w:sz w:val="20"/>
                <w:highlight w:val="green"/>
                <w:lang w:val="en-GB"/>
              </w:rPr>
            </w:pPr>
            <w:r w:rsidRPr="00AF48A0">
              <w:rPr>
                <w:rFonts w:ascii="Times" w:eastAsia="DengXian" w:hAnsi="Times" w:hint="eastAsia"/>
                <w:b/>
                <w:bCs/>
                <w:sz w:val="20"/>
                <w:highlight w:val="green"/>
                <w:lang w:val="en-GB"/>
              </w:rPr>
              <w:t>A</w:t>
            </w:r>
            <w:r w:rsidRPr="00AF48A0">
              <w:rPr>
                <w:rFonts w:ascii="Times" w:eastAsia="DengXian" w:hAnsi="Times"/>
                <w:b/>
                <w:bCs/>
                <w:sz w:val="20"/>
                <w:highlight w:val="green"/>
                <w:lang w:val="en-GB"/>
              </w:rPr>
              <w:t>greement</w:t>
            </w:r>
          </w:p>
          <w:p w14:paraId="5C7F4C39" w14:textId="77777777" w:rsidR="00300C42" w:rsidRPr="00AF48A0" w:rsidRDefault="00300C42" w:rsidP="00566053">
            <w:pPr>
              <w:spacing w:after="0"/>
              <w:rPr>
                <w:rFonts w:ascii="Times" w:eastAsia="Batang" w:hAnsi="Times"/>
                <w:sz w:val="20"/>
                <w:lang w:val="en-GB"/>
              </w:rPr>
            </w:pPr>
            <w:r w:rsidRPr="00AF48A0">
              <w:rPr>
                <w:rFonts w:ascii="Times" w:eastAsia="Batang" w:hAnsi="Times"/>
                <w:sz w:val="20"/>
                <w:lang w:val="en-GB"/>
              </w:rPr>
              <w:t>For AI/ML based positioning for all use cases, RAN1 investigate the necessity and feasibility of using phase information (in addition to timing information and power information) for determining model input. The issues to study include:</w:t>
            </w:r>
          </w:p>
          <w:p w14:paraId="1A9BFB4E" w14:textId="77777777" w:rsidR="00300C42" w:rsidRPr="00AF48A0" w:rsidRDefault="00300C42" w:rsidP="005925D5">
            <w:pPr>
              <w:widowControl w:val="0"/>
              <w:numPr>
                <w:ilvl w:val="0"/>
                <w:numId w:val="43"/>
              </w:numPr>
              <w:spacing w:after="0"/>
              <w:rPr>
                <w:rFonts w:ascii="Times" w:eastAsia="Batang" w:hAnsi="Times" w:cs="DengXian"/>
                <w:sz w:val="20"/>
                <w:lang w:eastAsia="x-none"/>
              </w:rPr>
            </w:pPr>
            <w:r w:rsidRPr="00AF48A0">
              <w:rPr>
                <w:rFonts w:ascii="Times" w:eastAsia="Batang" w:hAnsi="Times"/>
                <w:sz w:val="20"/>
                <w:lang w:eastAsia="x-none"/>
              </w:rPr>
              <w:t>Tradeoff of positioning accuracy and signaling overhead</w:t>
            </w:r>
          </w:p>
          <w:p w14:paraId="6D049595" w14:textId="77777777" w:rsidR="00300C42" w:rsidRPr="00AF48A0" w:rsidRDefault="00300C42" w:rsidP="005925D5">
            <w:pPr>
              <w:widowControl w:val="0"/>
              <w:numPr>
                <w:ilvl w:val="0"/>
                <w:numId w:val="43"/>
              </w:numPr>
              <w:spacing w:after="0"/>
              <w:rPr>
                <w:rFonts w:ascii="Times" w:eastAsia="Batang" w:hAnsi="Times" w:cs="DengXian"/>
                <w:sz w:val="20"/>
                <w:lang w:eastAsia="x-none"/>
              </w:rPr>
            </w:pPr>
            <w:r w:rsidRPr="00AF48A0">
              <w:rPr>
                <w:rFonts w:ascii="Times" w:eastAsia="Batang" w:hAnsi="Times"/>
                <w:sz w:val="20"/>
                <w:lang w:eastAsia="x-none"/>
              </w:rPr>
              <w:t>The impact of transmitter and receiver implementation</w:t>
            </w:r>
          </w:p>
          <w:p w14:paraId="63EB6273" w14:textId="77777777" w:rsidR="00300C42" w:rsidRPr="00AF48A0" w:rsidRDefault="00300C42" w:rsidP="005925D5">
            <w:pPr>
              <w:widowControl w:val="0"/>
              <w:numPr>
                <w:ilvl w:val="0"/>
                <w:numId w:val="43"/>
              </w:numPr>
              <w:spacing w:after="0"/>
              <w:rPr>
                <w:rFonts w:ascii="Times" w:eastAsia="Batang" w:hAnsi="Times" w:cs="DengXian"/>
                <w:sz w:val="20"/>
                <w:lang w:val="en-GB" w:eastAsia="x-none"/>
              </w:rPr>
            </w:pPr>
            <w:r w:rsidRPr="00AF48A0">
              <w:rPr>
                <w:rFonts w:ascii="Times" w:eastAsia="Batang" w:hAnsi="Times"/>
                <w:sz w:val="20"/>
                <w:lang w:eastAsia="x-none"/>
              </w:rPr>
              <w:t>S</w:t>
            </w:r>
            <w:proofErr w:type="spellStart"/>
            <w:r w:rsidRPr="00AF48A0">
              <w:rPr>
                <w:rFonts w:ascii="Times" w:eastAsia="Batang" w:hAnsi="Times"/>
                <w:sz w:val="20"/>
                <w:lang w:val="en-GB" w:eastAsia="x-none"/>
              </w:rPr>
              <w:t>pecification</w:t>
            </w:r>
            <w:proofErr w:type="spellEnd"/>
            <w:r w:rsidRPr="00AF48A0">
              <w:rPr>
                <w:rFonts w:ascii="Times" w:eastAsia="Batang" w:hAnsi="Times"/>
                <w:sz w:val="20"/>
                <w:lang w:val="en-GB" w:eastAsia="x-none"/>
              </w:rPr>
              <w:t xml:space="preserve"> impact</w:t>
            </w:r>
          </w:p>
          <w:p w14:paraId="582CB037" w14:textId="77777777" w:rsidR="00300C42" w:rsidRPr="00AF48A0" w:rsidRDefault="00300C42" w:rsidP="005925D5">
            <w:pPr>
              <w:widowControl w:val="0"/>
              <w:numPr>
                <w:ilvl w:val="0"/>
                <w:numId w:val="43"/>
              </w:numPr>
              <w:spacing w:after="0"/>
              <w:rPr>
                <w:rFonts w:ascii="Times" w:eastAsia="Batang" w:hAnsi="Times" w:cs="DengXian"/>
                <w:sz w:val="20"/>
                <w:lang w:val="en-GB" w:eastAsia="x-none"/>
              </w:rPr>
            </w:pPr>
            <w:r w:rsidRPr="00AF48A0">
              <w:rPr>
                <w:rFonts w:ascii="Times" w:eastAsia="SimSun" w:hAnsi="Times" w:hint="eastAsia"/>
                <w:sz w:val="20"/>
                <w:lang w:eastAsia="x-none"/>
              </w:rPr>
              <w:t>Other aspects are not precluded</w:t>
            </w:r>
          </w:p>
          <w:p w14:paraId="45711109" w14:textId="77777777" w:rsidR="00300C42" w:rsidRPr="00DF2B5B" w:rsidRDefault="00300C42" w:rsidP="00566053">
            <w:pPr>
              <w:spacing w:after="0"/>
              <w:rPr>
                <w:rFonts w:ascii="Times" w:eastAsia="Batang" w:hAnsi="Times" w:cs="DengXian"/>
                <w:sz w:val="20"/>
                <w:lang w:val="en-GB"/>
              </w:rPr>
            </w:pPr>
            <w:r w:rsidRPr="00AF48A0">
              <w:rPr>
                <w:rFonts w:ascii="Times" w:eastAsia="Batang" w:hAnsi="Times" w:cs="DengXian"/>
                <w:sz w:val="20"/>
                <w:lang w:val="en-GB"/>
              </w:rPr>
              <w:t>Note: the phase information may be used in different ways, e.g., one phase value for the first path or first sample only; triplet of {timing information, power information, phase information} for CIR, etc.</w:t>
            </w:r>
          </w:p>
        </w:tc>
      </w:tr>
    </w:tbl>
    <w:p w14:paraId="4C91E0B4" w14:textId="77777777" w:rsidR="00300C42" w:rsidRPr="007B46F3" w:rsidRDefault="00300C42"/>
    <w:p w14:paraId="474FBB9D" w14:textId="3DF1E66D" w:rsidR="007416E4" w:rsidRDefault="007416E4">
      <w:r>
        <w:t>In the sub-sections below, analysis is provided for the following aspects:</w:t>
      </w:r>
    </w:p>
    <w:p w14:paraId="7B2AD901" w14:textId="44F069AD" w:rsidR="00995DE3" w:rsidRPr="00995DE3" w:rsidRDefault="00995DE3" w:rsidP="005925D5">
      <w:pPr>
        <w:pStyle w:val="ListParagraph"/>
        <w:numPr>
          <w:ilvl w:val="0"/>
          <w:numId w:val="43"/>
        </w:numPr>
      </w:pPr>
      <w:r>
        <w:t xml:space="preserve">Inapplicability of Rel-18 carrier phase </w:t>
      </w:r>
      <w:proofErr w:type="gramStart"/>
      <w:r>
        <w:t>positioning;</w:t>
      </w:r>
      <w:proofErr w:type="gramEnd"/>
    </w:p>
    <w:p w14:paraId="02359349" w14:textId="44CCAD8D" w:rsidR="007416E4" w:rsidRPr="004157FD" w:rsidRDefault="000A291B" w:rsidP="005925D5">
      <w:pPr>
        <w:pStyle w:val="ListParagraph"/>
        <w:numPr>
          <w:ilvl w:val="0"/>
          <w:numId w:val="43"/>
        </w:numPr>
      </w:pPr>
      <w:r>
        <w:t>I</w:t>
      </w:r>
      <w:r w:rsidR="007416E4">
        <w:t>ssues with non-</w:t>
      </w:r>
      <w:r w:rsidR="007416E4" w:rsidRPr="00194B5B">
        <w:t>spatial</w:t>
      </w:r>
      <w:r w:rsidR="00BA6B63">
        <w:t>-</w:t>
      </w:r>
      <w:r w:rsidR="007416E4">
        <w:t xml:space="preserve">dependent initial </w:t>
      </w:r>
      <w:proofErr w:type="gramStart"/>
      <w:r w:rsidR="007416E4">
        <w:t>phases;</w:t>
      </w:r>
      <w:proofErr w:type="gramEnd"/>
    </w:p>
    <w:p w14:paraId="6BF77E78" w14:textId="178C97A9" w:rsidR="007416E4" w:rsidRPr="004157FD" w:rsidRDefault="007416E4" w:rsidP="005925D5">
      <w:pPr>
        <w:pStyle w:val="ListParagraph"/>
        <w:numPr>
          <w:ilvl w:val="0"/>
          <w:numId w:val="43"/>
        </w:numPr>
      </w:pPr>
      <w:r>
        <w:t xml:space="preserve">Difficulty to align phase measurements between model training and model </w:t>
      </w:r>
      <w:proofErr w:type="gramStart"/>
      <w:r>
        <w:t>inference;</w:t>
      </w:r>
      <w:proofErr w:type="gramEnd"/>
    </w:p>
    <w:p w14:paraId="7143D9B5" w14:textId="15EE1EFE" w:rsidR="00B84F30" w:rsidRDefault="007416E4" w:rsidP="005925D5">
      <w:pPr>
        <w:pStyle w:val="ListParagraph"/>
        <w:numPr>
          <w:ilvl w:val="0"/>
          <w:numId w:val="43"/>
        </w:numPr>
        <w:rPr>
          <w:lang w:val="sv-SE"/>
        </w:rPr>
      </w:pPr>
      <w:r>
        <w:t>Signaling overhead</w:t>
      </w:r>
    </w:p>
    <w:p w14:paraId="4C178F5A" w14:textId="0A488A87" w:rsidR="008851B9" w:rsidRPr="00941799" w:rsidRDefault="008851B9">
      <w:r>
        <w:t xml:space="preserve">Considering all the pros and cons of phase measurement as model input, we conclude that it is not feasible nor necessary to support phase information for determining model input, including CIR and </w:t>
      </w:r>
      <w:proofErr w:type="gramStart"/>
      <w:r>
        <w:t>single phase</w:t>
      </w:r>
      <w:proofErr w:type="gramEnd"/>
      <w:r>
        <w:t xml:space="preserve"> value for first path. </w:t>
      </w:r>
    </w:p>
    <w:p w14:paraId="014135B7" w14:textId="71935726" w:rsidR="008851B9" w:rsidRPr="00941799" w:rsidRDefault="008851B9" w:rsidP="00E8119F">
      <w:pPr>
        <w:pStyle w:val="Proposal"/>
      </w:pPr>
      <w:bookmarkStart w:id="1471" w:name="_Toc189845112"/>
      <w:r>
        <w:t xml:space="preserve">Do not support phase information for determining model input, including CIR and </w:t>
      </w:r>
      <w:proofErr w:type="gramStart"/>
      <w:r>
        <w:t>single phase</w:t>
      </w:r>
      <w:proofErr w:type="gramEnd"/>
      <w:r>
        <w:t xml:space="preserve"> value for first path</w:t>
      </w:r>
      <w:r w:rsidR="00A8022A">
        <w:t>/sample</w:t>
      </w:r>
      <w:r>
        <w:t>.</w:t>
      </w:r>
      <w:bookmarkEnd w:id="1471"/>
    </w:p>
    <w:p w14:paraId="3A4D1AF0" w14:textId="07C99028" w:rsidR="00904575" w:rsidRPr="007854D0" w:rsidRDefault="007854D0" w:rsidP="007854D0">
      <w:pPr>
        <w:pStyle w:val="Heading3"/>
        <w:rPr>
          <w:lang w:val="en-US"/>
        </w:rPr>
      </w:pPr>
      <w:bookmarkStart w:id="1472" w:name="_Toc189845016"/>
      <w:r>
        <w:rPr>
          <w:lang w:val="en-US"/>
        </w:rPr>
        <w:t>Inapplicability</w:t>
      </w:r>
      <w:r w:rsidR="00904575">
        <w:rPr>
          <w:lang w:val="en-US"/>
        </w:rPr>
        <w:t xml:space="preserve"> of </w:t>
      </w:r>
      <w:r w:rsidR="00BB1E41">
        <w:rPr>
          <w:lang w:val="en-US"/>
        </w:rPr>
        <w:t>Rel</w:t>
      </w:r>
      <w:r w:rsidR="00904575">
        <w:rPr>
          <w:lang w:val="en-US"/>
        </w:rPr>
        <w:t xml:space="preserve">-18 </w:t>
      </w:r>
      <w:r w:rsidR="00563CF8">
        <w:rPr>
          <w:lang w:val="en-US"/>
        </w:rPr>
        <w:t>carrier phase positioning</w:t>
      </w:r>
      <w:bookmarkEnd w:id="1472"/>
    </w:p>
    <w:p w14:paraId="5B724DB0" w14:textId="5DE7267B" w:rsidR="00B84F30" w:rsidRPr="00941799" w:rsidRDefault="007370D2">
      <w:r w:rsidRPr="00941799">
        <w:t>During RAN1#116b</w:t>
      </w:r>
      <w:r w:rsidR="007854D0" w:rsidRPr="00941799">
        <w:t>is</w:t>
      </w:r>
      <w:r w:rsidRPr="00941799">
        <w:t xml:space="preserve">, </w:t>
      </w:r>
      <w:r w:rsidR="000B337B" w:rsidRPr="00941799">
        <w:t xml:space="preserve">there was a discussion on supporting </w:t>
      </w:r>
      <w:r w:rsidR="007854D0" w:rsidRPr="00941799">
        <w:t>R</w:t>
      </w:r>
      <w:r w:rsidR="000B337B" w:rsidRPr="00941799">
        <w:t xml:space="preserve">el18 CPP measurements </w:t>
      </w:r>
      <w:r w:rsidR="00842264" w:rsidRPr="00941799">
        <w:t xml:space="preserve">(DL RSCPD, DL RSCP, UL RSCP) </w:t>
      </w:r>
      <w:r w:rsidR="000B337B" w:rsidRPr="00941799">
        <w:t>for AI/ML positioning</w:t>
      </w:r>
      <w:r w:rsidR="000E796B" w:rsidRPr="00941799">
        <w:t xml:space="preserve"> as model input.</w:t>
      </w:r>
      <w:r w:rsidR="00DA5CD9" w:rsidRPr="00941799">
        <w:t xml:space="preserve"> Since release 18 positioning was specified in parallel to the AI/ML study item phase, </w:t>
      </w:r>
      <w:r w:rsidR="007854D0" w:rsidRPr="00941799">
        <w:t>CPP</w:t>
      </w:r>
      <w:r w:rsidR="00DA5CD9" w:rsidRPr="00941799">
        <w:t xml:space="preserve"> was not evaluated during the </w:t>
      </w:r>
      <w:r w:rsidR="007854D0" w:rsidRPr="00941799">
        <w:t xml:space="preserve">Rel-18 AI/ML </w:t>
      </w:r>
      <w:r w:rsidR="00DA5CD9" w:rsidRPr="00941799">
        <w:t xml:space="preserve">study. Moreover, CPP was specified for </w:t>
      </w:r>
      <w:proofErr w:type="spellStart"/>
      <w:r w:rsidR="00DA5CD9" w:rsidRPr="00941799">
        <w:t>environement</w:t>
      </w:r>
      <w:proofErr w:type="spellEnd"/>
      <w:r w:rsidR="00DA5CD9" w:rsidRPr="00941799">
        <w:t xml:space="preserve"> with very high line of sight probability. </w:t>
      </w:r>
      <w:r w:rsidR="008866F8" w:rsidRPr="00941799">
        <w:t xml:space="preserve">During </w:t>
      </w:r>
      <w:r w:rsidR="007854D0" w:rsidRPr="00941799">
        <w:t>R</w:t>
      </w:r>
      <w:r w:rsidR="008866F8" w:rsidRPr="00941799">
        <w:t>el18</w:t>
      </w:r>
      <w:r w:rsidR="00E32292" w:rsidRPr="00941799">
        <w:t xml:space="preserve"> CPP specification</w:t>
      </w:r>
      <w:r w:rsidR="008866F8" w:rsidRPr="00941799">
        <w:t xml:space="preserve">, </w:t>
      </w:r>
      <w:r w:rsidR="00E32292" w:rsidRPr="00941799">
        <w:t xml:space="preserve">it was </w:t>
      </w:r>
      <w:proofErr w:type="gramStart"/>
      <w:r w:rsidR="00E32292" w:rsidRPr="00941799">
        <w:t xml:space="preserve">concluded </w:t>
      </w:r>
      <w:r w:rsidR="008866F8" w:rsidRPr="00941799">
        <w:t xml:space="preserve"> </w:t>
      </w:r>
      <w:r w:rsidR="00E32292" w:rsidRPr="00941799">
        <w:t>that</w:t>
      </w:r>
      <w:proofErr w:type="gramEnd"/>
      <w:r w:rsidR="00E32292" w:rsidRPr="00941799">
        <w:t xml:space="preserve"> LOS was critical to proper operation of CPP. </w:t>
      </w:r>
      <w:r w:rsidR="00A52AAE" w:rsidRPr="00941799">
        <w:t xml:space="preserve"> </w:t>
      </w:r>
      <w:r w:rsidR="00927480" w:rsidRPr="00941799">
        <w:t xml:space="preserve">Additionally, </w:t>
      </w:r>
      <w:r w:rsidR="00A52AAE" w:rsidRPr="00941799">
        <w:t>In AI/ML cases, the TRP/UE links are generally NLOS</w:t>
      </w:r>
      <w:r w:rsidR="000D5D82" w:rsidRPr="00941799">
        <w:t xml:space="preserve">, and the phase information of the first path/sample does not carry much information of the UE position. </w:t>
      </w:r>
      <w:r w:rsidR="00505A5B" w:rsidRPr="00941799">
        <w:t xml:space="preserve"> Additionally, NLOS phase information is very sensitive to even minimal </w:t>
      </w:r>
      <w:proofErr w:type="spellStart"/>
      <w:r w:rsidR="00505A5B" w:rsidRPr="00941799">
        <w:t>environement</w:t>
      </w:r>
      <w:proofErr w:type="spellEnd"/>
      <w:r w:rsidR="00505A5B" w:rsidRPr="00941799">
        <w:t xml:space="preserve"> changes, such as changes in the nature of the material reflecting the path.</w:t>
      </w:r>
      <w:r w:rsidR="00AA06AD" w:rsidRPr="00941799">
        <w:t xml:space="preserve"> </w:t>
      </w:r>
      <w:r w:rsidR="000F5D94" w:rsidRPr="00941799">
        <w:t xml:space="preserve"> </w:t>
      </w:r>
      <w:r w:rsidR="00927480" w:rsidRPr="00941799">
        <w:t xml:space="preserve">Finally, CPP requires PRU to be operating </w:t>
      </w:r>
      <w:r w:rsidR="008851B9" w:rsidRPr="00941799">
        <w:t xml:space="preserve">next to the UE </w:t>
      </w:r>
      <w:r w:rsidR="00927480" w:rsidRPr="00941799">
        <w:t xml:space="preserve">during both training and inference, which adds to deployment cost and </w:t>
      </w:r>
      <w:proofErr w:type="spellStart"/>
      <w:r w:rsidR="007854D0" w:rsidRPr="00941799">
        <w:t>signalling</w:t>
      </w:r>
      <w:proofErr w:type="spellEnd"/>
      <w:r w:rsidR="007854D0" w:rsidRPr="00941799">
        <w:t xml:space="preserve"> </w:t>
      </w:r>
      <w:r w:rsidR="00927480" w:rsidRPr="00941799">
        <w:t xml:space="preserve">overhead. </w:t>
      </w:r>
      <w:r w:rsidR="000F5D94" w:rsidRPr="00941799">
        <w:t xml:space="preserve"> </w:t>
      </w:r>
    </w:p>
    <w:p w14:paraId="3BB4A925" w14:textId="77777777" w:rsidR="007854D0" w:rsidRDefault="007854D0"/>
    <w:p w14:paraId="41D262AC" w14:textId="50321865" w:rsidR="007854D0" w:rsidRPr="00AA67A4" w:rsidRDefault="007854D0" w:rsidP="002938DE">
      <w:pPr>
        <w:pStyle w:val="Observation"/>
      </w:pPr>
      <w:bookmarkStart w:id="1473" w:name="_Toc189845066"/>
      <w:r>
        <w:t xml:space="preserve">Rel-18 </w:t>
      </w:r>
      <w:r w:rsidRPr="00941799">
        <w:t xml:space="preserve">CPP measurements (DL RSCPD, DL RSCP, UL RSCP) assume </w:t>
      </w:r>
      <w:proofErr w:type="spellStart"/>
      <w:r w:rsidRPr="00941799">
        <w:t>LoS</w:t>
      </w:r>
      <w:proofErr w:type="spellEnd"/>
      <w:r w:rsidRPr="00941799">
        <w:t xml:space="preserve"> environment, which is </w:t>
      </w:r>
      <w:r w:rsidR="008D58F0" w:rsidRPr="00941799">
        <w:t>contradictory</w:t>
      </w:r>
      <w:r w:rsidRPr="00941799">
        <w:t xml:space="preserve"> with the target use case of Rel-19 AI/ML based positioning.</w:t>
      </w:r>
      <w:bookmarkEnd w:id="1473"/>
    </w:p>
    <w:p w14:paraId="3E3DE211" w14:textId="176CC267" w:rsidR="00AA67A4" w:rsidRDefault="00AA67A4" w:rsidP="002938DE">
      <w:pPr>
        <w:pStyle w:val="Observation"/>
      </w:pPr>
      <w:bookmarkStart w:id="1474" w:name="_Toc189845067"/>
      <w:r>
        <w:t xml:space="preserve">Single phase value for first path/sample </w:t>
      </w:r>
      <w:r w:rsidRPr="00941799">
        <w:t>(e.g., DL RSCPD, DL RSCP, UL RSCP) brings no observable performance benefits</w:t>
      </w:r>
      <w:r w:rsidR="00EE13D1" w:rsidRPr="00941799">
        <w:t xml:space="preserve"> to PDP</w:t>
      </w:r>
      <w:r w:rsidRPr="00941799">
        <w:t xml:space="preserve">, but incurs substantially high deployment cost and </w:t>
      </w:r>
      <w:proofErr w:type="spellStart"/>
      <w:r w:rsidRPr="00941799">
        <w:t>signalling</w:t>
      </w:r>
      <w:proofErr w:type="spellEnd"/>
      <w:r w:rsidRPr="00941799">
        <w:t xml:space="preserve"> overhead.</w:t>
      </w:r>
      <w:bookmarkEnd w:id="1474"/>
    </w:p>
    <w:p w14:paraId="5FBCB5D6" w14:textId="0C1505B3" w:rsidR="00300C42" w:rsidRPr="00E215F0" w:rsidRDefault="00300C42" w:rsidP="00300C42">
      <w:pPr>
        <w:pStyle w:val="Heading3"/>
        <w:rPr>
          <w:lang w:val="en-US"/>
        </w:rPr>
      </w:pPr>
      <w:bookmarkStart w:id="1475" w:name="_Ref163131777"/>
      <w:bookmarkStart w:id="1476" w:name="_Toc165990988"/>
      <w:bookmarkStart w:id="1477" w:name="_Toc189845017"/>
      <w:r>
        <w:rPr>
          <w:lang w:val="en-US"/>
        </w:rPr>
        <w:t xml:space="preserve">Issues with </w:t>
      </w:r>
      <w:r w:rsidR="00996211">
        <w:rPr>
          <w:lang w:val="en-US"/>
        </w:rPr>
        <w:t>random</w:t>
      </w:r>
      <w:r>
        <w:rPr>
          <w:lang w:val="en-US"/>
        </w:rPr>
        <w:t xml:space="preserve"> initial phase</w:t>
      </w:r>
      <w:bookmarkEnd w:id="1475"/>
      <w:bookmarkEnd w:id="1476"/>
      <w:bookmarkEnd w:id="1477"/>
    </w:p>
    <w:p w14:paraId="6598C18F" w14:textId="5823796D" w:rsidR="00300C42" w:rsidRDefault="00300C42" w:rsidP="00300C42">
      <w:r>
        <w:t xml:space="preserve">The clock and/or frequency generation circuits are essential components in modern digital wireless communications systems. The circuits are used to drive reference waveform to demodulate signals received over the air. Due to the random states of clock/frequency generation circuits in the </w:t>
      </w:r>
      <w:r>
        <w:lastRenderedPageBreak/>
        <w:t xml:space="preserve">measurement radio node, the phase of the ML measurement data such as the time domain channel impulse responses may contain random and unhelpful information to AI/ML models. For the AI/ML positioning application, this means for UE revisiting the exact same location, the TD CIR sample sequences may still differ because the state of the clock/frequency generation circuits may be at different state. A TD CIR sample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(1)</m:t>
            </m:r>
          </m:sup>
        </m:sSubSup>
        <m:r>
          <w:rPr>
            <w:rFonts w:ascii="Cambria Math" w:hAnsi="Cambria Math"/>
          </w:rPr>
          <m:t>[d]</m:t>
        </m:r>
      </m:oMath>
      <w:r>
        <w:t xml:space="preserve"> measured </w:t>
      </w:r>
      <w:r>
        <w:rPr>
          <w:iCs/>
        </w:rPr>
        <w:t xml:space="preserve">at a first visit and </w:t>
      </w:r>
      <m:oMath>
        <m:sSubSup>
          <m:sSubSupPr>
            <m:ctrlPr>
              <w:rPr>
                <w:rFonts w:ascii="Cambria Math" w:hAnsi="Cambria Math"/>
                <w:i/>
              </w:rPr>
            </m:ctrlPr>
          </m:sSubSupPr>
          <m:e>
            <m:r>
              <w:rPr>
                <w:rFonts w:ascii="Cambria Math" w:hAnsi="Cambria Math"/>
              </w:rPr>
              <m:t>h</m:t>
            </m:r>
            <m:ctrlPr>
              <w:rPr>
                <w:rFonts w:ascii="Cambria Math" w:hAnsi="Cambria Math"/>
                <w:i/>
                <w:iCs/>
              </w:rPr>
            </m:ctrlPr>
          </m:e>
          <m:sub>
            <m:r>
              <w:rPr>
                <w:rFonts w:ascii="Cambria Math" w:hAnsi="Cambria Math"/>
              </w:rPr>
              <m:t>a</m:t>
            </m:r>
            <m:ctrlPr>
              <w:rPr>
                <w:rFonts w:ascii="Cambria Math" w:hAnsi="Cambria Math"/>
                <w:i/>
                <w:iCs/>
              </w:rPr>
            </m:ctrlPr>
          </m:sub>
          <m:sup>
            <m:r>
              <w:rPr>
                <w:rFonts w:ascii="Cambria Math" w:hAnsi="Cambria Math"/>
              </w:rPr>
              <m:t>(2)</m:t>
            </m:r>
          </m:sup>
        </m:sSubSup>
        <m:d>
          <m:dPr>
            <m:begChr m:val="["/>
            <m:endChr m:val="]"/>
            <m:ctrlPr>
              <w:rPr>
                <w:rFonts w:ascii="Cambria Math" w:hAnsi="Cambria Math"/>
                <w:i/>
              </w:rPr>
            </m:ctrlPr>
          </m:dPr>
          <m:e>
            <m:r>
              <w:rPr>
                <w:rFonts w:ascii="Cambria Math" w:hAnsi="Cambria Math"/>
              </w:rPr>
              <m:t>d</m:t>
            </m:r>
          </m:e>
        </m:d>
      </m:oMath>
      <w:r>
        <w:rPr>
          <w:iCs/>
        </w:rPr>
        <w:t xml:space="preserve"> measured at a second visit may be different because of the different </w:t>
      </w:r>
      <w:r>
        <w:t xml:space="preserve">states of clock/frequency generation circuits. </w:t>
      </w:r>
    </w:p>
    <w:p w14:paraId="30467D97" w14:textId="77777777" w:rsidR="00300C42" w:rsidRDefault="00300C42" w:rsidP="00300C42">
      <w:r>
        <w:t xml:space="preserve">More specifically, let the sequence of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 xml:space="preserve"> complex-valued TD CIR samples measured on receive antenna port </w:t>
      </w:r>
      <m:oMath>
        <m:r>
          <w:rPr>
            <w:rFonts w:ascii="Cambria Math" w:hAnsi="Cambria Math"/>
          </w:rPr>
          <m:t>a</m:t>
        </m:r>
      </m:oMath>
      <w:r>
        <w:t xml:space="preserve"> be </w:t>
      </w:r>
    </w:p>
    <w:p w14:paraId="1B4CE040" w14:textId="77777777" w:rsidR="00300C42" w:rsidRDefault="00B27F97" w:rsidP="00300C42">
      <m:oMathPara>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6F43BB48" w14:textId="77777777" w:rsidR="00300C42" w:rsidRDefault="00300C42" w:rsidP="00300C42">
      <w:r>
        <w:t xml:space="preserve">where </w:t>
      </w:r>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t xml:space="preserve"> are the sampling time locations of the TD CIR samples. The sampling time locations may be on a regular sampling grid with integer values or off the regular grid with non-integer values as discussed in the last section. The complex CIR samples can be equivalently represented by the </w:t>
      </w:r>
      <w:r w:rsidRPr="00194B5B">
        <w:t>power</w:t>
      </w:r>
      <w:r>
        <w:t xml:space="preserve"> and phase parts:</w:t>
      </w:r>
    </w:p>
    <w:p w14:paraId="1474B6AA" w14:textId="77777777" w:rsidR="00300C42" w:rsidRPr="00402A39" w:rsidRDefault="00B27F97"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5C9054D3" w14:textId="77777777" w:rsidR="00300C42" w:rsidRPr="00402A39" w:rsidRDefault="00B27F97"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812FDEB" w14:textId="77777777" w:rsidR="00300C42" w:rsidRDefault="00300C42" w:rsidP="00300C42">
      <w:r>
        <w:t xml:space="preserve">where </w:t>
      </w:r>
      <m:oMath>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ra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e>
            </m:d>
          </m:e>
        </m:func>
      </m:oMath>
      <w:r>
        <w:t xml:space="preserve">, for </w:t>
      </w:r>
      <m:oMath>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oMath>
      <w:r>
        <w:t>.</w:t>
      </w:r>
    </w:p>
    <w:p w14:paraId="7BA3DCFC" w14:textId="77777777" w:rsidR="00300C42" w:rsidRDefault="00300C42" w:rsidP="00300C42">
      <w:r>
        <w:t xml:space="preserve">The above discussion indicates that the initial phase value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t xml:space="preserve"> may in fact be random and contains no useful </w:t>
      </w:r>
      <w:r w:rsidRPr="00194B5B">
        <w:t>spatial</w:t>
      </w:r>
      <w:r>
        <w:t xml:space="preserve"> dependent information. An AI/ML model trained with samples containing such spurious values will nonetheless learn to associate the target positions with these random initial phases in the training dataset. When fed with new measurements with new random phases during inference, the model will be confused and generates inaccurate position estimates.</w:t>
      </w:r>
    </w:p>
    <w:p w14:paraId="5861ADBA" w14:textId="746DC84B" w:rsidR="00300C42" w:rsidRPr="00194B5B" w:rsidRDefault="00300C42" w:rsidP="00300C42">
      <w:r>
        <w:t xml:space="preserve">For instance, we trained a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0D1784">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t xml:space="preserve"> CIR model using a training dataset of 40,000 samples with the measured phases (i.e., containing the random initial phases). In </w:t>
      </w:r>
      <w:r w:rsidR="00E70DE4">
        <w:fldChar w:fldCharType="begin"/>
      </w:r>
      <w:r w:rsidR="00E70DE4">
        <w:instrText xml:space="preserve"> REF _Ref163127728 </w:instrText>
      </w:r>
      <w:r w:rsidR="00E70DE4">
        <w:fldChar w:fldCharType="separate"/>
      </w:r>
      <w:r w:rsidR="00C713E4" w:rsidRPr="00E215F0">
        <w:t xml:space="preserve">Table </w:t>
      </w:r>
      <w:r w:rsidR="00C713E4">
        <w:rPr>
          <w:noProof/>
        </w:rPr>
        <w:t>2</w:t>
      </w:r>
      <w:r w:rsidR="00E70DE4">
        <w:rPr>
          <w:noProof/>
        </w:rPr>
        <w:fldChar w:fldCharType="end"/>
      </w:r>
      <w:r w:rsidRPr="00194B5B">
        <w:t>, we tested the trained model under two different conditions:</w:t>
      </w:r>
    </w:p>
    <w:p w14:paraId="36528DEA" w14:textId="77777777" w:rsidR="00300C42" w:rsidRPr="00194B5B" w:rsidRDefault="00300C42" w:rsidP="005925D5">
      <w:pPr>
        <w:pStyle w:val="ListParagraph"/>
        <w:numPr>
          <w:ilvl w:val="0"/>
          <w:numId w:val="39"/>
        </w:numPr>
      </w:pPr>
      <w:r w:rsidRPr="00194B5B">
        <w:t>When the trained model is tested with consistent initial phase (that is, the initial phase values for different UE positions reflects only the spatial differences), the model achieves a 90%tile 2D UE positioning error of 0.38 m.</w:t>
      </w:r>
    </w:p>
    <w:p w14:paraId="181B1F94" w14:textId="77777777" w:rsidR="00300C42" w:rsidRPr="00194B5B" w:rsidRDefault="00300C42" w:rsidP="005925D5">
      <w:pPr>
        <w:pStyle w:val="ListParagraph"/>
        <w:numPr>
          <w:ilvl w:val="0"/>
          <w:numId w:val="39"/>
        </w:numPr>
      </w:pPr>
      <w:r w:rsidRPr="00194B5B">
        <w:t>When the trained model is tested with random initial phase (that is, the initial phase values for different UE positions reflects the spatial differences and random phases), the 90%tile 2D UE positioning error increases by 20% to 0.46 m.</w:t>
      </w:r>
    </w:p>
    <w:p w14:paraId="639734E0" w14:textId="389DF814" w:rsidR="00300C42" w:rsidRDefault="00300C42" w:rsidP="00300C42">
      <w:pPr>
        <w:pStyle w:val="Caption"/>
      </w:pPr>
      <w:bookmarkStart w:id="1478" w:name="_Ref163127728"/>
      <w:r w:rsidRPr="00E215F0">
        <w:t xml:space="preserve">Table </w:t>
      </w:r>
      <w:r w:rsidR="00E70DE4">
        <w:fldChar w:fldCharType="begin"/>
      </w:r>
      <w:r w:rsidR="00E70DE4">
        <w:instrText xml:space="preserve"> SEQ Table \* ARABIC </w:instrText>
      </w:r>
      <w:r w:rsidR="00E70DE4">
        <w:fldChar w:fldCharType="separate"/>
      </w:r>
      <w:r w:rsidR="00C713E4">
        <w:rPr>
          <w:noProof/>
        </w:rPr>
        <w:t>2</w:t>
      </w:r>
      <w:r w:rsidR="00E70DE4">
        <w:rPr>
          <w:noProof/>
        </w:rPr>
        <w:fldChar w:fldCharType="end"/>
      </w:r>
      <w:bookmarkEnd w:id="1478"/>
      <w:r w:rsidRPr="00E215F0">
        <w:t xml:space="preserve"> Comparison of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E215F0">
        <w:t xml:space="preserve"> (in meters) for </w:t>
      </w:r>
      <w:r>
        <w:t xml:space="preserve">a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=256</m:t>
        </m:r>
      </m:oMath>
      <w: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m:t>
            </m:r>
          </m:sub>
          <m:sup>
            <m:r>
              <m:rPr>
                <m:sty m:val="bi"/>
              </m:rPr>
              <w:rPr>
                <w:rFonts w:ascii="Cambria Math" w:hAnsi="Cambria Math"/>
              </w:rPr>
              <m:t>'</m:t>
            </m:r>
          </m:sup>
        </m:sSubSup>
        <m:r>
          <m:rPr>
            <m:sty m:val="bi"/>
          </m:rPr>
          <w:rPr>
            <w:rFonts w:ascii="Cambria Math" w:hAnsi="Cambria Math"/>
          </w:rPr>
          <m:t>=128</m:t>
        </m:r>
      </m:oMath>
      <w:r>
        <w:t xml:space="preserve"> model trained without random initial phase and (1) tested without random initial phases or (2) tested with </w:t>
      </w:r>
      <w:r>
        <w:lastRenderedPageBreak/>
        <w:t>random initial phases</w:t>
      </w:r>
      <w:r w:rsidRPr="00E215F0">
        <w:t xml:space="preserve"> in the </w:t>
      </w:r>
      <w:r w:rsidRPr="00E215F0">
        <w:rPr>
          <w:lang w:eastAsia="ja-JP"/>
        </w:rPr>
        <w:t xml:space="preserve">{60%, 6m, 2m} </w:t>
      </w:r>
      <w:proofErr w:type="spellStart"/>
      <w:r w:rsidRPr="00E215F0">
        <w:rPr>
          <w:lang w:eastAsia="ja-JP"/>
        </w:rPr>
        <w:t>InF</w:t>
      </w:r>
      <w:proofErr w:type="spellEnd"/>
      <w:r w:rsidRPr="00E215F0">
        <w:rPr>
          <w:lang w:eastAsia="ja-JP"/>
        </w:rPr>
        <w:t>-DH scenario</w:t>
      </w:r>
      <w:r w:rsidRPr="00E215F0">
        <w:t xml:space="preserve">. The positioning accuracy is for the “small model” for centralized direct positioning trained with 40,000 samples </w:t>
      </w:r>
      <w:r w:rsidRPr="00E215F0">
        <w:fldChar w:fldCharType="begin"/>
      </w:r>
      <w:r w:rsidRPr="00E215F0">
        <w:instrText xml:space="preserve"> REF _Ref158730650 \r \h </w:instrText>
      </w:r>
      <w:r w:rsidRPr="00E215F0">
        <w:fldChar w:fldCharType="separate"/>
      </w:r>
      <w:r w:rsidR="00C713E4">
        <w:t>[6]</w:t>
      </w:r>
      <w:r w:rsidRPr="00E215F0">
        <w:fldChar w:fldCharType="end"/>
      </w:r>
      <w:r w:rsidRPr="00E215F0">
        <w:t>.</w:t>
      </w:r>
    </w:p>
    <w:tbl>
      <w:tblPr>
        <w:tblStyle w:val="TableGrid"/>
        <w:tblW w:w="0" w:type="auto"/>
        <w:jc w:val="center"/>
        <w:tblLook w:val="04A0" w:firstRow="1" w:lastRow="0" w:firstColumn="1" w:lastColumn="0" w:noHBand="0" w:noVBand="1"/>
      </w:tblPr>
      <w:tblGrid>
        <w:gridCol w:w="1676"/>
        <w:gridCol w:w="3119"/>
        <w:gridCol w:w="3120"/>
      </w:tblGrid>
      <w:tr w:rsidR="00300C42" w:rsidRPr="00194B5B" w14:paraId="74889B61" w14:textId="77777777">
        <w:trPr>
          <w:jc w:val="center"/>
        </w:trPr>
        <w:tc>
          <w:tcPr>
            <w:tcW w:w="1676" w:type="dxa"/>
            <w:vMerge w:val="restart"/>
            <w:vAlign w:val="center"/>
          </w:tcPr>
          <w:p w14:paraId="3AD4537C" w14:textId="77777777" w:rsidR="00300C42" w:rsidRPr="00853C2C" w:rsidRDefault="00300C42">
            <w:pPr>
              <w:spacing w:before="60" w:after="60"/>
              <w:jc w:val="center"/>
              <w:rPr>
                <w:sz w:val="20"/>
                <w:szCs w:val="20"/>
              </w:rPr>
            </w:pPr>
            <w:r w:rsidRPr="00853C2C">
              <w:rPr>
                <w:sz w:val="20"/>
                <w:szCs w:val="20"/>
              </w:rPr>
              <w:t>CDF Percentile</w:t>
            </w:r>
          </w:p>
        </w:tc>
        <w:tc>
          <w:tcPr>
            <w:tcW w:w="6239" w:type="dxa"/>
            <w:gridSpan w:val="2"/>
            <w:tcBorders>
              <w:bottom w:val="single" w:sz="4" w:space="0" w:color="auto"/>
            </w:tcBorders>
            <w:vAlign w:val="center"/>
          </w:tcPr>
          <w:p w14:paraId="7E939B47" w14:textId="77777777" w:rsidR="00300C42" w:rsidRDefault="00300C42">
            <w:pPr>
              <w:spacing w:before="60" w:after="60"/>
              <w:jc w:val="center"/>
              <w:rPr>
                <w:sz w:val="20"/>
                <w:szCs w:val="20"/>
              </w:rPr>
            </w:pPr>
            <w:r w:rsidRPr="00853C2C">
              <w:rPr>
                <w:sz w:val="20"/>
                <w:szCs w:val="20"/>
              </w:rPr>
              <w:t>UE 2D positioning errors [m]</w:t>
            </w:r>
            <w:r>
              <w:rPr>
                <w:sz w:val="20"/>
                <w:szCs w:val="20"/>
              </w:rPr>
              <w:t xml:space="preserve"> in </w:t>
            </w:r>
            <w:r w:rsidRPr="00853C2C">
              <w:rPr>
                <w:sz w:val="20"/>
                <w:szCs w:val="20"/>
              </w:rPr>
              <w:t>{60%, 6m, 2m}</w:t>
            </w:r>
          </w:p>
          <w:p w14:paraId="7FB8EDD2" w14:textId="77777777" w:rsidR="00300C42" w:rsidRPr="00853C2C" w:rsidRDefault="00300C42">
            <w:pPr>
              <w:spacing w:before="60" w:after="60"/>
              <w:jc w:val="center"/>
              <w:rPr>
                <w:sz w:val="20"/>
                <w:szCs w:val="20"/>
              </w:rPr>
            </w:pPr>
            <w:r w:rsidRPr="00853C2C">
              <w:rPr>
                <w:sz w:val="20"/>
                <w:szCs w:val="20"/>
              </w:rPr>
              <w:t xml:space="preserve">Model I trained with 40,000 </w:t>
            </w:r>
            <w:r w:rsidRPr="00194B5B">
              <w:rPr>
                <w:sz w:val="20"/>
                <w:szCs w:val="20"/>
              </w:rPr>
              <w:t xml:space="preserve">CIR </w:t>
            </w:r>
            <w:r w:rsidRPr="00853C2C">
              <w:rPr>
                <w:sz w:val="20"/>
                <w:szCs w:val="20"/>
              </w:rPr>
              <w:t xml:space="preserve">samples </w:t>
            </w:r>
            <w:r>
              <w:rPr>
                <w:sz w:val="20"/>
                <w:szCs w:val="20"/>
              </w:rPr>
              <w:t xml:space="preserve">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194B5B">
              <w:rPr>
                <w:sz w:val="20"/>
                <w:szCs w:val="20"/>
              </w:rPr>
              <w:t xml:space="preserve"> </w:t>
            </w:r>
          </w:p>
        </w:tc>
      </w:tr>
      <w:tr w:rsidR="00300C42" w:rsidRPr="00194B5B" w14:paraId="519E8F5D" w14:textId="77777777">
        <w:trPr>
          <w:jc w:val="center"/>
        </w:trPr>
        <w:tc>
          <w:tcPr>
            <w:tcW w:w="1676" w:type="dxa"/>
            <w:vMerge/>
            <w:tcBorders>
              <w:bottom w:val="double" w:sz="4" w:space="0" w:color="auto"/>
            </w:tcBorders>
            <w:vAlign w:val="center"/>
          </w:tcPr>
          <w:p w14:paraId="37BDCF73" w14:textId="77777777" w:rsidR="00300C42" w:rsidRPr="00853C2C" w:rsidRDefault="00300C42">
            <w:pPr>
              <w:spacing w:before="60" w:after="60"/>
              <w:jc w:val="center"/>
              <w:rPr>
                <w:sz w:val="20"/>
                <w:szCs w:val="20"/>
              </w:rPr>
            </w:pPr>
          </w:p>
        </w:tc>
        <w:tc>
          <w:tcPr>
            <w:tcW w:w="3119" w:type="dxa"/>
            <w:tcBorders>
              <w:top w:val="single" w:sz="4" w:space="0" w:color="auto"/>
              <w:bottom w:val="double" w:sz="4" w:space="0" w:color="auto"/>
            </w:tcBorders>
            <w:vAlign w:val="center"/>
          </w:tcPr>
          <w:p w14:paraId="07CC4852" w14:textId="77777777" w:rsidR="00300C42" w:rsidRPr="00853C2C" w:rsidRDefault="00300C42">
            <w:pPr>
              <w:spacing w:before="60" w:after="60"/>
              <w:jc w:val="center"/>
              <w:rPr>
                <w:sz w:val="20"/>
                <w:szCs w:val="20"/>
              </w:rPr>
            </w:pPr>
            <w:r>
              <w:rPr>
                <w:sz w:val="20"/>
                <w:szCs w:val="20"/>
              </w:rPr>
              <w:t xml:space="preserve">Tested without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c>
          <w:tcPr>
            <w:tcW w:w="3120" w:type="dxa"/>
            <w:tcBorders>
              <w:top w:val="single" w:sz="4" w:space="0" w:color="auto"/>
              <w:bottom w:val="double" w:sz="4" w:space="0" w:color="auto"/>
            </w:tcBorders>
            <w:vAlign w:val="center"/>
          </w:tcPr>
          <w:p w14:paraId="42FF2796" w14:textId="77777777" w:rsidR="00300C42" w:rsidRPr="00853C2C" w:rsidRDefault="00300C42">
            <w:pPr>
              <w:spacing w:before="60" w:after="60"/>
              <w:jc w:val="center"/>
              <w:rPr>
                <w:sz w:val="20"/>
                <w:szCs w:val="20"/>
              </w:rPr>
            </w:pPr>
            <w:r>
              <w:rPr>
                <w:sz w:val="20"/>
                <w:szCs w:val="20"/>
              </w:rPr>
              <w:t xml:space="preserve">Tested with random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p>
        </w:tc>
      </w:tr>
      <w:tr w:rsidR="00300C42" w:rsidRPr="00194B5B" w14:paraId="1F897F0F" w14:textId="77777777">
        <w:trPr>
          <w:jc w:val="center"/>
        </w:trPr>
        <w:tc>
          <w:tcPr>
            <w:tcW w:w="1676" w:type="dxa"/>
            <w:vAlign w:val="center"/>
          </w:tcPr>
          <w:p w14:paraId="4AEED5E0" w14:textId="77777777" w:rsidR="00300C42" w:rsidRPr="00853C2C" w:rsidRDefault="00300C42">
            <w:pPr>
              <w:spacing w:before="60" w:after="60"/>
              <w:jc w:val="center"/>
              <w:rPr>
                <w:sz w:val="20"/>
                <w:szCs w:val="20"/>
              </w:rPr>
            </w:pPr>
            <w:r w:rsidRPr="00853C2C">
              <w:rPr>
                <w:sz w:val="20"/>
                <w:szCs w:val="20"/>
              </w:rPr>
              <w:t>50</w:t>
            </w:r>
          </w:p>
        </w:tc>
        <w:tc>
          <w:tcPr>
            <w:tcW w:w="3119" w:type="dxa"/>
            <w:vAlign w:val="center"/>
          </w:tcPr>
          <w:p w14:paraId="478FCC37" w14:textId="77777777" w:rsidR="00300C42" w:rsidRPr="00853C2C" w:rsidRDefault="00300C42">
            <w:pPr>
              <w:spacing w:before="60" w:after="60"/>
              <w:jc w:val="center"/>
              <w:rPr>
                <w:sz w:val="20"/>
                <w:szCs w:val="20"/>
              </w:rPr>
            </w:pPr>
            <w:r w:rsidRPr="00853C2C">
              <w:rPr>
                <w:sz w:val="20"/>
                <w:szCs w:val="20"/>
              </w:rPr>
              <w:t>0.</w:t>
            </w:r>
            <w:r w:rsidRPr="00194B5B">
              <w:rPr>
                <w:sz w:val="20"/>
                <w:szCs w:val="20"/>
              </w:rPr>
              <w:t>1</w:t>
            </w:r>
            <w:r>
              <w:rPr>
                <w:sz w:val="20"/>
                <w:szCs w:val="20"/>
              </w:rPr>
              <w:t>9</w:t>
            </w:r>
          </w:p>
        </w:tc>
        <w:tc>
          <w:tcPr>
            <w:tcW w:w="3120" w:type="dxa"/>
            <w:vAlign w:val="center"/>
          </w:tcPr>
          <w:p w14:paraId="729A2BA6" w14:textId="77777777" w:rsidR="00300C42" w:rsidRPr="00853C2C" w:rsidRDefault="00300C42">
            <w:pPr>
              <w:spacing w:before="60" w:after="60"/>
              <w:jc w:val="center"/>
              <w:rPr>
                <w:sz w:val="20"/>
                <w:szCs w:val="20"/>
              </w:rPr>
            </w:pPr>
            <w:r>
              <w:rPr>
                <w:sz w:val="20"/>
                <w:szCs w:val="20"/>
              </w:rPr>
              <w:t>0.</w:t>
            </w:r>
            <w:r w:rsidRPr="00194B5B">
              <w:rPr>
                <w:sz w:val="20"/>
                <w:szCs w:val="20"/>
              </w:rPr>
              <w:t>23</w:t>
            </w:r>
          </w:p>
        </w:tc>
      </w:tr>
      <w:tr w:rsidR="00300C42" w:rsidRPr="00194B5B" w14:paraId="6EA9F9D1" w14:textId="77777777">
        <w:trPr>
          <w:jc w:val="center"/>
        </w:trPr>
        <w:tc>
          <w:tcPr>
            <w:tcW w:w="1676" w:type="dxa"/>
            <w:vAlign w:val="center"/>
          </w:tcPr>
          <w:p w14:paraId="78DC30BF" w14:textId="77777777" w:rsidR="00300C42" w:rsidRPr="00853C2C" w:rsidRDefault="00300C42">
            <w:pPr>
              <w:spacing w:before="60" w:after="60"/>
              <w:jc w:val="center"/>
              <w:rPr>
                <w:sz w:val="20"/>
                <w:szCs w:val="20"/>
              </w:rPr>
            </w:pPr>
            <w:r w:rsidRPr="00853C2C">
              <w:rPr>
                <w:sz w:val="20"/>
                <w:szCs w:val="20"/>
              </w:rPr>
              <w:t>67</w:t>
            </w:r>
          </w:p>
        </w:tc>
        <w:tc>
          <w:tcPr>
            <w:tcW w:w="3119" w:type="dxa"/>
            <w:vAlign w:val="center"/>
          </w:tcPr>
          <w:p w14:paraId="32470879" w14:textId="77777777" w:rsidR="00300C42" w:rsidRPr="00853C2C" w:rsidRDefault="00300C42">
            <w:pPr>
              <w:spacing w:before="60" w:after="60"/>
              <w:jc w:val="center"/>
              <w:rPr>
                <w:sz w:val="20"/>
                <w:szCs w:val="20"/>
              </w:rPr>
            </w:pPr>
            <w:r w:rsidRPr="00853C2C">
              <w:rPr>
                <w:sz w:val="20"/>
                <w:szCs w:val="20"/>
              </w:rPr>
              <w:t>0.</w:t>
            </w:r>
            <w:r w:rsidRPr="00194B5B">
              <w:rPr>
                <w:sz w:val="20"/>
                <w:szCs w:val="20"/>
              </w:rPr>
              <w:t>2</w:t>
            </w:r>
            <w:r>
              <w:rPr>
                <w:sz w:val="20"/>
                <w:szCs w:val="20"/>
              </w:rPr>
              <w:t>5</w:t>
            </w:r>
          </w:p>
        </w:tc>
        <w:tc>
          <w:tcPr>
            <w:tcW w:w="3120" w:type="dxa"/>
            <w:vAlign w:val="center"/>
          </w:tcPr>
          <w:p w14:paraId="6A1CD1D0" w14:textId="77777777" w:rsidR="00300C42" w:rsidRPr="00853C2C" w:rsidRDefault="00300C42">
            <w:pPr>
              <w:spacing w:before="60" w:after="60"/>
              <w:jc w:val="center"/>
              <w:rPr>
                <w:sz w:val="20"/>
                <w:szCs w:val="20"/>
              </w:rPr>
            </w:pPr>
            <w:r>
              <w:rPr>
                <w:sz w:val="20"/>
                <w:szCs w:val="20"/>
              </w:rPr>
              <w:t>0.</w:t>
            </w:r>
            <w:r w:rsidRPr="00194B5B">
              <w:rPr>
                <w:sz w:val="20"/>
                <w:szCs w:val="20"/>
              </w:rPr>
              <w:t>30</w:t>
            </w:r>
          </w:p>
        </w:tc>
      </w:tr>
      <w:tr w:rsidR="00300C42" w:rsidRPr="00194B5B" w14:paraId="00745937" w14:textId="77777777">
        <w:trPr>
          <w:jc w:val="center"/>
        </w:trPr>
        <w:tc>
          <w:tcPr>
            <w:tcW w:w="1676" w:type="dxa"/>
            <w:vAlign w:val="center"/>
          </w:tcPr>
          <w:p w14:paraId="09E1BE4A" w14:textId="77777777" w:rsidR="00300C42" w:rsidRPr="00853C2C" w:rsidRDefault="00300C42">
            <w:pPr>
              <w:spacing w:before="60" w:after="60"/>
              <w:jc w:val="center"/>
              <w:rPr>
                <w:sz w:val="20"/>
                <w:szCs w:val="20"/>
              </w:rPr>
            </w:pPr>
            <w:r w:rsidRPr="00853C2C">
              <w:rPr>
                <w:sz w:val="20"/>
                <w:szCs w:val="20"/>
              </w:rPr>
              <w:t>80</w:t>
            </w:r>
          </w:p>
        </w:tc>
        <w:tc>
          <w:tcPr>
            <w:tcW w:w="3119" w:type="dxa"/>
            <w:vAlign w:val="center"/>
          </w:tcPr>
          <w:p w14:paraId="344DDDFF" w14:textId="77777777" w:rsidR="00300C42" w:rsidRPr="00853C2C" w:rsidRDefault="00300C42">
            <w:pPr>
              <w:spacing w:before="60" w:after="60"/>
              <w:jc w:val="center"/>
              <w:rPr>
                <w:sz w:val="20"/>
                <w:szCs w:val="20"/>
              </w:rPr>
            </w:pPr>
            <w:r w:rsidRPr="00853C2C">
              <w:rPr>
                <w:sz w:val="20"/>
                <w:szCs w:val="20"/>
              </w:rPr>
              <w:t>0.</w:t>
            </w:r>
            <w:r w:rsidRPr="00194B5B">
              <w:rPr>
                <w:sz w:val="20"/>
                <w:szCs w:val="20"/>
              </w:rPr>
              <w:t>3</w:t>
            </w:r>
            <w:r>
              <w:rPr>
                <w:sz w:val="20"/>
                <w:szCs w:val="20"/>
              </w:rPr>
              <w:t>1</w:t>
            </w:r>
          </w:p>
        </w:tc>
        <w:tc>
          <w:tcPr>
            <w:tcW w:w="3120" w:type="dxa"/>
            <w:vAlign w:val="center"/>
          </w:tcPr>
          <w:p w14:paraId="2A4A538F" w14:textId="77777777" w:rsidR="00300C42" w:rsidRPr="00853C2C" w:rsidRDefault="00300C42">
            <w:pPr>
              <w:spacing w:before="60" w:after="60"/>
              <w:jc w:val="center"/>
              <w:rPr>
                <w:sz w:val="20"/>
                <w:szCs w:val="20"/>
              </w:rPr>
            </w:pPr>
            <w:r>
              <w:rPr>
                <w:sz w:val="20"/>
                <w:szCs w:val="20"/>
              </w:rPr>
              <w:t>0.</w:t>
            </w:r>
            <w:r w:rsidRPr="00194B5B">
              <w:rPr>
                <w:sz w:val="20"/>
                <w:szCs w:val="20"/>
              </w:rPr>
              <w:t>3</w:t>
            </w:r>
            <w:r>
              <w:rPr>
                <w:sz w:val="20"/>
                <w:szCs w:val="20"/>
              </w:rPr>
              <w:t>8</w:t>
            </w:r>
          </w:p>
        </w:tc>
      </w:tr>
      <w:tr w:rsidR="00300C42" w:rsidRPr="00194B5B" w14:paraId="12FCF97E" w14:textId="77777777">
        <w:trPr>
          <w:jc w:val="center"/>
        </w:trPr>
        <w:tc>
          <w:tcPr>
            <w:tcW w:w="1676" w:type="dxa"/>
            <w:vAlign w:val="center"/>
          </w:tcPr>
          <w:p w14:paraId="0A8F324E" w14:textId="77777777" w:rsidR="00300C42" w:rsidRPr="00853C2C" w:rsidRDefault="00300C42">
            <w:pPr>
              <w:spacing w:before="60" w:after="60"/>
              <w:jc w:val="center"/>
              <w:rPr>
                <w:sz w:val="20"/>
                <w:szCs w:val="20"/>
              </w:rPr>
            </w:pPr>
            <w:r w:rsidRPr="00853C2C">
              <w:rPr>
                <w:sz w:val="20"/>
                <w:szCs w:val="20"/>
              </w:rPr>
              <w:t>90</w:t>
            </w:r>
          </w:p>
        </w:tc>
        <w:tc>
          <w:tcPr>
            <w:tcW w:w="3119" w:type="dxa"/>
            <w:vAlign w:val="center"/>
          </w:tcPr>
          <w:p w14:paraId="32898AF7" w14:textId="77777777" w:rsidR="00300C42" w:rsidRPr="00853C2C" w:rsidRDefault="00300C42">
            <w:pPr>
              <w:spacing w:before="60" w:after="60"/>
              <w:jc w:val="center"/>
              <w:rPr>
                <w:sz w:val="20"/>
                <w:szCs w:val="20"/>
              </w:rPr>
            </w:pPr>
            <w:r w:rsidRPr="00853C2C">
              <w:rPr>
                <w:sz w:val="20"/>
                <w:szCs w:val="20"/>
              </w:rPr>
              <w:t>0.</w:t>
            </w:r>
            <w:r w:rsidRPr="00194B5B">
              <w:rPr>
                <w:sz w:val="20"/>
                <w:szCs w:val="20"/>
              </w:rPr>
              <w:t>38</w:t>
            </w:r>
          </w:p>
        </w:tc>
        <w:tc>
          <w:tcPr>
            <w:tcW w:w="3120" w:type="dxa"/>
            <w:vAlign w:val="center"/>
          </w:tcPr>
          <w:p w14:paraId="61A506A6" w14:textId="77777777" w:rsidR="00300C42" w:rsidRPr="00853C2C" w:rsidRDefault="00300C42">
            <w:pPr>
              <w:spacing w:before="60" w:after="60"/>
              <w:jc w:val="center"/>
              <w:rPr>
                <w:sz w:val="20"/>
                <w:szCs w:val="20"/>
              </w:rPr>
            </w:pPr>
            <w:r>
              <w:rPr>
                <w:sz w:val="20"/>
                <w:szCs w:val="20"/>
              </w:rPr>
              <w:t>0.</w:t>
            </w:r>
            <w:r w:rsidRPr="00194B5B">
              <w:rPr>
                <w:sz w:val="20"/>
                <w:szCs w:val="20"/>
              </w:rPr>
              <w:t>46</w:t>
            </w:r>
          </w:p>
        </w:tc>
      </w:tr>
    </w:tbl>
    <w:p w14:paraId="0DFC1737" w14:textId="77777777" w:rsidR="00300C42" w:rsidRDefault="00300C42" w:rsidP="00300C42"/>
    <w:p w14:paraId="1B13548D" w14:textId="28E4813E" w:rsidR="00300C42" w:rsidRPr="00194B5B" w:rsidRDefault="00300C42" w:rsidP="002938DE">
      <w:pPr>
        <w:pStyle w:val="Observation"/>
      </w:pPr>
      <w:bookmarkStart w:id="1479" w:name="_Toc189845068"/>
      <w:r w:rsidRPr="00194B5B">
        <w:t xml:space="preserve">The initial phase values of measured CIR samples may be random and contains no useful spatial dependent information for an AI/ML model to learn the association between measured CIR samples and the target positions. Without addressing such </w:t>
      </w:r>
      <w:r>
        <w:t>spurious</w:t>
      </w:r>
      <w:r w:rsidRPr="00194B5B">
        <w:t xml:space="preserve"> information during training and inference, fingerprinting ML models using the CIR inputs can produce inaccurate position estimates.</w:t>
      </w:r>
      <w:bookmarkEnd w:id="1479"/>
    </w:p>
    <w:p w14:paraId="4F9F6835" w14:textId="77777777" w:rsidR="00300C42" w:rsidRPr="00194B5B" w:rsidRDefault="00300C42" w:rsidP="002938DE">
      <w:pPr>
        <w:pStyle w:val="Proposal"/>
      </w:pPr>
      <w:bookmarkStart w:id="1480" w:name="_Toc189845113"/>
      <w:r w:rsidRPr="00194B5B">
        <w:t>Before CIR can be adopted as model input, RAN1 need to investigate whether fingerprinting ML models can handle CIR phase measurements, which vary not only with the radio channel environment but also with the transmitter/receiver circuits.</w:t>
      </w:r>
      <w:bookmarkEnd w:id="1480"/>
    </w:p>
    <w:p w14:paraId="316DA1EE" w14:textId="77777777" w:rsidR="00300C42" w:rsidRPr="00194B5B" w:rsidRDefault="00300C42" w:rsidP="00300C42"/>
    <w:p w14:paraId="55E9F7C8" w14:textId="77777777" w:rsidR="00300C42" w:rsidRPr="00194B5B" w:rsidRDefault="00300C42" w:rsidP="00300C42">
      <w:r w:rsidRPr="00194B5B">
        <w:t xml:space="preserve">While the initial phase </w:t>
      </w:r>
      <m:oMath>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194B5B">
        <w:t xml:space="preserve"> may be random and contains no useful channel dependent information, the relative phases of the samples </w:t>
      </w:r>
    </w:p>
    <w:p w14:paraId="0BD3A913" w14:textId="77777777" w:rsidR="00300C42" w:rsidRPr="00194B5B" w:rsidRDefault="00B27F97" w:rsidP="00300C42">
      <m:oMathPara>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 xml:space="preserve">,  </m:t>
          </m:r>
          <m:r>
            <m:rPr>
              <m:nor/>
            </m:rPr>
            <w:rPr>
              <w:rFonts w:ascii="Cambria Math" w:hAnsi="Cambria Math"/>
            </w:rPr>
            <m:t>for</m:t>
          </m:r>
          <m:r>
            <w:rPr>
              <w:rFonts w:ascii="Cambria Math" w:hAnsi="Cambria Math"/>
            </w:rPr>
            <m:t xml:space="preserve"> d=</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oMath>
      </m:oMathPara>
    </w:p>
    <w:p w14:paraId="5209E337" w14:textId="77777777" w:rsidR="00300C42" w:rsidRDefault="00300C42" w:rsidP="00300C42">
      <w:r w:rsidRPr="00194B5B">
        <w:t xml:space="preserve">still contain useful information relating the channel and the sampling time. Hence, one way to circumvent the impact of the random initial phases is to scrub it from the model input. That is, instead of recording/signaling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194B5B">
        <w:t xml:space="preserve"> values of powers and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rsidRPr="00194B5B">
        <w:t xml:space="preserve"> values of phases, only </w:t>
      </w:r>
      <m:oMath>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oMath>
      <w:r w:rsidRPr="00194B5B">
        <w:t xml:space="preserve"> values are signaled/recorded:</w:t>
      </w:r>
    </w:p>
    <w:p w14:paraId="605EA05A" w14:textId="77777777" w:rsidR="00300C42" w:rsidRPr="00194B5B" w:rsidRDefault="00B27F97"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xml:space="preserve">, …, </m:t>
              </m:r>
              <m:sSub>
                <m:sSubPr>
                  <m:ctrlPr>
                    <w:rPr>
                      <w:rFonts w:ascii="Cambria Math" w:hAnsi="Cambria Math"/>
                      <w:i/>
                      <w:iCs/>
                    </w:rPr>
                  </m:ctrlPr>
                </m:sSubPr>
                <m:e>
                  <m:r>
                    <w:rPr>
                      <w:rFonts w:ascii="Cambria Math" w:hAnsi="Cambria Math"/>
                    </w:rPr>
                    <m:t>p</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293A81B3" w14:textId="77777777" w:rsidR="00300C42" w:rsidRPr="00194B5B" w:rsidRDefault="00B27F97" w:rsidP="00300C42">
      <w:pPr>
        <w:rPr>
          <w:rFonts w:ascii="Cambria Math" w:hAnsi="Cambria Math"/>
          <w:i/>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b>
                <m:sSubPr>
                  <m:ctrlPr>
                    <w:rPr>
                      <w:rFonts w:ascii="Cambria Math" w:hAnsi="Cambria Math"/>
                      <w:i/>
                      <w:iCs/>
                    </w:rPr>
                  </m:ctrlPr>
                </m:sSubPr>
                <m:e>
                  <m:r>
                    <w:rPr>
                      <w:rFonts w:ascii="Cambria Math" w:hAnsi="Cambria Math"/>
                    </w:rPr>
                    <m:t>θ</m:t>
                  </m:r>
                </m:e>
                <m:sub>
                  <m:r>
                    <w:rPr>
                      <w:rFonts w:ascii="Cambria Math" w:hAnsi="Cambria Math"/>
                    </w:rPr>
                    <m:t>a</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d</m:t>
                      </m:r>
                    </m:e>
                    <m:sub>
                      <m:r>
                        <w:rPr>
                          <w:rFonts w:ascii="Cambria Math" w:hAnsi="Cambria Math"/>
                        </w:rPr>
                        <m:t>2</m:t>
                      </m:r>
                    </m:sub>
                  </m:sSub>
                </m:e>
              </m:d>
              <m:r>
                <w:rPr>
                  <w:rFonts w:ascii="Cambria Math" w:hAnsi="Cambria Math"/>
                </w:rPr>
                <m:t>, …, ∆</m:t>
              </m:r>
              <m:sSub>
                <m:sSubPr>
                  <m:ctrlPr>
                    <w:rPr>
                      <w:rFonts w:ascii="Cambria Math" w:hAnsi="Cambria Math"/>
                      <w:i/>
                      <w:iCs/>
                    </w:rPr>
                  </m:ctrlPr>
                </m:sSubPr>
                <m:e>
                  <m:r>
                    <w:rPr>
                      <w:rFonts w:ascii="Cambria Math" w:hAnsi="Cambria Math"/>
                    </w:rPr>
                    <m:t>θ</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b>
              </m:sSub>
              <m:r>
                <w:rPr>
                  <w:rFonts w:ascii="Cambria Math" w:hAnsi="Cambria Math"/>
                </w:rPr>
                <m:t>]</m:t>
              </m:r>
            </m:e>
          </m:d>
        </m:oMath>
      </m:oMathPara>
    </w:p>
    <w:p w14:paraId="448E842C" w14:textId="4D6A9BEB" w:rsidR="00300C42" w:rsidRPr="00194B5B" w:rsidRDefault="00300C42" w:rsidP="00300C42">
      <w:pPr>
        <w:rPr>
          <w:iCs/>
        </w:rPr>
      </w:pPr>
      <w:r w:rsidRPr="00194B5B">
        <w:t xml:space="preserve">The phase of the initial sample </w:t>
      </w:r>
      <m:oMath>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oMath>
      <w:r w:rsidRPr="00194B5B">
        <w:rPr>
          <w:iCs/>
        </w:rPr>
        <w:t xml:space="preserve"> is taken as zero</w:t>
      </w:r>
      <w:r w:rsidR="0007691C">
        <w:rPr>
          <w:iCs/>
        </w:rPr>
        <w:t xml:space="preserve"> and not signaled</w:t>
      </w:r>
      <w:r w:rsidRPr="00194B5B">
        <w:rPr>
          <w:iCs/>
        </w:rPr>
        <w:t>. Equivalently, this is just applying a common phase de-rotation to the complex-valued CIR samples to set the initial phase to zero:</w:t>
      </w:r>
    </w:p>
    <w:p w14:paraId="2A716527" w14:textId="77777777" w:rsidR="00300C42" w:rsidRPr="00194B5B" w:rsidRDefault="00B27F97" w:rsidP="00300C42">
      <m:oMathPara>
        <m:oMath>
          <m:d>
            <m:dPr>
              <m:begChr m:val="{"/>
              <m:endChr m:val="}"/>
              <m:ctrlPr>
                <w:rPr>
                  <w:rFonts w:ascii="Cambria Math" w:hAnsi="Cambria Math"/>
                  <w:i/>
                </w:rPr>
              </m:ctrlPr>
            </m:dPr>
            <m:e>
              <m:rad>
                <m:radPr>
                  <m:degHide m:val="1"/>
                  <m:ctrlPr>
                    <w:rPr>
                      <w:rFonts w:ascii="Cambria Math" w:hAnsi="Cambria Math"/>
                      <w:i/>
                      <w:iCs/>
                    </w:rPr>
                  </m:ctrlPr>
                </m:radPr>
                <m:deg/>
                <m:e>
                  <m:sSub>
                    <m:sSubPr>
                      <m:ctrlPr>
                        <w:rPr>
                          <w:rFonts w:ascii="Cambria Math" w:hAnsi="Cambria Math"/>
                          <w:i/>
                          <w:iCs/>
                        </w:rPr>
                      </m:ctrlPr>
                    </m:sSubPr>
                    <m:e>
                      <m:r>
                        <w:rPr>
                          <w:rFonts w:ascii="Cambria Math" w:hAnsi="Cambria Math"/>
                        </w:rPr>
                        <m:t>p</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e>
              </m:rad>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e>
              </m:d>
              <m:r>
                <w:rPr>
                  <w:rFonts w:ascii="Cambria Math" w:hAnsi="Cambria Math"/>
                </w:rPr>
                <m:t>, …,</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a</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0</m:t>
                          </m:r>
                        </m:sub>
                      </m:sSub>
                    </m:e>
                  </m:d>
                </m:sup>
              </m:sSup>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d</m:t>
                  </m:r>
                </m:e>
                <m:sub>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m:t>
                  </m:r>
                </m:sub>
              </m:sSub>
              <m:r>
                <w:rPr>
                  <w:rFonts w:ascii="Cambria Math" w:hAnsi="Cambria Math"/>
                </w:rPr>
                <m:t>]</m:t>
              </m:r>
            </m:e>
          </m:d>
        </m:oMath>
      </m:oMathPara>
    </w:p>
    <w:p w14:paraId="5B42427D" w14:textId="4BFB7777" w:rsidR="00300C42" w:rsidRPr="00194B5B" w:rsidRDefault="00300C42" w:rsidP="00300C42">
      <w:r w:rsidRPr="00194B5B">
        <w:t xml:space="preserve">In </w:t>
      </w:r>
      <w:r w:rsidR="00E70DE4">
        <w:fldChar w:fldCharType="begin"/>
      </w:r>
      <w:r w:rsidR="00E70DE4">
        <w:instrText xml:space="preserve"> REF _Ref163128462 </w:instrText>
      </w:r>
      <w:r w:rsidR="00E70DE4">
        <w:fldChar w:fldCharType="separate"/>
      </w:r>
      <w:r w:rsidR="00C713E4" w:rsidRPr="00194B5B">
        <w:t xml:space="preserve">Table </w:t>
      </w:r>
      <w:r w:rsidR="00C713E4">
        <w:rPr>
          <w:noProof/>
        </w:rPr>
        <w:t>3</w:t>
      </w:r>
      <w:r w:rsidR="00E70DE4">
        <w:rPr>
          <w:noProof/>
        </w:rPr>
        <w:fldChar w:fldCharType="end"/>
      </w:r>
      <w:r w:rsidRPr="00194B5B">
        <w:t xml:space="preserve">, we compared the 90%tile 2D UE positioning errors </w:t>
      </w:r>
      <m:oMath>
        <m:sSub>
          <m:sSubPr>
            <m:ctrlPr>
              <w:rPr>
                <w:rFonts w:ascii="Cambria Math" w:eastAsia="Calibri"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w:r w:rsidRPr="00194B5B">
        <w:t xml:space="preserve"> (in meters) for two sets of models:</w:t>
      </w:r>
    </w:p>
    <w:p w14:paraId="17FD8D87" w14:textId="6D3D0845" w:rsidR="00300C42" w:rsidRPr="00194B5B" w:rsidRDefault="00300C42" w:rsidP="005925D5">
      <w:pPr>
        <w:pStyle w:val="ListParagraph"/>
        <w:numPr>
          <w:ilvl w:val="0"/>
          <w:numId w:val="40"/>
        </w:numPr>
      </w:pPr>
      <w:r w:rsidRPr="00194B5B">
        <w:t xml:space="preserve">The first set of models are trained and tested </w:t>
      </w:r>
      <w:r w:rsidR="007841F6">
        <w:t xml:space="preserve">with </w:t>
      </w:r>
      <w:r w:rsidRPr="00194B5B">
        <w:t>CIR samples containing no random initial phases. Note that it’s not possible to collect such type of CIR samples in reality because of the random states of the clock and/or frequency generation circuits discussed in the above.</w:t>
      </w:r>
    </w:p>
    <w:p w14:paraId="752B3EE5" w14:textId="77777777" w:rsidR="00300C42" w:rsidRPr="00194B5B" w:rsidRDefault="00300C42" w:rsidP="005925D5">
      <w:pPr>
        <w:pStyle w:val="ListParagraph"/>
        <w:numPr>
          <w:ilvl w:val="0"/>
          <w:numId w:val="40"/>
        </w:numPr>
      </w:pPr>
      <w:r w:rsidRPr="00194B5B">
        <w:t>The second set of models are trained and tested CIR samples containing relative phases as just described.</w:t>
      </w:r>
    </w:p>
    <w:p w14:paraId="1718C2A4" w14:textId="77777777" w:rsidR="00300C42" w:rsidRPr="00194B5B" w:rsidRDefault="00300C42" w:rsidP="00300C42">
      <w:r w:rsidRPr="00194B5B">
        <w:t>It can be observed that the models trained and tested CIR relative phase samples achieve essentially identical positioning accuracy (up to simulation noises) as the models trained and tested with idealized (but not physically feasible) CIR samples.</w:t>
      </w:r>
    </w:p>
    <w:p w14:paraId="2BEFD357" w14:textId="77777777" w:rsidR="00300C42" w:rsidRPr="00194B5B" w:rsidRDefault="00300C42" w:rsidP="00300C42"/>
    <w:p w14:paraId="2A8B6834" w14:textId="77777777" w:rsidR="00300C42" w:rsidRPr="00194B5B" w:rsidRDefault="00300C42" w:rsidP="002938DE">
      <w:pPr>
        <w:pStyle w:val="Observation"/>
      </w:pPr>
      <w:bookmarkStart w:id="1481" w:name="_Toc189845069"/>
      <w:r w:rsidRPr="00194B5B">
        <w:t>CIR samples containing relative phases can be used as inputs to AI/ML models to circumvent the impact of random initial phase values of measured CIR samples.</w:t>
      </w:r>
      <w:bookmarkEnd w:id="1481"/>
    </w:p>
    <w:p w14:paraId="41296430" w14:textId="77777777" w:rsidR="00300C42" w:rsidRPr="00194B5B" w:rsidRDefault="00300C42" w:rsidP="00300C42"/>
    <w:p w14:paraId="6BF56259" w14:textId="19979BF1" w:rsidR="00300C42" w:rsidRPr="00194B5B" w:rsidRDefault="00300C42" w:rsidP="00300C42">
      <w:pPr>
        <w:pStyle w:val="Caption"/>
      </w:pPr>
      <w:bookmarkStart w:id="1482" w:name="_Ref163128462"/>
      <w:r w:rsidRPr="00194B5B">
        <w:t xml:space="preserve">Table </w:t>
      </w:r>
      <w:r w:rsidR="00E70DE4">
        <w:fldChar w:fldCharType="begin"/>
      </w:r>
      <w:r w:rsidR="00E70DE4">
        <w:instrText xml:space="preserve"> SEQ Table \* ARABIC </w:instrText>
      </w:r>
      <w:r w:rsidR="00E70DE4">
        <w:fldChar w:fldCharType="separate"/>
      </w:r>
      <w:r w:rsidR="00C713E4">
        <w:rPr>
          <w:noProof/>
        </w:rPr>
        <w:t>3</w:t>
      </w:r>
      <w:r w:rsidR="00E70DE4">
        <w:rPr>
          <w:noProof/>
        </w:rPr>
        <w:fldChar w:fldCharType="end"/>
      </w:r>
      <w:bookmarkEnd w:id="1482"/>
      <w:r w:rsidRPr="00194B5B">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194B5B">
        <w:t xml:space="preserve"> (in meters) for (1) models trained and tested with CIR samples containing no random initial phases and (2) models trained and tested with CIR samples containing relative phases in the </w:t>
      </w:r>
      <w:r w:rsidRPr="00194B5B">
        <w:rPr>
          <w:lang w:eastAsia="ja-JP"/>
        </w:rPr>
        <w:t xml:space="preserve">{60%, 6m, 2m} </w:t>
      </w:r>
      <w:proofErr w:type="spellStart"/>
      <w:r w:rsidRPr="00194B5B">
        <w:rPr>
          <w:lang w:eastAsia="ja-JP"/>
        </w:rPr>
        <w:t>InF</w:t>
      </w:r>
      <w:proofErr w:type="spellEnd"/>
      <w:r w:rsidRPr="00194B5B">
        <w:rPr>
          <w:lang w:eastAsia="ja-JP"/>
        </w:rPr>
        <w:t>-DH scenario</w:t>
      </w:r>
      <w:r w:rsidRPr="00194B5B">
        <w:t xml:space="preserve">. The positioning accuracy is for the “small model” for centralized direct positioning trained with 40,000 samples </w:t>
      </w:r>
      <w:r w:rsidRPr="00194B5B">
        <w:fldChar w:fldCharType="begin"/>
      </w:r>
      <w:r w:rsidRPr="00194B5B">
        <w:instrText xml:space="preserve"> REF _Ref158730650 \r \h </w:instrText>
      </w:r>
      <w:r w:rsidRPr="00194B5B">
        <w:fldChar w:fldCharType="separate"/>
      </w:r>
      <w:r w:rsidR="00C713E4">
        <w:t>[6]</w:t>
      </w:r>
      <w:r w:rsidRPr="00194B5B">
        <w:fldChar w:fldCharType="end"/>
      </w:r>
      <w:r w:rsidRPr="00194B5B">
        <w:t>.</w:t>
      </w:r>
    </w:p>
    <w:tbl>
      <w:tblPr>
        <w:tblStyle w:val="TableGrid"/>
        <w:tblW w:w="8995" w:type="dxa"/>
        <w:tblInd w:w="355" w:type="dxa"/>
        <w:tblLook w:val="04A0" w:firstRow="1" w:lastRow="0" w:firstColumn="1" w:lastColumn="0" w:noHBand="0" w:noVBand="1"/>
      </w:tblPr>
      <w:tblGrid>
        <w:gridCol w:w="1423"/>
        <w:gridCol w:w="1423"/>
        <w:gridCol w:w="3074"/>
        <w:gridCol w:w="3075"/>
      </w:tblGrid>
      <w:tr w:rsidR="00300C42" w:rsidRPr="00194B5B" w14:paraId="2F6590AF" w14:textId="77777777">
        <w:tc>
          <w:tcPr>
            <w:tcW w:w="1423" w:type="dxa"/>
            <w:vMerge w:val="restart"/>
            <w:vAlign w:val="center"/>
          </w:tcPr>
          <w:p w14:paraId="3FCAD32A" w14:textId="77777777" w:rsidR="00300C42" w:rsidRPr="00194B5B" w:rsidRDefault="00B27F97">
            <w:pPr>
              <w:spacing w:before="40" w:after="4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m:oMathPara>
          </w:p>
        </w:tc>
        <w:tc>
          <w:tcPr>
            <w:tcW w:w="1423" w:type="dxa"/>
            <w:vMerge w:val="restart"/>
            <w:vAlign w:val="center"/>
          </w:tcPr>
          <w:p w14:paraId="6313BC36" w14:textId="77777777" w:rsidR="00300C42" w:rsidRPr="00194B5B" w:rsidRDefault="00B27F97">
            <w:pPr>
              <w:spacing w:before="40" w:after="40"/>
              <w:jc w:val="center"/>
              <w:rPr>
                <w:sz w:val="20"/>
                <w:szCs w:val="20"/>
              </w:rPr>
            </w:pPr>
            <m:oMathPara>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t</m:t>
                    </m:r>
                  </m:sub>
                  <m:sup>
                    <m:r>
                      <m:rPr>
                        <m:sty m:val="p"/>
                      </m:rPr>
                      <w:rPr>
                        <w:rFonts w:ascii="Cambria Math" w:hAnsi="Cambria Math"/>
                        <w:sz w:val="20"/>
                        <w:szCs w:val="20"/>
                      </w:rPr>
                      <m:t>'</m:t>
                    </m:r>
                  </m:sup>
                </m:sSubSup>
              </m:oMath>
            </m:oMathPara>
          </w:p>
        </w:tc>
        <w:tc>
          <w:tcPr>
            <w:tcW w:w="6149" w:type="dxa"/>
            <w:gridSpan w:val="2"/>
            <w:vAlign w:val="center"/>
          </w:tcPr>
          <w:p w14:paraId="0728482D" w14:textId="77777777" w:rsidR="00300C42" w:rsidRPr="00194B5B" w:rsidRDefault="00300C42">
            <w:pPr>
              <w:spacing w:before="40" w:after="40"/>
              <w:jc w:val="center"/>
              <w:rPr>
                <w:sz w:val="20"/>
                <w:szCs w:val="20"/>
              </w:rPr>
            </w:pPr>
            <w:r w:rsidRPr="00194B5B">
              <w:rPr>
                <w:sz w:val="20"/>
                <w:szCs w:val="20"/>
              </w:rPr>
              <w:t xml:space="preserve">90%tile 2D positioning error [m] in {60%, 6m, 2m} </w:t>
            </w:r>
            <w:proofErr w:type="spellStart"/>
            <w:r w:rsidRPr="00194B5B">
              <w:rPr>
                <w:sz w:val="20"/>
                <w:szCs w:val="20"/>
              </w:rPr>
              <w:t>InF</w:t>
            </w:r>
            <w:proofErr w:type="spellEnd"/>
            <w:r w:rsidRPr="00194B5B">
              <w:rPr>
                <w:sz w:val="20"/>
                <w:szCs w:val="20"/>
              </w:rPr>
              <w:t>-DH</w:t>
            </w:r>
            <w:r w:rsidRPr="00194B5B">
              <w:rPr>
                <w:sz w:val="20"/>
                <w:szCs w:val="20"/>
              </w:rPr>
              <w:br/>
              <w:t>Model I trained with 40,000 CIR samples</w:t>
            </w:r>
          </w:p>
        </w:tc>
      </w:tr>
      <w:tr w:rsidR="00300C42" w:rsidRPr="00194B5B" w14:paraId="7B106EC1" w14:textId="77777777">
        <w:tc>
          <w:tcPr>
            <w:tcW w:w="1423" w:type="dxa"/>
            <w:vMerge/>
            <w:vAlign w:val="center"/>
          </w:tcPr>
          <w:p w14:paraId="666C551A" w14:textId="77777777" w:rsidR="00300C42" w:rsidRPr="00194B5B" w:rsidRDefault="00300C42">
            <w:pPr>
              <w:spacing w:before="40" w:after="40"/>
              <w:jc w:val="center"/>
              <w:rPr>
                <w:sz w:val="20"/>
                <w:szCs w:val="20"/>
              </w:rPr>
            </w:pPr>
          </w:p>
        </w:tc>
        <w:tc>
          <w:tcPr>
            <w:tcW w:w="1423" w:type="dxa"/>
            <w:vMerge/>
            <w:vAlign w:val="center"/>
          </w:tcPr>
          <w:p w14:paraId="6509A3E1" w14:textId="77777777" w:rsidR="00300C42" w:rsidRPr="00194B5B" w:rsidRDefault="00300C42">
            <w:pPr>
              <w:spacing w:before="40" w:after="40"/>
              <w:jc w:val="center"/>
              <w:rPr>
                <w:sz w:val="20"/>
                <w:szCs w:val="20"/>
              </w:rPr>
            </w:pPr>
          </w:p>
        </w:tc>
        <w:tc>
          <w:tcPr>
            <w:tcW w:w="3074" w:type="dxa"/>
            <w:vAlign w:val="center"/>
          </w:tcPr>
          <w:p w14:paraId="3DE0DBFC" w14:textId="77777777" w:rsidR="00300C42" w:rsidRPr="00194B5B" w:rsidRDefault="00300C42">
            <w:pPr>
              <w:spacing w:before="40" w:after="40"/>
              <w:jc w:val="center"/>
              <w:rPr>
                <w:sz w:val="20"/>
                <w:szCs w:val="20"/>
              </w:rPr>
            </w:pPr>
            <w:r w:rsidRPr="00194B5B">
              <w:rPr>
                <w:sz w:val="20"/>
                <w:szCs w:val="20"/>
              </w:rPr>
              <w:t xml:space="preserve">Trained and tested </w:t>
            </w:r>
            <w:r w:rsidRPr="00194B5B">
              <w:rPr>
                <w:sz w:val="20"/>
                <w:szCs w:val="20"/>
              </w:rPr>
              <w:br/>
              <w:t>without random initial phases</w:t>
            </w:r>
          </w:p>
        </w:tc>
        <w:tc>
          <w:tcPr>
            <w:tcW w:w="3075" w:type="dxa"/>
          </w:tcPr>
          <w:p w14:paraId="766425F0" w14:textId="77777777" w:rsidR="00300C42" w:rsidRPr="00194B5B" w:rsidRDefault="00300C42">
            <w:pPr>
              <w:spacing w:before="40" w:after="40"/>
              <w:jc w:val="center"/>
              <w:rPr>
                <w:sz w:val="20"/>
                <w:szCs w:val="20"/>
              </w:rPr>
            </w:pPr>
            <w:r w:rsidRPr="00194B5B">
              <w:rPr>
                <w:sz w:val="20"/>
                <w:szCs w:val="20"/>
              </w:rPr>
              <w:t xml:space="preserve">Trained and tested </w:t>
            </w:r>
            <w:r w:rsidRPr="00194B5B">
              <w:rPr>
                <w:sz w:val="20"/>
                <w:szCs w:val="20"/>
              </w:rPr>
              <w:br/>
              <w:t>with relative phases</w:t>
            </w:r>
          </w:p>
        </w:tc>
      </w:tr>
      <w:tr w:rsidR="00300C42" w:rsidRPr="00194B5B" w14:paraId="3D6E90D5" w14:textId="77777777">
        <w:tc>
          <w:tcPr>
            <w:tcW w:w="1423" w:type="dxa"/>
            <w:vAlign w:val="center"/>
          </w:tcPr>
          <w:p w14:paraId="4075EB02" w14:textId="77777777" w:rsidR="00300C42" w:rsidRPr="00194B5B" w:rsidRDefault="00300C42">
            <w:pPr>
              <w:spacing w:before="40" w:after="40"/>
              <w:jc w:val="center"/>
              <w:rPr>
                <w:sz w:val="20"/>
                <w:szCs w:val="20"/>
              </w:rPr>
            </w:pPr>
            <w:r w:rsidRPr="00194B5B">
              <w:rPr>
                <w:rFonts w:cs="Arial"/>
                <w:color w:val="000000"/>
                <w:sz w:val="20"/>
                <w:szCs w:val="20"/>
              </w:rPr>
              <w:t>256</w:t>
            </w:r>
          </w:p>
        </w:tc>
        <w:tc>
          <w:tcPr>
            <w:tcW w:w="1423" w:type="dxa"/>
            <w:vAlign w:val="center"/>
          </w:tcPr>
          <w:p w14:paraId="06C5802D" w14:textId="77777777" w:rsidR="00300C42" w:rsidRPr="00194B5B" w:rsidRDefault="00300C42">
            <w:pPr>
              <w:spacing w:before="40" w:after="40"/>
              <w:jc w:val="center"/>
              <w:rPr>
                <w:sz w:val="20"/>
                <w:szCs w:val="20"/>
              </w:rPr>
            </w:pPr>
            <w:r w:rsidRPr="00194B5B">
              <w:rPr>
                <w:sz w:val="20"/>
                <w:szCs w:val="20"/>
              </w:rPr>
              <w:t>128</w:t>
            </w:r>
          </w:p>
        </w:tc>
        <w:tc>
          <w:tcPr>
            <w:tcW w:w="3074" w:type="dxa"/>
          </w:tcPr>
          <w:p w14:paraId="61D2E6A8" w14:textId="77777777" w:rsidR="00300C42" w:rsidRPr="0032606A" w:rsidRDefault="00300C42">
            <w:pPr>
              <w:spacing w:before="40" w:after="40"/>
              <w:jc w:val="center"/>
              <w:rPr>
                <w:sz w:val="20"/>
                <w:szCs w:val="20"/>
              </w:rPr>
            </w:pPr>
            <w:r w:rsidRPr="00194B5B">
              <w:rPr>
                <w:sz w:val="20"/>
                <w:szCs w:val="20"/>
              </w:rPr>
              <w:t>0.</w:t>
            </w:r>
            <w:r w:rsidRPr="0032606A">
              <w:rPr>
                <w:sz w:val="20"/>
                <w:szCs w:val="20"/>
              </w:rPr>
              <w:t>38</w:t>
            </w:r>
          </w:p>
        </w:tc>
        <w:tc>
          <w:tcPr>
            <w:tcW w:w="3075" w:type="dxa"/>
          </w:tcPr>
          <w:p w14:paraId="72E7B097" w14:textId="77777777" w:rsidR="00300C42" w:rsidRPr="0032606A" w:rsidRDefault="00300C42">
            <w:pPr>
              <w:spacing w:before="40" w:after="40"/>
              <w:jc w:val="center"/>
              <w:rPr>
                <w:sz w:val="20"/>
                <w:szCs w:val="20"/>
              </w:rPr>
            </w:pPr>
            <w:r w:rsidRPr="00194B5B">
              <w:rPr>
                <w:sz w:val="20"/>
                <w:szCs w:val="20"/>
              </w:rPr>
              <w:t>0.</w:t>
            </w:r>
            <w:r w:rsidRPr="0032606A">
              <w:rPr>
                <w:sz w:val="20"/>
                <w:szCs w:val="20"/>
              </w:rPr>
              <w:t>39</w:t>
            </w:r>
          </w:p>
        </w:tc>
      </w:tr>
      <w:tr w:rsidR="00300C42" w:rsidRPr="00194B5B" w14:paraId="7D415B0A" w14:textId="77777777">
        <w:tc>
          <w:tcPr>
            <w:tcW w:w="1423" w:type="dxa"/>
            <w:vAlign w:val="center"/>
          </w:tcPr>
          <w:p w14:paraId="55B71E82" w14:textId="77777777" w:rsidR="00300C42" w:rsidRPr="00194B5B" w:rsidRDefault="00300C42">
            <w:pPr>
              <w:spacing w:before="40" w:after="40"/>
              <w:jc w:val="center"/>
              <w:rPr>
                <w:sz w:val="20"/>
                <w:szCs w:val="20"/>
              </w:rPr>
            </w:pPr>
            <w:r w:rsidRPr="00194B5B">
              <w:rPr>
                <w:rFonts w:cs="Arial"/>
                <w:color w:val="000000"/>
                <w:sz w:val="20"/>
                <w:szCs w:val="20"/>
              </w:rPr>
              <w:t>256</w:t>
            </w:r>
          </w:p>
        </w:tc>
        <w:tc>
          <w:tcPr>
            <w:tcW w:w="1423" w:type="dxa"/>
            <w:vAlign w:val="center"/>
          </w:tcPr>
          <w:p w14:paraId="6D1A46FA" w14:textId="77777777" w:rsidR="00300C42" w:rsidRPr="00194B5B" w:rsidRDefault="00300C42">
            <w:pPr>
              <w:spacing w:before="40" w:after="40"/>
              <w:jc w:val="center"/>
              <w:rPr>
                <w:sz w:val="20"/>
                <w:szCs w:val="20"/>
              </w:rPr>
            </w:pPr>
            <w:r w:rsidRPr="00194B5B">
              <w:rPr>
                <w:sz w:val="20"/>
                <w:szCs w:val="20"/>
              </w:rPr>
              <w:t>64</w:t>
            </w:r>
          </w:p>
        </w:tc>
        <w:tc>
          <w:tcPr>
            <w:tcW w:w="3074" w:type="dxa"/>
          </w:tcPr>
          <w:p w14:paraId="2421D849" w14:textId="77777777" w:rsidR="00300C42" w:rsidRPr="0032606A" w:rsidRDefault="00300C42">
            <w:pPr>
              <w:spacing w:before="40" w:after="40"/>
              <w:jc w:val="center"/>
              <w:rPr>
                <w:sz w:val="20"/>
                <w:szCs w:val="20"/>
              </w:rPr>
            </w:pPr>
            <w:r w:rsidRPr="00194B5B">
              <w:rPr>
                <w:sz w:val="20"/>
                <w:szCs w:val="20"/>
              </w:rPr>
              <w:t>0.</w:t>
            </w:r>
            <w:r w:rsidRPr="0032606A">
              <w:rPr>
                <w:sz w:val="20"/>
                <w:szCs w:val="20"/>
              </w:rPr>
              <w:t>43</w:t>
            </w:r>
          </w:p>
        </w:tc>
        <w:tc>
          <w:tcPr>
            <w:tcW w:w="3075" w:type="dxa"/>
          </w:tcPr>
          <w:p w14:paraId="41733EE9" w14:textId="77777777" w:rsidR="00300C42" w:rsidRPr="0032606A" w:rsidRDefault="00300C42">
            <w:pPr>
              <w:spacing w:before="40" w:after="40"/>
              <w:jc w:val="center"/>
              <w:rPr>
                <w:sz w:val="20"/>
                <w:szCs w:val="20"/>
              </w:rPr>
            </w:pPr>
            <w:r w:rsidRPr="00194B5B">
              <w:rPr>
                <w:sz w:val="20"/>
                <w:szCs w:val="20"/>
              </w:rPr>
              <w:t>0.</w:t>
            </w:r>
            <w:r w:rsidRPr="0032606A">
              <w:rPr>
                <w:sz w:val="20"/>
                <w:szCs w:val="20"/>
              </w:rPr>
              <w:t>44</w:t>
            </w:r>
          </w:p>
        </w:tc>
      </w:tr>
      <w:tr w:rsidR="00300C42" w:rsidRPr="00194B5B" w14:paraId="655D0C53" w14:textId="77777777">
        <w:tc>
          <w:tcPr>
            <w:tcW w:w="1423" w:type="dxa"/>
            <w:vAlign w:val="center"/>
          </w:tcPr>
          <w:p w14:paraId="4F4E8C23" w14:textId="77777777" w:rsidR="00300C42" w:rsidRPr="00194B5B" w:rsidRDefault="00300C42">
            <w:pPr>
              <w:spacing w:before="40" w:after="40"/>
              <w:jc w:val="center"/>
              <w:rPr>
                <w:sz w:val="20"/>
                <w:szCs w:val="20"/>
              </w:rPr>
            </w:pPr>
            <w:r w:rsidRPr="00194B5B">
              <w:rPr>
                <w:rFonts w:cs="Arial"/>
                <w:color w:val="000000"/>
                <w:sz w:val="20"/>
                <w:szCs w:val="20"/>
              </w:rPr>
              <w:t>128</w:t>
            </w:r>
          </w:p>
        </w:tc>
        <w:tc>
          <w:tcPr>
            <w:tcW w:w="1423" w:type="dxa"/>
            <w:vAlign w:val="center"/>
          </w:tcPr>
          <w:p w14:paraId="1362FE26" w14:textId="77777777" w:rsidR="00300C42" w:rsidRPr="00194B5B" w:rsidRDefault="00300C42">
            <w:pPr>
              <w:spacing w:before="40" w:after="40"/>
              <w:jc w:val="center"/>
              <w:rPr>
                <w:sz w:val="20"/>
                <w:szCs w:val="20"/>
              </w:rPr>
            </w:pPr>
            <w:r w:rsidRPr="00194B5B">
              <w:rPr>
                <w:sz w:val="20"/>
                <w:szCs w:val="20"/>
              </w:rPr>
              <w:t>64</w:t>
            </w:r>
          </w:p>
        </w:tc>
        <w:tc>
          <w:tcPr>
            <w:tcW w:w="3074" w:type="dxa"/>
          </w:tcPr>
          <w:p w14:paraId="57BCACB4" w14:textId="77777777" w:rsidR="00300C42" w:rsidRPr="0032606A" w:rsidRDefault="00300C42">
            <w:pPr>
              <w:spacing w:before="40" w:after="40"/>
              <w:jc w:val="center"/>
              <w:rPr>
                <w:sz w:val="20"/>
                <w:szCs w:val="20"/>
              </w:rPr>
            </w:pPr>
            <w:r w:rsidRPr="00194B5B">
              <w:rPr>
                <w:sz w:val="20"/>
                <w:szCs w:val="20"/>
              </w:rPr>
              <w:t>0.</w:t>
            </w:r>
            <w:r w:rsidRPr="0032606A">
              <w:rPr>
                <w:sz w:val="20"/>
                <w:szCs w:val="20"/>
              </w:rPr>
              <w:t>48</w:t>
            </w:r>
          </w:p>
        </w:tc>
        <w:tc>
          <w:tcPr>
            <w:tcW w:w="3075" w:type="dxa"/>
          </w:tcPr>
          <w:p w14:paraId="7C3A585E" w14:textId="77777777" w:rsidR="00300C42" w:rsidRPr="0032606A" w:rsidRDefault="00300C42">
            <w:pPr>
              <w:spacing w:before="40" w:after="40"/>
              <w:jc w:val="center"/>
              <w:rPr>
                <w:sz w:val="20"/>
                <w:szCs w:val="20"/>
              </w:rPr>
            </w:pPr>
            <w:r w:rsidRPr="00194B5B">
              <w:rPr>
                <w:sz w:val="20"/>
                <w:szCs w:val="20"/>
              </w:rPr>
              <w:t>0.</w:t>
            </w:r>
            <w:r w:rsidRPr="0032606A">
              <w:rPr>
                <w:sz w:val="20"/>
                <w:szCs w:val="20"/>
              </w:rPr>
              <w:t>46</w:t>
            </w:r>
          </w:p>
        </w:tc>
      </w:tr>
      <w:tr w:rsidR="00300C42" w:rsidRPr="00194B5B" w14:paraId="037227BA" w14:textId="77777777">
        <w:tc>
          <w:tcPr>
            <w:tcW w:w="1423" w:type="dxa"/>
            <w:vAlign w:val="center"/>
          </w:tcPr>
          <w:p w14:paraId="3DAEC7DC" w14:textId="77777777" w:rsidR="00300C42" w:rsidRPr="00194B5B" w:rsidRDefault="00300C42">
            <w:pPr>
              <w:spacing w:before="40" w:after="40"/>
              <w:jc w:val="center"/>
              <w:rPr>
                <w:sz w:val="20"/>
                <w:szCs w:val="20"/>
              </w:rPr>
            </w:pPr>
            <w:r w:rsidRPr="00194B5B">
              <w:rPr>
                <w:rFonts w:cs="Arial"/>
                <w:color w:val="000000"/>
                <w:sz w:val="20"/>
                <w:szCs w:val="20"/>
              </w:rPr>
              <w:t>256</w:t>
            </w:r>
          </w:p>
        </w:tc>
        <w:tc>
          <w:tcPr>
            <w:tcW w:w="1423" w:type="dxa"/>
            <w:vAlign w:val="center"/>
          </w:tcPr>
          <w:p w14:paraId="7536187D" w14:textId="77777777" w:rsidR="00300C42" w:rsidRPr="00194B5B" w:rsidRDefault="00300C42">
            <w:pPr>
              <w:spacing w:before="40" w:after="40"/>
              <w:jc w:val="center"/>
              <w:rPr>
                <w:sz w:val="20"/>
                <w:szCs w:val="20"/>
              </w:rPr>
            </w:pPr>
            <w:r w:rsidRPr="00194B5B">
              <w:rPr>
                <w:sz w:val="20"/>
                <w:szCs w:val="20"/>
              </w:rPr>
              <w:t>32</w:t>
            </w:r>
          </w:p>
        </w:tc>
        <w:tc>
          <w:tcPr>
            <w:tcW w:w="3074" w:type="dxa"/>
          </w:tcPr>
          <w:p w14:paraId="37565DE2" w14:textId="77777777" w:rsidR="00300C42" w:rsidRPr="0032606A" w:rsidRDefault="00300C42">
            <w:pPr>
              <w:spacing w:before="40" w:after="40"/>
              <w:jc w:val="center"/>
              <w:rPr>
                <w:sz w:val="20"/>
                <w:szCs w:val="20"/>
              </w:rPr>
            </w:pPr>
            <w:r w:rsidRPr="00194B5B">
              <w:rPr>
                <w:sz w:val="20"/>
                <w:szCs w:val="20"/>
              </w:rPr>
              <w:t>0.</w:t>
            </w:r>
            <w:r w:rsidRPr="0032606A">
              <w:rPr>
                <w:sz w:val="20"/>
                <w:szCs w:val="20"/>
              </w:rPr>
              <w:t>54</w:t>
            </w:r>
          </w:p>
        </w:tc>
        <w:tc>
          <w:tcPr>
            <w:tcW w:w="3075" w:type="dxa"/>
          </w:tcPr>
          <w:p w14:paraId="075C854A" w14:textId="77777777" w:rsidR="00300C42" w:rsidRPr="0032606A" w:rsidRDefault="00300C42">
            <w:pPr>
              <w:spacing w:before="40" w:after="40"/>
              <w:jc w:val="center"/>
              <w:rPr>
                <w:sz w:val="20"/>
                <w:szCs w:val="20"/>
              </w:rPr>
            </w:pPr>
            <w:r w:rsidRPr="00194B5B">
              <w:rPr>
                <w:sz w:val="20"/>
                <w:szCs w:val="20"/>
              </w:rPr>
              <w:t>0.</w:t>
            </w:r>
            <w:r w:rsidRPr="0032606A">
              <w:rPr>
                <w:sz w:val="20"/>
                <w:szCs w:val="20"/>
              </w:rPr>
              <w:t>55</w:t>
            </w:r>
          </w:p>
        </w:tc>
      </w:tr>
      <w:tr w:rsidR="00300C42" w:rsidRPr="00194B5B" w14:paraId="7887F8BC" w14:textId="77777777">
        <w:tc>
          <w:tcPr>
            <w:tcW w:w="1423" w:type="dxa"/>
            <w:vAlign w:val="center"/>
          </w:tcPr>
          <w:p w14:paraId="4D6AB4C1" w14:textId="77777777" w:rsidR="00300C42" w:rsidRPr="00194B5B" w:rsidRDefault="00300C42">
            <w:pPr>
              <w:spacing w:before="40" w:after="40"/>
              <w:jc w:val="center"/>
              <w:rPr>
                <w:sz w:val="20"/>
                <w:szCs w:val="20"/>
              </w:rPr>
            </w:pPr>
            <w:r w:rsidRPr="00194B5B">
              <w:rPr>
                <w:rFonts w:cs="Arial"/>
                <w:color w:val="000000"/>
                <w:sz w:val="20"/>
                <w:szCs w:val="20"/>
              </w:rPr>
              <w:t>128</w:t>
            </w:r>
          </w:p>
        </w:tc>
        <w:tc>
          <w:tcPr>
            <w:tcW w:w="1423" w:type="dxa"/>
            <w:vAlign w:val="center"/>
          </w:tcPr>
          <w:p w14:paraId="11A53412" w14:textId="77777777" w:rsidR="00300C42" w:rsidRPr="00194B5B" w:rsidRDefault="00300C42">
            <w:pPr>
              <w:spacing w:before="40" w:after="40"/>
              <w:jc w:val="center"/>
              <w:rPr>
                <w:sz w:val="20"/>
                <w:szCs w:val="20"/>
              </w:rPr>
            </w:pPr>
            <w:r w:rsidRPr="00194B5B">
              <w:rPr>
                <w:sz w:val="20"/>
                <w:szCs w:val="20"/>
              </w:rPr>
              <w:t>32</w:t>
            </w:r>
          </w:p>
        </w:tc>
        <w:tc>
          <w:tcPr>
            <w:tcW w:w="3074" w:type="dxa"/>
          </w:tcPr>
          <w:p w14:paraId="09CB55DB" w14:textId="77777777" w:rsidR="00300C42" w:rsidRPr="0032606A" w:rsidRDefault="00300C42">
            <w:pPr>
              <w:spacing w:before="40" w:after="40"/>
              <w:jc w:val="center"/>
              <w:rPr>
                <w:sz w:val="20"/>
                <w:szCs w:val="20"/>
              </w:rPr>
            </w:pPr>
            <w:r w:rsidRPr="00194B5B">
              <w:rPr>
                <w:sz w:val="20"/>
                <w:szCs w:val="20"/>
              </w:rPr>
              <w:t>0.</w:t>
            </w:r>
            <w:r w:rsidRPr="0032606A">
              <w:rPr>
                <w:sz w:val="20"/>
                <w:szCs w:val="20"/>
              </w:rPr>
              <w:t>53</w:t>
            </w:r>
          </w:p>
        </w:tc>
        <w:tc>
          <w:tcPr>
            <w:tcW w:w="3075" w:type="dxa"/>
          </w:tcPr>
          <w:p w14:paraId="58A978B1" w14:textId="77777777" w:rsidR="00300C42" w:rsidRPr="0032606A" w:rsidRDefault="00300C42">
            <w:pPr>
              <w:spacing w:before="40" w:after="40"/>
              <w:jc w:val="center"/>
              <w:rPr>
                <w:sz w:val="20"/>
                <w:szCs w:val="20"/>
              </w:rPr>
            </w:pPr>
            <w:r w:rsidRPr="00194B5B">
              <w:rPr>
                <w:sz w:val="20"/>
                <w:szCs w:val="20"/>
              </w:rPr>
              <w:t>0.</w:t>
            </w:r>
            <w:r w:rsidRPr="0032606A">
              <w:rPr>
                <w:sz w:val="20"/>
                <w:szCs w:val="20"/>
              </w:rPr>
              <w:t>55</w:t>
            </w:r>
          </w:p>
        </w:tc>
      </w:tr>
      <w:tr w:rsidR="00300C42" w:rsidRPr="00194B5B" w14:paraId="63B9D5FD" w14:textId="77777777">
        <w:tc>
          <w:tcPr>
            <w:tcW w:w="1423" w:type="dxa"/>
            <w:vAlign w:val="center"/>
          </w:tcPr>
          <w:p w14:paraId="135E4DB8" w14:textId="77777777" w:rsidR="00300C42" w:rsidRPr="00194B5B" w:rsidRDefault="00300C42">
            <w:pPr>
              <w:spacing w:before="40" w:after="40"/>
              <w:jc w:val="center"/>
              <w:rPr>
                <w:sz w:val="20"/>
                <w:szCs w:val="20"/>
              </w:rPr>
            </w:pPr>
            <w:r w:rsidRPr="00194B5B">
              <w:rPr>
                <w:rFonts w:cs="Arial"/>
                <w:color w:val="000000"/>
                <w:sz w:val="20"/>
                <w:szCs w:val="20"/>
              </w:rPr>
              <w:t>64</w:t>
            </w:r>
          </w:p>
        </w:tc>
        <w:tc>
          <w:tcPr>
            <w:tcW w:w="1423" w:type="dxa"/>
            <w:vAlign w:val="center"/>
          </w:tcPr>
          <w:p w14:paraId="23D8446B" w14:textId="77777777" w:rsidR="00300C42" w:rsidRPr="00194B5B" w:rsidRDefault="00300C42">
            <w:pPr>
              <w:spacing w:before="40" w:after="40"/>
              <w:jc w:val="center"/>
              <w:rPr>
                <w:sz w:val="20"/>
                <w:szCs w:val="20"/>
              </w:rPr>
            </w:pPr>
            <w:r w:rsidRPr="00194B5B">
              <w:rPr>
                <w:sz w:val="20"/>
                <w:szCs w:val="20"/>
              </w:rPr>
              <w:t>32</w:t>
            </w:r>
          </w:p>
        </w:tc>
        <w:tc>
          <w:tcPr>
            <w:tcW w:w="3074" w:type="dxa"/>
          </w:tcPr>
          <w:p w14:paraId="3AC575AB"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67</w:t>
            </w:r>
          </w:p>
        </w:tc>
        <w:tc>
          <w:tcPr>
            <w:tcW w:w="3075" w:type="dxa"/>
          </w:tcPr>
          <w:p w14:paraId="443FEED2"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66</w:t>
            </w:r>
          </w:p>
        </w:tc>
      </w:tr>
      <w:tr w:rsidR="00300C42" w:rsidRPr="00194B5B" w14:paraId="353684E6" w14:textId="77777777">
        <w:tc>
          <w:tcPr>
            <w:tcW w:w="1423" w:type="dxa"/>
            <w:vAlign w:val="center"/>
          </w:tcPr>
          <w:p w14:paraId="6B5333BC" w14:textId="77777777" w:rsidR="00300C42" w:rsidRPr="00194B5B" w:rsidRDefault="00300C42">
            <w:pPr>
              <w:spacing w:before="40" w:after="40"/>
              <w:jc w:val="center"/>
              <w:rPr>
                <w:sz w:val="20"/>
                <w:szCs w:val="20"/>
              </w:rPr>
            </w:pPr>
            <w:r w:rsidRPr="00194B5B">
              <w:rPr>
                <w:rFonts w:cs="Arial"/>
                <w:color w:val="000000"/>
                <w:sz w:val="20"/>
                <w:szCs w:val="20"/>
              </w:rPr>
              <w:t>256</w:t>
            </w:r>
          </w:p>
        </w:tc>
        <w:tc>
          <w:tcPr>
            <w:tcW w:w="1423" w:type="dxa"/>
            <w:vAlign w:val="center"/>
          </w:tcPr>
          <w:p w14:paraId="71F4918E" w14:textId="77777777" w:rsidR="00300C42" w:rsidRPr="00194B5B" w:rsidRDefault="00300C42">
            <w:pPr>
              <w:spacing w:before="40" w:after="40"/>
              <w:jc w:val="center"/>
              <w:rPr>
                <w:sz w:val="20"/>
                <w:szCs w:val="20"/>
              </w:rPr>
            </w:pPr>
            <w:r w:rsidRPr="00194B5B">
              <w:rPr>
                <w:sz w:val="20"/>
                <w:szCs w:val="20"/>
              </w:rPr>
              <w:t>16</w:t>
            </w:r>
          </w:p>
        </w:tc>
        <w:tc>
          <w:tcPr>
            <w:tcW w:w="3074" w:type="dxa"/>
          </w:tcPr>
          <w:p w14:paraId="4E80E1E8"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68</w:t>
            </w:r>
          </w:p>
        </w:tc>
        <w:tc>
          <w:tcPr>
            <w:tcW w:w="3075" w:type="dxa"/>
          </w:tcPr>
          <w:p w14:paraId="41675BB8"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69</w:t>
            </w:r>
          </w:p>
        </w:tc>
      </w:tr>
      <w:tr w:rsidR="00300C42" w:rsidRPr="00194B5B" w14:paraId="6CB51F82" w14:textId="77777777">
        <w:tc>
          <w:tcPr>
            <w:tcW w:w="1423" w:type="dxa"/>
            <w:vAlign w:val="center"/>
          </w:tcPr>
          <w:p w14:paraId="07954A58" w14:textId="77777777" w:rsidR="00300C42" w:rsidRPr="00194B5B" w:rsidRDefault="00300C42">
            <w:pPr>
              <w:spacing w:before="40" w:after="40"/>
              <w:jc w:val="center"/>
              <w:rPr>
                <w:sz w:val="20"/>
                <w:szCs w:val="20"/>
              </w:rPr>
            </w:pPr>
            <w:r w:rsidRPr="00194B5B">
              <w:rPr>
                <w:rFonts w:cs="Arial"/>
                <w:color w:val="000000"/>
                <w:sz w:val="20"/>
                <w:szCs w:val="20"/>
              </w:rPr>
              <w:t>128</w:t>
            </w:r>
          </w:p>
        </w:tc>
        <w:tc>
          <w:tcPr>
            <w:tcW w:w="1423" w:type="dxa"/>
            <w:vAlign w:val="center"/>
          </w:tcPr>
          <w:p w14:paraId="0551BCD5" w14:textId="77777777" w:rsidR="00300C42" w:rsidRPr="00194B5B" w:rsidRDefault="00300C42">
            <w:pPr>
              <w:spacing w:before="40" w:after="40"/>
              <w:jc w:val="center"/>
              <w:rPr>
                <w:sz w:val="20"/>
                <w:szCs w:val="20"/>
              </w:rPr>
            </w:pPr>
            <w:r w:rsidRPr="00194B5B">
              <w:rPr>
                <w:sz w:val="20"/>
                <w:szCs w:val="20"/>
              </w:rPr>
              <w:t>16</w:t>
            </w:r>
          </w:p>
        </w:tc>
        <w:tc>
          <w:tcPr>
            <w:tcW w:w="3074" w:type="dxa"/>
          </w:tcPr>
          <w:p w14:paraId="2BC5E6F6"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64</w:t>
            </w:r>
          </w:p>
        </w:tc>
        <w:tc>
          <w:tcPr>
            <w:tcW w:w="3075" w:type="dxa"/>
          </w:tcPr>
          <w:p w14:paraId="623A2BF4" w14:textId="77777777" w:rsidR="00300C42" w:rsidRPr="0032606A" w:rsidRDefault="00300C42">
            <w:pPr>
              <w:spacing w:before="40" w:after="40"/>
              <w:jc w:val="center"/>
              <w:rPr>
                <w:sz w:val="20"/>
                <w:szCs w:val="20"/>
              </w:rPr>
            </w:pPr>
            <w:r w:rsidRPr="00194B5B">
              <w:rPr>
                <w:sz w:val="20"/>
                <w:szCs w:val="20"/>
              </w:rPr>
              <w:t>0.</w:t>
            </w:r>
            <w:r w:rsidRPr="0032606A">
              <w:rPr>
                <w:sz w:val="20"/>
                <w:szCs w:val="20"/>
              </w:rPr>
              <w:t>65</w:t>
            </w:r>
          </w:p>
        </w:tc>
      </w:tr>
      <w:tr w:rsidR="00300C42" w:rsidRPr="00194B5B" w14:paraId="34403022" w14:textId="77777777">
        <w:tc>
          <w:tcPr>
            <w:tcW w:w="1423" w:type="dxa"/>
            <w:vAlign w:val="center"/>
          </w:tcPr>
          <w:p w14:paraId="7B869F55" w14:textId="77777777" w:rsidR="00300C42" w:rsidRPr="00194B5B" w:rsidRDefault="00300C42">
            <w:pPr>
              <w:spacing w:before="40" w:after="40"/>
              <w:jc w:val="center"/>
              <w:rPr>
                <w:sz w:val="20"/>
                <w:szCs w:val="20"/>
              </w:rPr>
            </w:pPr>
            <w:r w:rsidRPr="00194B5B">
              <w:rPr>
                <w:rFonts w:cs="Arial"/>
                <w:color w:val="000000"/>
                <w:sz w:val="20"/>
                <w:szCs w:val="20"/>
              </w:rPr>
              <w:t>64</w:t>
            </w:r>
          </w:p>
        </w:tc>
        <w:tc>
          <w:tcPr>
            <w:tcW w:w="1423" w:type="dxa"/>
            <w:vAlign w:val="center"/>
          </w:tcPr>
          <w:p w14:paraId="769B694D" w14:textId="77777777" w:rsidR="00300C42" w:rsidRPr="00194B5B" w:rsidRDefault="00300C42">
            <w:pPr>
              <w:spacing w:before="40" w:after="40"/>
              <w:jc w:val="center"/>
              <w:rPr>
                <w:sz w:val="20"/>
                <w:szCs w:val="20"/>
              </w:rPr>
            </w:pPr>
            <w:r w:rsidRPr="00194B5B">
              <w:rPr>
                <w:sz w:val="20"/>
                <w:szCs w:val="20"/>
              </w:rPr>
              <w:t>16</w:t>
            </w:r>
          </w:p>
        </w:tc>
        <w:tc>
          <w:tcPr>
            <w:tcW w:w="3074" w:type="dxa"/>
          </w:tcPr>
          <w:p w14:paraId="43239EB1" w14:textId="77777777" w:rsidR="00300C42" w:rsidRPr="0032606A" w:rsidRDefault="00300C42">
            <w:pPr>
              <w:spacing w:before="40" w:after="40"/>
              <w:jc w:val="center"/>
              <w:rPr>
                <w:sz w:val="20"/>
                <w:szCs w:val="20"/>
              </w:rPr>
            </w:pPr>
            <w:r w:rsidRPr="00194B5B">
              <w:rPr>
                <w:sz w:val="20"/>
                <w:szCs w:val="20"/>
              </w:rPr>
              <w:t>0.</w:t>
            </w:r>
            <w:r w:rsidRPr="0032606A">
              <w:rPr>
                <w:sz w:val="20"/>
                <w:szCs w:val="20"/>
              </w:rPr>
              <w:t>70</w:t>
            </w:r>
          </w:p>
        </w:tc>
        <w:tc>
          <w:tcPr>
            <w:tcW w:w="3075" w:type="dxa"/>
          </w:tcPr>
          <w:p w14:paraId="488BBF8C" w14:textId="77777777" w:rsidR="00300C42" w:rsidRPr="0032606A" w:rsidRDefault="00300C42">
            <w:pPr>
              <w:spacing w:before="40" w:after="40"/>
              <w:jc w:val="center"/>
              <w:rPr>
                <w:sz w:val="20"/>
                <w:szCs w:val="20"/>
              </w:rPr>
            </w:pPr>
            <w:r w:rsidRPr="00194B5B">
              <w:rPr>
                <w:sz w:val="20"/>
                <w:szCs w:val="20"/>
              </w:rPr>
              <w:t>0.</w:t>
            </w:r>
            <w:r w:rsidRPr="0032606A">
              <w:rPr>
                <w:sz w:val="20"/>
                <w:szCs w:val="20"/>
              </w:rPr>
              <w:t>71</w:t>
            </w:r>
          </w:p>
        </w:tc>
      </w:tr>
      <w:tr w:rsidR="00300C42" w:rsidRPr="00194B5B" w14:paraId="2408942C" w14:textId="77777777">
        <w:tc>
          <w:tcPr>
            <w:tcW w:w="1423" w:type="dxa"/>
            <w:vAlign w:val="center"/>
          </w:tcPr>
          <w:p w14:paraId="1D834CC3" w14:textId="77777777" w:rsidR="00300C42" w:rsidRPr="00194B5B" w:rsidRDefault="00300C42">
            <w:pPr>
              <w:spacing w:before="40" w:after="40"/>
              <w:jc w:val="center"/>
              <w:rPr>
                <w:sz w:val="20"/>
                <w:szCs w:val="20"/>
              </w:rPr>
            </w:pPr>
            <w:r w:rsidRPr="00194B5B">
              <w:rPr>
                <w:rFonts w:cs="Arial"/>
                <w:color w:val="000000"/>
                <w:sz w:val="20"/>
                <w:szCs w:val="20"/>
              </w:rPr>
              <w:t>256</w:t>
            </w:r>
          </w:p>
        </w:tc>
        <w:tc>
          <w:tcPr>
            <w:tcW w:w="1423" w:type="dxa"/>
            <w:vAlign w:val="center"/>
          </w:tcPr>
          <w:p w14:paraId="5124A876" w14:textId="77777777" w:rsidR="00300C42" w:rsidRPr="00194B5B" w:rsidRDefault="00300C42">
            <w:pPr>
              <w:spacing w:before="40" w:after="40"/>
              <w:jc w:val="center"/>
              <w:rPr>
                <w:sz w:val="20"/>
                <w:szCs w:val="20"/>
              </w:rPr>
            </w:pPr>
            <w:r w:rsidRPr="00194B5B">
              <w:rPr>
                <w:sz w:val="20"/>
                <w:szCs w:val="20"/>
              </w:rPr>
              <w:t>9</w:t>
            </w:r>
          </w:p>
        </w:tc>
        <w:tc>
          <w:tcPr>
            <w:tcW w:w="3074" w:type="dxa"/>
          </w:tcPr>
          <w:p w14:paraId="065F859F"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82</w:t>
            </w:r>
          </w:p>
        </w:tc>
        <w:tc>
          <w:tcPr>
            <w:tcW w:w="3075" w:type="dxa"/>
          </w:tcPr>
          <w:p w14:paraId="1995D492"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84</w:t>
            </w:r>
          </w:p>
        </w:tc>
      </w:tr>
      <w:tr w:rsidR="00300C42" w:rsidRPr="00194B5B" w14:paraId="3E255886" w14:textId="77777777">
        <w:tc>
          <w:tcPr>
            <w:tcW w:w="1423" w:type="dxa"/>
            <w:vAlign w:val="center"/>
          </w:tcPr>
          <w:p w14:paraId="7829191F" w14:textId="77777777" w:rsidR="00300C42" w:rsidRPr="00194B5B" w:rsidRDefault="00300C42">
            <w:pPr>
              <w:spacing w:before="40" w:after="40"/>
              <w:jc w:val="center"/>
              <w:rPr>
                <w:sz w:val="20"/>
                <w:szCs w:val="20"/>
              </w:rPr>
            </w:pPr>
            <w:r w:rsidRPr="00194B5B">
              <w:rPr>
                <w:rFonts w:cs="Arial"/>
                <w:color w:val="000000"/>
                <w:sz w:val="20"/>
                <w:szCs w:val="20"/>
              </w:rPr>
              <w:t>128</w:t>
            </w:r>
          </w:p>
        </w:tc>
        <w:tc>
          <w:tcPr>
            <w:tcW w:w="1423" w:type="dxa"/>
            <w:vAlign w:val="center"/>
          </w:tcPr>
          <w:p w14:paraId="5BB5C2DB" w14:textId="77777777" w:rsidR="00300C42" w:rsidRPr="00194B5B" w:rsidRDefault="00300C42">
            <w:pPr>
              <w:spacing w:before="40" w:after="40"/>
              <w:jc w:val="center"/>
              <w:rPr>
                <w:sz w:val="20"/>
                <w:szCs w:val="20"/>
              </w:rPr>
            </w:pPr>
            <w:r w:rsidRPr="00194B5B">
              <w:rPr>
                <w:sz w:val="20"/>
                <w:szCs w:val="20"/>
              </w:rPr>
              <w:t>9</w:t>
            </w:r>
          </w:p>
        </w:tc>
        <w:tc>
          <w:tcPr>
            <w:tcW w:w="3074" w:type="dxa"/>
          </w:tcPr>
          <w:p w14:paraId="67012A7E"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82</w:t>
            </w:r>
          </w:p>
        </w:tc>
        <w:tc>
          <w:tcPr>
            <w:tcW w:w="3075" w:type="dxa"/>
          </w:tcPr>
          <w:p w14:paraId="32C802EF"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81</w:t>
            </w:r>
          </w:p>
        </w:tc>
      </w:tr>
      <w:tr w:rsidR="00300C42" w:rsidRPr="00194B5B" w14:paraId="20BCA78C" w14:textId="77777777">
        <w:tc>
          <w:tcPr>
            <w:tcW w:w="1423" w:type="dxa"/>
            <w:vAlign w:val="center"/>
          </w:tcPr>
          <w:p w14:paraId="39C1F462" w14:textId="77777777" w:rsidR="00300C42" w:rsidRPr="00194B5B" w:rsidRDefault="00300C42">
            <w:pPr>
              <w:spacing w:before="40" w:after="40"/>
              <w:jc w:val="center"/>
              <w:rPr>
                <w:sz w:val="20"/>
                <w:szCs w:val="20"/>
              </w:rPr>
            </w:pPr>
            <w:r w:rsidRPr="00194B5B">
              <w:rPr>
                <w:rFonts w:cs="Arial"/>
                <w:color w:val="000000"/>
                <w:sz w:val="20"/>
                <w:szCs w:val="20"/>
              </w:rPr>
              <w:lastRenderedPageBreak/>
              <w:t>64</w:t>
            </w:r>
          </w:p>
        </w:tc>
        <w:tc>
          <w:tcPr>
            <w:tcW w:w="1423" w:type="dxa"/>
            <w:vAlign w:val="center"/>
          </w:tcPr>
          <w:p w14:paraId="60C91610" w14:textId="77777777" w:rsidR="00300C42" w:rsidRPr="00194B5B" w:rsidRDefault="00300C42">
            <w:pPr>
              <w:spacing w:before="40" w:after="40"/>
              <w:jc w:val="center"/>
              <w:rPr>
                <w:sz w:val="20"/>
                <w:szCs w:val="20"/>
              </w:rPr>
            </w:pPr>
            <w:r w:rsidRPr="00194B5B">
              <w:rPr>
                <w:sz w:val="20"/>
                <w:szCs w:val="20"/>
              </w:rPr>
              <w:t>9</w:t>
            </w:r>
          </w:p>
        </w:tc>
        <w:tc>
          <w:tcPr>
            <w:tcW w:w="3074" w:type="dxa"/>
          </w:tcPr>
          <w:p w14:paraId="1D604213"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80</w:t>
            </w:r>
          </w:p>
        </w:tc>
        <w:tc>
          <w:tcPr>
            <w:tcW w:w="3075" w:type="dxa"/>
          </w:tcPr>
          <w:p w14:paraId="10D399B6" w14:textId="77777777" w:rsidR="00300C42" w:rsidRPr="0032606A" w:rsidRDefault="00300C42">
            <w:pPr>
              <w:spacing w:before="40" w:after="40"/>
              <w:jc w:val="center"/>
              <w:rPr>
                <w:sz w:val="20"/>
                <w:szCs w:val="20"/>
              </w:rPr>
            </w:pPr>
            <w:r w:rsidRPr="00194B5B">
              <w:rPr>
                <w:sz w:val="20"/>
                <w:szCs w:val="20"/>
              </w:rPr>
              <w:t>0.</w:t>
            </w:r>
            <w:r w:rsidRPr="0032606A">
              <w:rPr>
                <w:sz w:val="20"/>
                <w:szCs w:val="20"/>
              </w:rPr>
              <w:t>80</w:t>
            </w:r>
          </w:p>
        </w:tc>
      </w:tr>
    </w:tbl>
    <w:p w14:paraId="007463D4" w14:textId="77777777" w:rsidR="00300C42" w:rsidRPr="00194B5B" w:rsidRDefault="00300C42" w:rsidP="00300C42"/>
    <w:p w14:paraId="1D5A94C9" w14:textId="4E8546C0" w:rsidR="00750BE5" w:rsidRDefault="00AD513E" w:rsidP="00300C42">
      <w:r>
        <w:t>I</w:t>
      </w:r>
      <w:r w:rsidR="00750BE5">
        <w:t>f the relative phase described above is to be supported, then new measurement type</w:t>
      </w:r>
      <w:r>
        <w:t>s</w:t>
      </w:r>
      <w:r w:rsidR="00750BE5">
        <w:t xml:space="preserve"> </w:t>
      </w:r>
      <w:proofErr w:type="gramStart"/>
      <w:r w:rsidR="00750BE5">
        <w:t>needs</w:t>
      </w:r>
      <w:proofErr w:type="gramEnd"/>
      <w:r w:rsidR="00750BE5">
        <w:t xml:space="preserve"> to be introduced</w:t>
      </w:r>
      <w:r w:rsidR="003802FC">
        <w:t xml:space="preserve"> in 38.215.</w:t>
      </w:r>
      <w:r w:rsidR="004110B6">
        <w:t xml:space="preserve"> An example is shown below and called UL RSRCP</w:t>
      </w:r>
      <w:r>
        <w:t>, which is for UL measurements based on SRS</w:t>
      </w:r>
      <w:r w:rsidR="004110B6">
        <w:t>.</w:t>
      </w:r>
      <w:r>
        <w:t xml:space="preserve"> Similar new measurement type is needed for DL PRS as well.</w:t>
      </w:r>
    </w:p>
    <w:tbl>
      <w:tblPr>
        <w:tblStyle w:val="TableGrid"/>
        <w:tblW w:w="0" w:type="auto"/>
        <w:tblLook w:val="04A0" w:firstRow="1" w:lastRow="0" w:firstColumn="1" w:lastColumn="0" w:noHBand="0" w:noVBand="1"/>
      </w:tblPr>
      <w:tblGrid>
        <w:gridCol w:w="9962"/>
      </w:tblGrid>
      <w:tr w:rsidR="003802FC" w14:paraId="0DE56CE6" w14:textId="77777777" w:rsidTr="003802FC">
        <w:tc>
          <w:tcPr>
            <w:tcW w:w="9962" w:type="dxa"/>
          </w:tcPr>
          <w:p w14:paraId="752E57A6" w14:textId="188B4277" w:rsidR="003802FC" w:rsidRPr="004157FD" w:rsidRDefault="003802FC" w:rsidP="004157FD">
            <w:pPr>
              <w:keepNext/>
              <w:keepLines/>
              <w:rPr>
                <w:sz w:val="18"/>
                <w:lang w:val="en-CA"/>
              </w:rPr>
            </w:pPr>
            <w:r>
              <w:rPr>
                <w:iCs/>
                <w:sz w:val="18"/>
                <w:lang w:val="en-CA"/>
              </w:rPr>
              <w:t>U</w:t>
            </w:r>
            <w:r w:rsidRPr="00B36F20">
              <w:rPr>
                <w:iCs/>
                <w:sz w:val="18"/>
                <w:lang w:val="en-CA"/>
              </w:rPr>
              <w:t>L reference signal</w:t>
            </w:r>
            <w:r>
              <w:rPr>
                <w:iCs/>
                <w:sz w:val="18"/>
                <w:lang w:val="en-CA"/>
              </w:rPr>
              <w:t xml:space="preserve"> relative</w:t>
            </w:r>
            <w:r w:rsidRPr="00B36F20">
              <w:rPr>
                <w:iCs/>
                <w:sz w:val="18"/>
                <w:lang w:val="en-CA"/>
              </w:rPr>
              <w:t xml:space="preserve"> carrier phase (RS</w:t>
            </w:r>
            <w:r>
              <w:rPr>
                <w:iCs/>
                <w:sz w:val="18"/>
                <w:lang w:val="en-CA"/>
              </w:rPr>
              <w:t>R</w:t>
            </w:r>
            <w:r w:rsidRPr="00B36F20">
              <w:rPr>
                <w:iCs/>
                <w:sz w:val="18"/>
                <w:lang w:val="en-CA"/>
              </w:rPr>
              <w:t xml:space="preserve">CP) is defined as </w:t>
            </w:r>
            <w:r>
              <w:rPr>
                <w:iCs/>
                <w:sz w:val="18"/>
                <w:lang w:val="en-CA"/>
              </w:rPr>
              <w:t xml:space="preserve">a sequence of relative phase values </w:t>
            </w:r>
            <w:r w:rsidRPr="00B175D3">
              <w:rPr>
                <w:rFonts w:eastAsia="MS Mincho" w:cs="Arial"/>
                <w:sz w:val="18"/>
                <w:lang w:val="x-none" w:eastAsia="x-none"/>
              </w:rPr>
              <w:t>of the channel response</w:t>
            </w:r>
            <w:r>
              <w:rPr>
                <w:rFonts w:eastAsia="MS Mincho" w:cs="Arial"/>
                <w:sz w:val="18"/>
                <w:lang w:eastAsia="x-none"/>
              </w:rPr>
              <w:t xml:space="preserve"> </w:t>
            </w:r>
            <w:r w:rsidRPr="003A77C4">
              <w:rPr>
                <w:rFonts w:eastAsia="MS Mincho" w:cs="Arial"/>
                <w:sz w:val="18"/>
                <w:lang w:eastAsia="x-none"/>
              </w:rPr>
              <w:t>derived from the resource elements carrying sounding reference signals (SRS) configured for the measurement</w:t>
            </w:r>
            <w:r>
              <w:rPr>
                <w:iCs/>
                <w:sz w:val="18"/>
                <w:lang w:val="en-CA"/>
              </w:rPr>
              <w:t>. For the j-</w:t>
            </w:r>
            <w:proofErr w:type="spellStart"/>
            <w:r>
              <w:rPr>
                <w:iCs/>
                <w:sz w:val="18"/>
                <w:lang w:val="en-CA"/>
              </w:rPr>
              <w:t>th</w:t>
            </w:r>
            <w:proofErr w:type="spellEnd"/>
            <w:r>
              <w:rPr>
                <w:iCs/>
                <w:sz w:val="18"/>
                <w:lang w:val="en-CA"/>
              </w:rPr>
              <w:t xml:space="preserve"> path, the relative phase is the difference between the phase of the j-</w:t>
            </w:r>
            <w:proofErr w:type="spellStart"/>
            <w:r>
              <w:rPr>
                <w:iCs/>
                <w:sz w:val="18"/>
                <w:lang w:val="en-CA"/>
              </w:rPr>
              <w:t>th</w:t>
            </w:r>
            <w:proofErr w:type="spellEnd"/>
            <w:r>
              <w:rPr>
                <w:iCs/>
                <w:sz w:val="18"/>
                <w:lang w:val="en-CA"/>
              </w:rPr>
              <w:t xml:space="preserve"> path and the phase of the first path. </w:t>
            </w:r>
          </w:p>
        </w:tc>
      </w:tr>
    </w:tbl>
    <w:p w14:paraId="7B32C2E9" w14:textId="77777777" w:rsidR="003802FC" w:rsidRDefault="003802FC" w:rsidP="00300C42"/>
    <w:p w14:paraId="6D533511" w14:textId="6999C705" w:rsidR="00750BE5" w:rsidRDefault="003802FC" w:rsidP="00300C42">
      <w:pPr>
        <w:rPr>
          <w:rFonts w:cs="Arial"/>
          <w:lang w:eastAsia="x-none"/>
        </w:rPr>
      </w:pPr>
      <w:r w:rsidRPr="003802FC">
        <w:t xml:space="preserve">It is noted that the UL RSRCP illustrated above needs to be added in addition to the existing </w:t>
      </w:r>
      <w:r w:rsidRPr="004157FD">
        <w:rPr>
          <w:rFonts w:cs="Arial"/>
          <w:lang w:val="x-none" w:eastAsia="x-none"/>
        </w:rPr>
        <w:t>UL reference signal carrier phase (RSCP)</w:t>
      </w:r>
      <w:r w:rsidRPr="004157FD">
        <w:rPr>
          <w:rFonts w:cs="Arial"/>
          <w:lang w:eastAsia="x-none"/>
        </w:rPr>
        <w:t xml:space="preserve"> introduced in Rel-18, which is </w:t>
      </w:r>
      <w:r>
        <w:rPr>
          <w:rFonts w:cs="Arial"/>
          <w:lang w:eastAsia="x-none"/>
        </w:rPr>
        <w:t xml:space="preserve">only </w:t>
      </w:r>
      <w:r w:rsidRPr="004157FD">
        <w:rPr>
          <w:rFonts w:cs="Arial"/>
          <w:lang w:eastAsia="x-none"/>
        </w:rPr>
        <w:t>for the phase of the first detected path delay. Related to the new measurement type UL RSRCP</w:t>
      </w:r>
      <w:r>
        <w:rPr>
          <w:rFonts w:cs="Arial"/>
          <w:lang w:eastAsia="x-none"/>
        </w:rPr>
        <w:t xml:space="preserve">, standardization effort is also needed in </w:t>
      </w:r>
      <w:r w:rsidR="00225B30">
        <w:rPr>
          <w:rFonts w:cs="Arial"/>
          <w:lang w:eastAsia="x-none"/>
        </w:rPr>
        <w:t>RAN1/</w:t>
      </w:r>
      <w:r>
        <w:rPr>
          <w:rFonts w:cs="Arial"/>
          <w:lang w:eastAsia="x-none"/>
        </w:rPr>
        <w:t>RAN2</w:t>
      </w:r>
      <w:r w:rsidR="00225B30">
        <w:rPr>
          <w:rFonts w:cs="Arial"/>
          <w:lang w:eastAsia="x-none"/>
        </w:rPr>
        <w:t>/</w:t>
      </w:r>
      <w:r>
        <w:rPr>
          <w:rFonts w:cs="Arial"/>
          <w:lang w:eastAsia="x-none"/>
        </w:rPr>
        <w:t>RAN3 for signaling support</w:t>
      </w:r>
      <w:r w:rsidR="00225B30">
        <w:rPr>
          <w:rFonts w:cs="Arial"/>
          <w:lang w:eastAsia="x-none"/>
        </w:rPr>
        <w:t xml:space="preserve"> for training data collection and model inference</w:t>
      </w:r>
      <w:r>
        <w:rPr>
          <w:rFonts w:cs="Arial"/>
          <w:lang w:eastAsia="x-none"/>
        </w:rPr>
        <w:t xml:space="preserve">, and </w:t>
      </w:r>
      <w:r w:rsidR="00225B30">
        <w:rPr>
          <w:rFonts w:cs="Arial"/>
          <w:lang w:eastAsia="x-none"/>
        </w:rPr>
        <w:t xml:space="preserve">potentially </w:t>
      </w:r>
      <w:r>
        <w:rPr>
          <w:rFonts w:cs="Arial"/>
          <w:lang w:eastAsia="x-none"/>
        </w:rPr>
        <w:t>in RAN4 for requirements.</w:t>
      </w:r>
      <w:r w:rsidR="00AD513E">
        <w:rPr>
          <w:rFonts w:cs="Arial"/>
          <w:lang w:eastAsia="x-none"/>
        </w:rPr>
        <w:t xml:space="preserve"> </w:t>
      </w:r>
      <w:r w:rsidR="00AD513E">
        <w:t>Similar standardization effort is needed for the corresponding DL PRS measurement as well.</w:t>
      </w:r>
      <w:r>
        <w:rPr>
          <w:rFonts w:cs="Arial"/>
          <w:lang w:eastAsia="x-none"/>
        </w:rPr>
        <w:t xml:space="preserve"> RAN1 needs to take these into account in determining whether to support CIR in Rel-19.</w:t>
      </w:r>
    </w:p>
    <w:p w14:paraId="1B995465" w14:textId="657B3BE3" w:rsidR="003802FC" w:rsidRDefault="00F22BBA" w:rsidP="00300C42">
      <w:r>
        <w:t xml:space="preserve">Furthermore, the analysis above does not consider inter-path phase difference caused by the TRP’s and the UEs antenna patterns. As discussed in section </w:t>
      </w:r>
      <w:r w:rsidR="00E70DE4">
        <w:fldChar w:fldCharType="begin"/>
      </w:r>
      <w:r w:rsidR="00E70DE4">
        <w:instrText xml:space="preserve"> REF _Ref163131948 \r </w:instrText>
      </w:r>
      <w:r w:rsidR="00E70DE4">
        <w:fldChar w:fldCharType="separate"/>
      </w:r>
      <w:r w:rsidR="00C713E4">
        <w:t>3.2.3</w:t>
      </w:r>
      <w:r w:rsidR="00E70DE4">
        <w:fldChar w:fldCharType="end"/>
      </w:r>
      <w:r>
        <w:t>, it is unclear how to remove such inter-path phase difference</w:t>
      </w:r>
      <w:r w:rsidR="00875C6F">
        <w:t xml:space="preserve"> between model training and model inference</w:t>
      </w:r>
      <w:r>
        <w:t>, especially the phase offset caused by UE Tx or Rx antenna</w:t>
      </w:r>
      <w:r w:rsidR="00875C6F">
        <w:t>.</w:t>
      </w:r>
    </w:p>
    <w:p w14:paraId="0F369AF1" w14:textId="77777777" w:rsidR="00F22BBA" w:rsidRPr="003802FC" w:rsidRDefault="00F22BBA" w:rsidP="00300C42"/>
    <w:p w14:paraId="470DD67B" w14:textId="77777777" w:rsidR="00875C6F" w:rsidRDefault="00875C6F" w:rsidP="002938DE">
      <w:pPr>
        <w:pStyle w:val="Proposal"/>
      </w:pPr>
      <w:bookmarkStart w:id="1483" w:name="_Toc189845114"/>
      <w:r>
        <w:t>To decide whether to support phase information to enable CIR as model input, RAN1 should weigh the small positioning accuracy improvement against the standardization effort, the signaling overhead, and the difficulty to align phase information between training and inference.</w:t>
      </w:r>
      <w:bookmarkEnd w:id="1483"/>
    </w:p>
    <w:p w14:paraId="35DC122B" w14:textId="691C16F3" w:rsidR="00300C42" w:rsidRDefault="003802FC" w:rsidP="002938DE">
      <w:pPr>
        <w:pStyle w:val="Proposal"/>
      </w:pPr>
      <w:bookmarkStart w:id="1484" w:name="_Toc189845115"/>
      <w:r>
        <w:t>If phase information is supported to enable CIR as model input, the phase values are reported in the format of relative phase.</w:t>
      </w:r>
      <w:bookmarkEnd w:id="1484"/>
    </w:p>
    <w:p w14:paraId="56B1DBAE" w14:textId="5A3170D1" w:rsidR="00300C42" w:rsidRPr="00AC7632" w:rsidRDefault="00F22BBA" w:rsidP="004157FD">
      <w:pPr>
        <w:pStyle w:val="Heading3"/>
      </w:pPr>
      <w:bookmarkStart w:id="1485" w:name="_Ref163131948"/>
      <w:bookmarkStart w:id="1486" w:name="_Toc165990989"/>
      <w:bookmarkStart w:id="1487" w:name="_Toc189845018"/>
      <w:r>
        <w:t>Difficulty to align</w:t>
      </w:r>
      <w:r w:rsidR="00300C42">
        <w:t xml:space="preserve"> phase measurements</w:t>
      </w:r>
      <w:bookmarkEnd w:id="1485"/>
      <w:r w:rsidR="007416E4">
        <w:t xml:space="preserve"> between model training and model inference</w:t>
      </w:r>
      <w:bookmarkEnd w:id="1486"/>
      <w:bookmarkEnd w:id="1487"/>
    </w:p>
    <w:p w14:paraId="004576CF" w14:textId="1AB0F8EC" w:rsidR="00300C42" w:rsidRDefault="00300C42" w:rsidP="00300C42">
      <w:r>
        <w:t>Assuming a magnitude-phase measurement is used as model input, e.g.</w:t>
      </w:r>
      <w:r w:rsidR="00A23F4F">
        <w:t>,</w:t>
      </w:r>
      <w:r>
        <w:t xml:space="preserve"> a complex CIR or even a single path, some ambiguity will need to be resolved. In the downlink, the phase component of a received path consists of the following:</w:t>
      </w:r>
    </w:p>
    <w:p w14:paraId="03EB9974" w14:textId="77777777" w:rsidR="00300C42" w:rsidRPr="00AC7EB8" w:rsidRDefault="00B27F97" w:rsidP="00300C42">
      <m:oMathPara>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ue</m:t>
              </m:r>
            </m:sub>
          </m:sSub>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TRP</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m:oMathPara>
    </w:p>
    <w:p w14:paraId="006A97BD" w14:textId="77777777" w:rsidR="00300C42" w:rsidRDefault="00300C42" w:rsidP="00300C42">
      <w:r>
        <w:lastRenderedPageBreak/>
        <w:t>In this equation, we can see that the receive phase is made of:</w:t>
      </w:r>
    </w:p>
    <w:p w14:paraId="144BF009" w14:textId="77777777" w:rsidR="00300C42" w:rsidRDefault="00300C42" w:rsidP="00D35F36">
      <w:pPr>
        <w:pStyle w:val="ListParagraph"/>
        <w:numPr>
          <w:ilvl w:val="0"/>
          <w:numId w:val="20"/>
        </w:numPr>
      </w:pPr>
      <w:r>
        <w:t xml:space="preserve">The channel path phase </w:t>
      </w:r>
      <m:oMath>
        <m:r>
          <w:rPr>
            <w:rFonts w:ascii="Cambria Math" w:hAnsi="Cambria Math"/>
          </w:rPr>
          <m:t>θ(</m:t>
        </m:r>
        <m:sSub>
          <m:sSubPr>
            <m:ctrlPr>
              <w:rPr>
                <w:rFonts w:ascii="Cambria Math" w:hAnsi="Cambria Math"/>
                <w:i/>
              </w:rPr>
            </m:ctrlPr>
          </m:sSubPr>
          <m:e>
            <m:r>
              <w:rPr>
                <w:rFonts w:ascii="Cambria Math" w:hAnsi="Cambria Math"/>
              </w:rPr>
              <m:t>d</m:t>
            </m:r>
          </m:e>
          <m:sub>
            <m:r>
              <w:rPr>
                <w:rFonts w:ascii="Cambria Math" w:hAnsi="Cambria Math"/>
              </w:rPr>
              <m:t>1u</m:t>
            </m:r>
          </m:sub>
        </m:sSub>
        <m:r>
          <w:rPr>
            <w:rFonts w:ascii="Cambria Math" w:hAnsi="Cambria Math"/>
          </w:rPr>
          <m:t>)</m:t>
        </m:r>
      </m:oMath>
      <w:r>
        <w:t>, which is a function of the distance between the TRP and the UE.</w:t>
      </w:r>
    </w:p>
    <w:p w14:paraId="404449AD" w14:textId="77777777" w:rsidR="00300C42" w:rsidRDefault="00300C42" w:rsidP="00D35F36">
      <w:pPr>
        <w:pStyle w:val="ListParagraph"/>
        <w:numPr>
          <w:ilvl w:val="0"/>
          <w:numId w:val="20"/>
        </w:numPr>
      </w:pPr>
      <w:r w:rsidRPr="35DAF9E0">
        <w:t xml:space="preserve">The TRP phase at the time of transmission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m:t>
                </m:r>
              </m:sub>
            </m:sSub>
          </m:e>
        </m:d>
      </m:oMath>
      <w:r w:rsidRPr="35DAF9E0">
        <w:t xml:space="preserve">, which includes a random phase rotation caused by the free-running oscillator, and a deterministic rotation caused by the beamforming weights and the Tx antenna pattern. </w:t>
      </w:r>
      <w:proofErr w:type="gramStart"/>
      <w:r w:rsidRPr="35DAF9E0">
        <w:t>Thus</w:t>
      </w:r>
      <w:proofErr w:type="gramEnd"/>
      <w:r w:rsidRPr="35DAF9E0">
        <w:t xml:space="preserve"> the initial phase depends on the direction of departure of the path. </w:t>
      </w:r>
    </w:p>
    <w:p w14:paraId="16CB503E" w14:textId="77777777" w:rsidR="00300C42" w:rsidRDefault="00300C42" w:rsidP="00D35F36">
      <w:pPr>
        <w:pStyle w:val="ListParagraph"/>
        <w:numPr>
          <w:ilvl w:val="0"/>
          <w:numId w:val="20"/>
        </w:numPr>
      </w:pPr>
      <w:r w:rsidRPr="35DAF9E0">
        <w:t xml:space="preserve">The UE phase at the time of reception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ue</m:t>
            </m:r>
          </m:sub>
        </m:sSub>
        <m:r>
          <w:rPr>
            <w:rFonts w:ascii="Cambria Math" w:hAnsi="Cambria Math"/>
          </w:rPr>
          <m:t>)</m:t>
        </m:r>
      </m:oMath>
      <w:r w:rsidRPr="35DAF9E0">
        <w:t xml:space="preserve">, which includes a random phase rotation caused by the free-running oscillator, and a deterministic rotation caused by the beamforming weights and the Rx antenna pattern. </w:t>
      </w:r>
      <w:proofErr w:type="gramStart"/>
      <w:r w:rsidRPr="35DAF9E0">
        <w:t>Thus</w:t>
      </w:r>
      <w:proofErr w:type="gramEnd"/>
      <w:r w:rsidRPr="35DAF9E0">
        <w:t xml:space="preserve"> the initial phase depends on the direction of arrival of the path. </w:t>
      </w:r>
    </w:p>
    <w:p w14:paraId="10D210C6" w14:textId="77777777" w:rsidR="00300C42" w:rsidRDefault="00300C42" w:rsidP="00300C42"/>
    <w:p w14:paraId="65DA42E3" w14:textId="1637EDDC" w:rsidR="00300C42" w:rsidRDefault="00300C42" w:rsidP="00300C42">
      <w:r>
        <w:t>Let’s assume that the model input is the RSCP/RSCPD measurement defined in release 18, i.e.</w:t>
      </w:r>
      <w:r w:rsidR="00875094">
        <w:t>,</w:t>
      </w:r>
      <w:r>
        <w:t xml:space="preserve"> the (complex) phase/ phase difference for the first path. Carrier phase positioning specified in release 18 measures the phase difference between two DL PRSs received from two TRPs:</w:t>
      </w:r>
    </w:p>
    <w:p w14:paraId="0144D8D5" w14:textId="77777777" w:rsidR="00300C42" w:rsidRPr="00AC7EB8" w:rsidRDefault="00B27F97"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u</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ue</m:t>
                      </m:r>
                    </m:sub>
                  </m:sSub>
                </m:e>
              </m:d>
            </m:e>
          </m:d>
        </m:oMath>
      </m:oMathPara>
    </w:p>
    <w:p w14:paraId="493F191A" w14:textId="77777777" w:rsidR="00300C42" w:rsidRDefault="00300C42" w:rsidP="00300C42">
      <w:r>
        <w:t xml:space="preserve">Doing so cancels out the UE’s own random phase error contribution to the phase error. We can assume there is no UE phase error contribution left </w:t>
      </w:r>
      <w:r w:rsidRPr="004157FD">
        <w:rPr>
          <w:i/>
        </w:rPr>
        <w:t>if the UE knows its antenna pattern’s phase offset and can remove it</w:t>
      </w:r>
      <w:r>
        <w:t>. The remaining phase difference becomes:</w:t>
      </w:r>
    </w:p>
    <w:p w14:paraId="14B2DD5B" w14:textId="77777777" w:rsidR="00300C42" w:rsidRPr="00AC7EB8" w:rsidRDefault="00B27F97"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2CE2A202" w14:textId="77777777" w:rsidR="00300C42" w:rsidRDefault="00300C42" w:rsidP="00300C42">
      <w:r>
        <w:t>To cancel out the TRPs contribution to the phase error, a PRU is used to collect a measurement from each TRP and form its own phase difference:</w:t>
      </w:r>
    </w:p>
    <w:p w14:paraId="0D6DF82D" w14:textId="77777777" w:rsidR="00300C42" w:rsidRPr="00AC7EB8" w:rsidRDefault="00B27F97"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d>
            <m:dPr>
              <m:ctrlPr>
                <w:rPr>
                  <w:rFonts w:ascii="Cambria Math" w:hAnsi="Cambria Math"/>
                  <w:i/>
                </w:rPr>
              </m:ctrlPr>
            </m:dPr>
            <m:e>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e>
          </m:d>
        </m:oMath>
      </m:oMathPara>
    </w:p>
    <w:p w14:paraId="4ED69AD5" w14:textId="77777777" w:rsidR="00300C42" w:rsidRDefault="00300C42" w:rsidP="00300C42">
      <w:r>
        <w:t>The assumption is that the PRU allows the estimator to perfectly know the distance between the TRP and the PRU, so that the differential phase errors between the TRPs can be estimated as:</w:t>
      </w:r>
    </w:p>
    <w:p w14:paraId="19FEB7F8" w14:textId="77777777" w:rsidR="00300C42" w:rsidRPr="00AC7EB8" w:rsidRDefault="00B27F97" w:rsidP="00300C42">
      <m:oMathPara>
        <m:oMath>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r>
            <w:rPr>
              <w:rFonts w:ascii="Cambria Math" w:hAnsi="Cambria Math"/>
            </w:rPr>
            <m:t>=</m:t>
          </m:r>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m:oMathPara>
    </w:p>
    <w:p w14:paraId="659EE2BF" w14:textId="335D76D4" w:rsidR="00300C42" w:rsidRDefault="00300C42" w:rsidP="00300C42">
      <w:r>
        <w:t xml:space="preserve">The final phase difference then </w:t>
      </w:r>
      <w:r w:rsidR="0077387E">
        <w:t xml:space="preserve">can be expressed as following and can be used to find </w:t>
      </w:r>
      <m:oMath>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oMath>
      <w:r>
        <w:t>:</w:t>
      </w:r>
      <w:r w:rsidR="007C4A11">
        <w:t xml:space="preserve"> </w:t>
      </w:r>
    </w:p>
    <w:p w14:paraId="3277E7AE" w14:textId="1594C37A" w:rsidR="00DB315D" w:rsidRDefault="00B27F97" w:rsidP="00DB315D">
      <m:oMathPara>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θ</m:t>
                  </m:r>
                </m:e>
              </m:acc>
            </m:e>
            <m:sub>
              <m:r>
                <w:rPr>
                  <w:rFonts w:ascii="Cambria Math" w:hAnsi="Cambria Math"/>
                </w:rPr>
                <m:t>ue</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2u</m:t>
                  </m:r>
                </m:sub>
              </m:sSub>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θ</m:t>
                  </m:r>
                </m:e>
              </m:acc>
            </m:e>
            <m:sub>
              <m:r>
                <w:rPr>
                  <w:rFonts w:ascii="Cambria Math" w:hAnsi="Cambria Math"/>
                </w:rPr>
                <m:t>PRU</m:t>
              </m:r>
            </m:sub>
            <m:sup>
              <m:r>
                <w:rPr>
                  <w:rFonts w:ascii="Cambria Math" w:hAnsi="Cambria Math"/>
                </w:rPr>
                <m:t>diff</m:t>
              </m:r>
            </m:sup>
          </m:sSubSup>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1,PRU</m:t>
                  </m:r>
                </m:sub>
              </m:sSub>
            </m:e>
          </m:d>
          <m:r>
            <w:rPr>
              <w:rFonts w:ascii="Cambria Math" w:hAnsi="Cambria Math"/>
            </w:rPr>
            <m:t>+θ</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2,PRU</m:t>
                  </m:r>
                </m:sub>
              </m:sSub>
            </m:e>
          </m:d>
        </m:oMath>
      </m:oMathPara>
    </w:p>
    <w:p w14:paraId="1B6DB1B9" w14:textId="7EAAAD7D" w:rsidR="00300C42" w:rsidRDefault="00D62EB8" w:rsidP="00300C42">
      <w:r>
        <w:t xml:space="preserve">In the above, it is assumed that </w:t>
      </w:r>
      <m:oMath>
        <m:sSubSup>
          <m:sSubSupPr>
            <m:ctrlPr>
              <w:rPr>
                <w:rFonts w:ascii="Cambria Math" w:hAnsi="Cambria Math"/>
              </w:rPr>
            </m:ctrlPr>
          </m:sSubSupPr>
          <m:e>
            <m:r>
              <m:rPr>
                <m:sty m:val="p"/>
              </m:rPr>
              <w:rPr>
                <w:rFonts w:ascii="Cambria Math" w:hAnsi="Cambria Math"/>
              </w:rPr>
              <m:t>Δ</m:t>
            </m:r>
          </m:e>
          <m:sub>
            <m:r>
              <w:rPr>
                <w:rFonts w:ascii="Cambria Math" w:hAnsi="Cambria Math"/>
              </w:rPr>
              <m:t>1</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 xml:space="preserve">- </m:t>
        </m:r>
        <m:sSubSup>
          <m:sSubSupPr>
            <m:ctrlPr>
              <w:rPr>
                <w:rFonts w:ascii="Cambria Math" w:hAnsi="Cambria Math"/>
              </w:rPr>
            </m:ctrlPr>
          </m:sSubSupPr>
          <m:e>
            <m:r>
              <m:rPr>
                <m:sty m:val="p"/>
              </m:rPr>
              <w:rPr>
                <w:rFonts w:ascii="Cambria Math" w:hAnsi="Cambria Math"/>
              </w:rPr>
              <m:t>Δ</m:t>
            </m:r>
          </m:e>
          <m:sub>
            <m:r>
              <w:rPr>
                <w:rFonts w:ascii="Cambria Math" w:hAnsi="Cambria Math"/>
              </w:rPr>
              <m:t>2</m:t>
            </m:r>
          </m:sub>
          <m:sup>
            <m:r>
              <w:rPr>
                <w:rFonts w:ascii="Cambria Math" w:hAnsi="Cambria Math"/>
              </w:rPr>
              <m:t>PRU</m:t>
            </m:r>
          </m:sup>
        </m:sSubSup>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TRP1</m:t>
                </m:r>
              </m:sub>
            </m:sSub>
          </m:e>
        </m:d>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TRP2</m:t>
                </m:r>
              </m:sub>
            </m:sSub>
          </m:e>
        </m:d>
      </m:oMath>
      <w:r>
        <w:t xml:space="preserve">. </w:t>
      </w:r>
      <w:r w:rsidR="00300C42">
        <w:t xml:space="preserve">If the PRU and the UE are collocated well enough, and the measurements are taken very close in time, the PRU-estimate of the differential phase error between TRPs corresponds to the TRP phase error experienced </w:t>
      </w:r>
      <w:r w:rsidR="00300C42">
        <w:lastRenderedPageBreak/>
        <w:t xml:space="preserve">by the UE. for this reason, release 18 specified a measurement time window for RSCP/RSCPD measurements. </w:t>
      </w:r>
      <w:r>
        <w:t>H</w:t>
      </w:r>
      <w:r w:rsidR="00300C42">
        <w:t xml:space="preserve">ence, if the Rel-18 measurement is used for measurement input, PRUs need to assist the measuring UE during inference, since the phase errors from TRPs are time-dependent. </w:t>
      </w:r>
    </w:p>
    <w:p w14:paraId="5A47D51B" w14:textId="636BC07D" w:rsidR="00300C42" w:rsidRDefault="00300C42" w:rsidP="002938DE">
      <w:pPr>
        <w:pStyle w:val="Observation"/>
      </w:pPr>
      <w:bookmarkStart w:id="1488" w:name="_Toc189845070"/>
      <w:r>
        <w:t xml:space="preserve">For the RSCPD measurement PRU assisted phase error compensation requires PRUs to be used during training and inference, further increasing the </w:t>
      </w:r>
      <w:r w:rsidR="009E1513">
        <w:t xml:space="preserve">deployment cost and signaling </w:t>
      </w:r>
      <w:r>
        <w:t>overhead.</w:t>
      </w:r>
      <w:bookmarkEnd w:id="1488"/>
      <w:r>
        <w:t xml:space="preserve"> </w:t>
      </w:r>
    </w:p>
    <w:p w14:paraId="10C750EA" w14:textId="77777777" w:rsidR="00300C42" w:rsidRDefault="00300C42" w:rsidP="00300C42"/>
    <w:p w14:paraId="4977EE42" w14:textId="1DB3F764" w:rsidR="00300C42" w:rsidRDefault="00300C42" w:rsidP="00300C42">
      <w:r>
        <w:t xml:space="preserve">During RAN1#116, </w:t>
      </w:r>
      <w:r w:rsidR="00F22BBA">
        <w:t>i</w:t>
      </w:r>
      <w:r>
        <w:t>t was also discussed to use inter-path phase information to resolve the issue of random phase at transmitter and receiver</w:t>
      </w:r>
      <w:r w:rsidR="00F22BBA">
        <w:t xml:space="preserve">, see also analysis in section </w:t>
      </w:r>
      <w:r w:rsidR="00E70DE4">
        <w:fldChar w:fldCharType="begin"/>
      </w:r>
      <w:r w:rsidR="00E70DE4">
        <w:instrText xml:space="preserve"> REF _Ref163131777 \r </w:instrText>
      </w:r>
      <w:r w:rsidR="00E70DE4">
        <w:fldChar w:fldCharType="separate"/>
      </w:r>
      <w:r w:rsidR="00C713E4">
        <w:t>3.2.2</w:t>
      </w:r>
      <w:r w:rsidR="00E70DE4">
        <w:fldChar w:fldCharType="end"/>
      </w:r>
      <w:r w:rsidR="00F22BBA">
        <w:t>.</w:t>
      </w:r>
      <w:r w:rsidDel="00D92E7C">
        <w:t xml:space="preserve"> </w:t>
      </w:r>
      <w:r>
        <w:t xml:space="preserve">Inter-path phase information will indeed remove the random phase error caused by the transmitter and receiver oscillators. What remains is the inter-path phase difference caused by the TRP’s and the UEs antenna patterns. </w:t>
      </w:r>
      <w:r w:rsidR="008D37FA">
        <w:t xml:space="preserve"> </w:t>
      </w:r>
      <w:r w:rsidR="00EB3340">
        <w:t xml:space="preserve">Phase errors due to the </w:t>
      </w:r>
      <w:r w:rsidR="008D37FA">
        <w:t xml:space="preserve">TRP </w:t>
      </w:r>
      <w:r w:rsidR="00EB3340">
        <w:t>antenna will be the same during training and inference and thus can be</w:t>
      </w:r>
      <w:r w:rsidR="00EE731F">
        <w:t xml:space="preserve"> resolved, but the</w:t>
      </w:r>
      <w:r>
        <w:t xml:space="preserve"> UE antenna pattern </w:t>
      </w:r>
      <w:r w:rsidR="00673786">
        <w:t>will be difficult to keep consistent between inference and training, since the UE’s antenna pattern as well as its relative orientation toward the TRP may be different between training and inference.</w:t>
      </w:r>
      <w:r w:rsidDel="00FD5878">
        <w:t xml:space="preserve"> </w:t>
      </w:r>
      <w:r>
        <w:t xml:space="preserve">One other alternative would be to </w:t>
      </w:r>
      <w:r w:rsidRPr="004157FD">
        <w:rPr>
          <w:i/>
        </w:rPr>
        <w:t>remove the phase difference between path caused by the antenna</w:t>
      </w:r>
      <w:r>
        <w:t xml:space="preserve">, which means the </w:t>
      </w:r>
      <w:r w:rsidR="00673786">
        <w:t xml:space="preserve">UE phase error caused by the Rx </w:t>
      </w:r>
      <w:r w:rsidR="007718F5">
        <w:t xml:space="preserve">(Tx) </w:t>
      </w:r>
      <w:r>
        <w:t xml:space="preserve">antenna must be known to the model, </w:t>
      </w:r>
      <w:r w:rsidR="00673786">
        <w:t>for each</w:t>
      </w:r>
      <w:r>
        <w:t xml:space="preserve"> direction of arrival</w:t>
      </w:r>
      <w:r w:rsidR="007718F5">
        <w:t xml:space="preserve"> (departure)</w:t>
      </w:r>
      <w:r>
        <w:t xml:space="preserve">. </w:t>
      </w:r>
    </w:p>
    <w:p w14:paraId="18FC3E3C" w14:textId="6927A603" w:rsidR="00300C42" w:rsidRDefault="00300C42" w:rsidP="002938DE">
      <w:pPr>
        <w:pStyle w:val="Observation"/>
      </w:pPr>
      <w:bookmarkStart w:id="1489" w:name="_Toc189845071"/>
      <w:r>
        <w:t xml:space="preserve">For inter-path phase measurements, the model input at training and inference must know the </w:t>
      </w:r>
      <w:r w:rsidR="005C31F2">
        <w:t xml:space="preserve">UE </w:t>
      </w:r>
      <w:r>
        <w:t xml:space="preserve">TX </w:t>
      </w:r>
      <w:r w:rsidR="005C31F2">
        <w:t>or</w:t>
      </w:r>
      <w:r>
        <w:t xml:space="preserve"> RX antenna phase contribution, either by reporting the antenna phase contribution to the model, removing it, or assuming the same antenna pattern is used during inference and training.</w:t>
      </w:r>
      <w:bookmarkEnd w:id="1489"/>
      <w:r>
        <w:t xml:space="preserve"> </w:t>
      </w:r>
    </w:p>
    <w:p w14:paraId="444507C6" w14:textId="49BD82CC" w:rsidR="00300C42" w:rsidRDefault="00300C42" w:rsidP="002938DE">
      <w:pPr>
        <w:pStyle w:val="Observation"/>
      </w:pPr>
      <w:bookmarkStart w:id="1490" w:name="_Toc189845072"/>
      <w:r>
        <w:t xml:space="preserve">It is unclear how a mobile UE would know the direction of departure </w:t>
      </w:r>
      <w:r w:rsidR="005C31F2">
        <w:t xml:space="preserve">/ </w:t>
      </w:r>
      <w:r w:rsidR="00B60C1F">
        <w:t>arrival</w:t>
      </w:r>
      <w:r>
        <w:t xml:space="preserve"> and associated phase offset for each path toward a given TRP</w:t>
      </w:r>
      <w:r w:rsidR="009E1513">
        <w:t>.</w:t>
      </w:r>
      <w:bookmarkEnd w:id="1490"/>
    </w:p>
    <w:p w14:paraId="4F8C5174" w14:textId="77777777" w:rsidR="00300C42" w:rsidRPr="00E215F0" w:rsidRDefault="00300C42" w:rsidP="00300C42">
      <w:pPr>
        <w:pStyle w:val="Heading3"/>
        <w:rPr>
          <w:lang w:val="en-US"/>
        </w:rPr>
      </w:pPr>
      <w:bookmarkStart w:id="1491" w:name="_Toc165990990"/>
      <w:bookmarkStart w:id="1492" w:name="_Toc189845019"/>
      <w:r w:rsidRPr="00194B5B">
        <w:rPr>
          <w:lang w:val="en-US"/>
        </w:rPr>
        <w:t>Signaling size vs positioning accuracy tradeoff analysis</w:t>
      </w:r>
      <w:bookmarkEnd w:id="1491"/>
      <w:bookmarkEnd w:id="1492"/>
    </w:p>
    <w:p w14:paraId="551DBF62" w14:textId="6012FD8F" w:rsidR="00300C42" w:rsidRPr="00194B5B" w:rsidRDefault="00300C42" w:rsidP="00300C42">
      <w:r w:rsidRPr="00194B5B">
        <w:t xml:space="preserve">The complex-valued multi-port CIR samples have been found in the Rel-18 SI to achieve high positioning accuracy. However, these CIR samples require significantly larger signaling sizes than the </w:t>
      </w:r>
      <w:r w:rsidR="001D5D2E">
        <w:t>total-power</w:t>
      </w:r>
      <w:r w:rsidRPr="00194B5B">
        <w:t xml:space="preserve"> PDP. To reduce signaling sizes, many different down-sampling techniques such as truncation and sub-sampling have been investigated during the SI phase. It is therefore necessary to investigate the trade-off between signaling size requirements and achievable positioning accuracy of various combinations of sample lengths, sub-sample sizes and with CIR or PDP.</w:t>
      </w:r>
    </w:p>
    <w:p w14:paraId="7143F02F" w14:textId="77777777" w:rsidR="00300C42" w:rsidRPr="00E215F0" w:rsidRDefault="00300C42" w:rsidP="00300C42"/>
    <w:p w14:paraId="56623641" w14:textId="77777777" w:rsidR="00300C42" w:rsidRDefault="00300C42" w:rsidP="00300C42">
      <w:r w:rsidRPr="00E215F0">
        <w:t>In the following, we present two sig</w:t>
      </w:r>
      <w:r>
        <w:t>n</w:t>
      </w:r>
      <w:r w:rsidRPr="00E215F0">
        <w:t>aling</w:t>
      </w:r>
      <w:r>
        <w:t xml:space="preserve"> size vs </w:t>
      </w:r>
      <w:r w:rsidRPr="00A67F60">
        <w:t>positioning accuracy</w:t>
      </w:r>
      <w:r>
        <w:t xml:space="preserve"> trade-off comparison.</w:t>
      </w:r>
    </w:p>
    <w:p w14:paraId="10C84D22" w14:textId="08BF73CE" w:rsidR="00300C42" w:rsidRPr="00194B5B" w:rsidRDefault="00300C42" w:rsidP="00D35F36">
      <w:pPr>
        <w:pStyle w:val="ListParagraph"/>
        <w:numPr>
          <w:ilvl w:val="0"/>
          <w:numId w:val="31"/>
        </w:numPr>
      </w:pPr>
      <w:r>
        <w:t xml:space="preserve">In Section </w:t>
      </w:r>
      <w:r w:rsidR="00E70DE4">
        <w:fldChar w:fldCharType="begin"/>
      </w:r>
      <w:r w:rsidR="00E70DE4">
        <w:instrText xml:space="preserve"> REF _Ref163133118 \r </w:instrText>
      </w:r>
      <w:r w:rsidR="00E70DE4">
        <w:fldChar w:fldCharType="separate"/>
      </w:r>
      <w:r w:rsidR="00C713E4">
        <w:t>3.2.4.1</w:t>
      </w:r>
      <w:r w:rsidR="00E70DE4">
        <w:fldChar w:fldCharType="end"/>
      </w:r>
      <w:r>
        <w:t xml:space="preserve">, we use the </w:t>
      </w:r>
      <w:r w:rsidRPr="00E215F0">
        <w:t xml:space="preserve">number of real numbers to </w:t>
      </w:r>
      <w:r>
        <w:t xml:space="preserve">be </w:t>
      </w:r>
      <w:r w:rsidRPr="00E215F0">
        <w:t>signal</w:t>
      </w:r>
      <w:r>
        <w:t>ed as a proxy of the signaling size.</w:t>
      </w:r>
    </w:p>
    <w:p w14:paraId="6F43CBF1" w14:textId="752D1F98" w:rsidR="00300C42" w:rsidRPr="00194B5B" w:rsidRDefault="00300C42" w:rsidP="00D35F36">
      <w:pPr>
        <w:pStyle w:val="ListParagraph"/>
        <w:numPr>
          <w:ilvl w:val="0"/>
          <w:numId w:val="31"/>
        </w:numPr>
      </w:pPr>
      <w:r>
        <w:lastRenderedPageBreak/>
        <w:t xml:space="preserve">In Section </w:t>
      </w:r>
      <w:r w:rsidR="00E70DE4">
        <w:fldChar w:fldCharType="begin"/>
      </w:r>
      <w:r w:rsidR="00E70DE4">
        <w:instrText xml:space="preserve"> REF _Ref163048709 \r </w:instrText>
      </w:r>
      <w:r w:rsidR="00E70DE4">
        <w:fldChar w:fldCharType="separate"/>
      </w:r>
      <w:r w:rsidR="00C713E4">
        <w:t>3.2.4.2</w:t>
      </w:r>
      <w:r w:rsidR="00E70DE4">
        <w:fldChar w:fldCharType="end"/>
      </w:r>
      <w:r>
        <w:t>, we construct a more detailed signaling size estimation based on specific feedback formats.</w:t>
      </w:r>
    </w:p>
    <w:p w14:paraId="16F3DE68" w14:textId="77777777" w:rsidR="00300C42" w:rsidRDefault="00300C42" w:rsidP="00300C42">
      <w:r>
        <w:t>From both s</w:t>
      </w:r>
      <w:r w:rsidRPr="00A67F60">
        <w:t>ignaling sizes vs positioning accuracy trade-off analysis</w:t>
      </w:r>
      <w:r>
        <w:t xml:space="preserve"> exercises, we arrive at the following observation.</w:t>
      </w:r>
    </w:p>
    <w:p w14:paraId="24A7E704" w14:textId="77777777" w:rsidR="00300C42" w:rsidRDefault="00300C42" w:rsidP="00300C42"/>
    <w:p w14:paraId="585656E0" w14:textId="77777777" w:rsidR="00300C42" w:rsidRDefault="00300C42" w:rsidP="002938DE">
      <w:pPr>
        <w:pStyle w:val="Observation"/>
      </w:pPr>
      <w:bookmarkStart w:id="1493" w:name="_Toc189845073"/>
      <w:r w:rsidRPr="00E215F0">
        <w:t xml:space="preserve">For small or moderate signaling sizes, PDP </w:t>
      </w:r>
      <w:r>
        <w:t xml:space="preserve">and DP </w:t>
      </w:r>
      <w:r w:rsidRPr="00E215F0">
        <w:t>samples can achieve better positioning accuracy than CIR samples at the same or smaller signaling size. Multi-port CIR samples can achieve higher positioning accuracy only with very large signaling requirements.</w:t>
      </w:r>
      <w:bookmarkEnd w:id="1493"/>
    </w:p>
    <w:p w14:paraId="034FA1BA" w14:textId="77777777" w:rsidR="00300C42" w:rsidRPr="00E215F0" w:rsidRDefault="00300C42" w:rsidP="002938DE">
      <w:pPr>
        <w:pStyle w:val="Observation"/>
      </w:pPr>
      <w:bookmarkStart w:id="1494" w:name="_Toc189845074"/>
      <w:r w:rsidRPr="00E215F0">
        <w:t xml:space="preserve">For small or moderate signaling sizes, PDP </w:t>
      </w:r>
      <w:r>
        <w:t xml:space="preserve">and DP </w:t>
      </w:r>
      <w:r w:rsidRPr="00E215F0">
        <w:t>samples can achieve better positioning accuracy than CIR samples at the same or smaller signaling size</w:t>
      </w:r>
      <w:r>
        <w:t xml:space="preserve"> as well as with substantially lower AI/ML model complexity</w:t>
      </w:r>
      <w:r w:rsidRPr="00E215F0">
        <w:t>.</w:t>
      </w:r>
      <w:bookmarkEnd w:id="1494"/>
    </w:p>
    <w:p w14:paraId="20FC0196" w14:textId="77777777" w:rsidR="00300C42" w:rsidRPr="00E215F0" w:rsidRDefault="00300C42" w:rsidP="002938DE">
      <w:pPr>
        <w:pStyle w:val="Observation"/>
      </w:pPr>
      <w:bookmarkStart w:id="1495" w:name="_Toc189845075"/>
      <w:r>
        <w:t xml:space="preserve">For most given 90%tile 2D UE positioning error requirements, the DP samples </w:t>
      </w:r>
      <w:proofErr w:type="gramStart"/>
      <w:r>
        <w:t>requires</w:t>
      </w:r>
      <w:proofErr w:type="gramEnd"/>
      <w:r>
        <w:t xml:space="preserve"> the smallest signaling sizes</w:t>
      </w:r>
      <w:r w:rsidRPr="00E215F0">
        <w:t>.</w:t>
      </w:r>
      <w:bookmarkEnd w:id="1495"/>
    </w:p>
    <w:p w14:paraId="7ED5A6FD" w14:textId="77777777" w:rsidR="00300C42" w:rsidRPr="00E215F0" w:rsidRDefault="00300C42" w:rsidP="00300C42"/>
    <w:p w14:paraId="65744466" w14:textId="77777777" w:rsidR="00300C42" w:rsidRPr="00E215F0" w:rsidRDefault="00300C42" w:rsidP="00300C42">
      <w:r w:rsidRPr="00E215F0">
        <w:t>Furthermore, the assumption of two receive antenna ports for the UE was a simplifying assumption made for Rel-17 Positioning WI. For the Rel-19 AI for PHY, it may be necessary to consider four receive antenna ports for the typical NR UEs. This would double the required numbers of real values to represent the multi-port CIR again for Case 2b (2nd priority).</w:t>
      </w:r>
    </w:p>
    <w:p w14:paraId="3870ED13" w14:textId="77777777" w:rsidR="00300C42" w:rsidRPr="00E215F0" w:rsidRDefault="00300C42" w:rsidP="00300C42">
      <w:r w:rsidRPr="00E215F0">
        <w:t xml:space="preserve">For Case 3b (1st priority), a typical </w:t>
      </w:r>
      <w:proofErr w:type="spellStart"/>
      <w:r w:rsidRPr="00E215F0">
        <w:t>gNB</w:t>
      </w:r>
      <w:proofErr w:type="spellEnd"/>
      <w:r w:rsidRPr="00E215F0">
        <w:t>/TRP may be equipped with dozens of receive antenna ports. Forwarding such large multi-port CIR samples to LMF will have significantly negative impact on radio and core networks.</w:t>
      </w:r>
    </w:p>
    <w:p w14:paraId="5F43BA95" w14:textId="77777777" w:rsidR="00300C42" w:rsidRPr="00E215F0" w:rsidRDefault="00300C42" w:rsidP="00300C42"/>
    <w:p w14:paraId="4459C750" w14:textId="77777777" w:rsidR="00300C42" w:rsidRDefault="00300C42" w:rsidP="002938DE">
      <w:pPr>
        <w:pStyle w:val="Observation"/>
      </w:pPr>
      <w:bookmarkStart w:id="1496" w:name="_Toc189845076"/>
      <w:r w:rsidRPr="00E215F0">
        <w:t xml:space="preserve">Multi-port complex-valued CIR samples for both </w:t>
      </w:r>
      <w:r w:rsidRPr="00E215F0" w:rsidDel="005717C3">
        <w:t>Case 3b (1st priority) and Case 2b (2nd priority)</w:t>
      </w:r>
      <w:r w:rsidRPr="00E215F0">
        <w:t xml:space="preserve"> require very large signaling sizes, which can cause significantly negative impacts on the radio and core networks.</w:t>
      </w:r>
      <w:bookmarkEnd w:id="1496"/>
      <w:r w:rsidRPr="00E215F0">
        <w:t xml:space="preserve"> </w:t>
      </w:r>
    </w:p>
    <w:p w14:paraId="66866F50" w14:textId="4247607A" w:rsidR="00300C42" w:rsidRPr="00E215F0" w:rsidRDefault="00300C42" w:rsidP="00300C42">
      <w:r>
        <w:t>Based on the extensive evaluation and analysis presented in this section, we propose</w:t>
      </w:r>
    </w:p>
    <w:p w14:paraId="37226A6E" w14:textId="3015654C" w:rsidR="00300C42" w:rsidRPr="00E215F0" w:rsidRDefault="00300C42" w:rsidP="00300C42">
      <w:pPr>
        <w:pStyle w:val="Proposal"/>
      </w:pPr>
      <w:bookmarkStart w:id="1497" w:name="_Toc189845116"/>
      <w:r w:rsidRPr="00E215F0">
        <w:t xml:space="preserve">RAN1 to </w:t>
      </w:r>
      <w:r>
        <w:t>down-</w:t>
      </w:r>
      <w:r w:rsidRPr="00E215F0">
        <w:t xml:space="preserve">prioritize the </w:t>
      </w:r>
      <w:r w:rsidRPr="00E215F0" w:rsidDel="005717C3">
        <w:t xml:space="preserve">signaling approach(es) and/or measurement definitions to support </w:t>
      </w:r>
      <w:r>
        <w:t xml:space="preserve">CIR </w:t>
      </w:r>
      <w:r w:rsidRPr="00E215F0" w:rsidDel="005717C3">
        <w:t>model input types for Case 3b (1</w:t>
      </w:r>
      <w:r w:rsidRPr="003D44CB" w:rsidDel="005717C3">
        <w:rPr>
          <w:vertAlign w:val="superscript"/>
        </w:rPr>
        <w:t>st</w:t>
      </w:r>
      <w:r w:rsidRPr="00E215F0" w:rsidDel="005717C3">
        <w:t xml:space="preserve"> priority) and Case 2b (2</w:t>
      </w:r>
      <w:r w:rsidRPr="003D44CB" w:rsidDel="005717C3">
        <w:rPr>
          <w:vertAlign w:val="superscript"/>
        </w:rPr>
        <w:t>nd</w:t>
      </w:r>
      <w:r w:rsidRPr="00E215F0" w:rsidDel="005717C3">
        <w:t xml:space="preserve"> priority).</w:t>
      </w:r>
      <w:bookmarkEnd w:id="1497"/>
    </w:p>
    <w:p w14:paraId="3E59D69A" w14:textId="77777777" w:rsidR="00300C42" w:rsidRPr="00E215F0" w:rsidRDefault="00300C42" w:rsidP="00300C42">
      <w:pPr>
        <w:pStyle w:val="Heading4"/>
        <w:rPr>
          <w:lang w:val="en-US"/>
        </w:rPr>
      </w:pPr>
      <w:bookmarkStart w:id="1498" w:name="_Ref163133118"/>
      <w:bookmarkStart w:id="1499" w:name="_Toc165990991"/>
      <w:bookmarkStart w:id="1500" w:name="_Toc189845020"/>
      <w:r w:rsidRPr="00E215F0">
        <w:rPr>
          <w:lang w:val="en-US"/>
        </w:rPr>
        <w:t>Simple signaling size comparison based on the number of real numbers to signal</w:t>
      </w:r>
      <w:bookmarkEnd w:id="1498"/>
      <w:bookmarkEnd w:id="1499"/>
      <w:bookmarkEnd w:id="1500"/>
    </w:p>
    <w:p w14:paraId="178AA737" w14:textId="77777777" w:rsidR="00300C42" w:rsidRDefault="00300C42" w:rsidP="00300C42">
      <w:r w:rsidRPr="00E215F0">
        <w:t>In this section, we make a first quick comparison of feedback sizes and achievable positioning accuracy based on the number of real numbers needed in the signaling</w:t>
      </w:r>
      <w:r>
        <w:t xml:space="preserve">. An NR radio node is normally equipped </w:t>
      </w:r>
      <w:r>
        <w:lastRenderedPageBreak/>
        <w:t>with multiple RX antenna ports. AI/ML models with multi-port CIR inputs have been evaluated by several companies during the SI phase. As shown below, multi-port CIR can enable AI/ML models to achieve high positioning accuracy but will also require large signaling overhead. In the following, we investigate whether this accuracy vs overhead tradeoff can be improved by reducing the dimensions of the multi-port CIR inputs.</w:t>
      </w:r>
    </w:p>
    <w:p w14:paraId="3D3DB795" w14:textId="62AF22AE" w:rsidR="00300C42" w:rsidRDefault="00300C42" w:rsidP="00300C42">
      <w:r>
        <w:t>We consider two dimension</w:t>
      </w:r>
      <w:r w:rsidR="00BA6B63">
        <w:t>-</w:t>
      </w:r>
      <w:r>
        <w:t>reduction approaches to reduce multi-port CIR inputs to a single vector:</w:t>
      </w:r>
    </w:p>
    <w:p w14:paraId="03B8975D" w14:textId="77777777" w:rsidR="00300C42" w:rsidRPr="00A551FB" w:rsidRDefault="00300C42" w:rsidP="005925D5">
      <w:pPr>
        <w:pStyle w:val="ListParagraph"/>
        <w:numPr>
          <w:ilvl w:val="0"/>
          <w:numId w:val="41"/>
        </w:numPr>
      </w:pPr>
      <w:r>
        <w:t>Strongest port CIR</w:t>
      </w:r>
    </w:p>
    <w:p w14:paraId="5B938228" w14:textId="77777777" w:rsidR="00300C42" w:rsidRPr="002F1236" w:rsidRDefault="00300C42" w:rsidP="00300C42">
      <w:pPr>
        <w:ind w:left="720"/>
      </w:pPr>
      <w:r>
        <w:t>The measuring radio node computes the RSRP of each RX antenna ports and signals CIR samples only for the port with the strongest received power.</w:t>
      </w:r>
    </w:p>
    <w:p w14:paraId="44F51B49" w14:textId="77777777" w:rsidR="00300C42" w:rsidRDefault="00300C42" w:rsidP="005925D5">
      <w:pPr>
        <w:pStyle w:val="ListParagraph"/>
        <w:numPr>
          <w:ilvl w:val="0"/>
          <w:numId w:val="41"/>
        </w:numPr>
      </w:pPr>
      <w:r>
        <w:t>First principal component (1</w:t>
      </w:r>
      <w:r w:rsidRPr="009F49C0">
        <w:rPr>
          <w:vertAlign w:val="superscript"/>
        </w:rPr>
        <w:t>st</w:t>
      </w:r>
      <w:r>
        <w:t xml:space="preserve"> PC) CIR</w:t>
      </w:r>
    </w:p>
    <w:p w14:paraId="0A24A8CC" w14:textId="77777777" w:rsidR="00300C42" w:rsidRDefault="00300C42" w:rsidP="00300C42">
      <w:pPr>
        <w:ind w:left="720"/>
      </w:pPr>
      <w:r>
        <w:t xml:space="preserve">Let the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×A</m:t>
        </m:r>
      </m:oMath>
      <w:r>
        <w:t xml:space="preserve"> matrix </w:t>
      </w:r>
      <m:oMath>
        <m:r>
          <m:rPr>
            <m:sty m:val="b"/>
          </m:rPr>
          <w:rPr>
            <w:rFonts w:ascii="Cambria Math" w:hAnsi="Cambria Math"/>
          </w:rPr>
          <m:t>H</m:t>
        </m:r>
      </m:oMath>
      <w:r>
        <w:t xml:space="preserve"> collects the TD CIR samples from all antenna ports. The first principal component is given by </w:t>
      </w:r>
      <m:oMath>
        <m:r>
          <m:rPr>
            <m:sty m:val="b"/>
          </m:rPr>
          <w:rPr>
            <w:rFonts w:ascii="Cambria Math" w:hAnsi="Cambria Math"/>
          </w:rPr>
          <m:t>Hv</m:t>
        </m:r>
      </m:oMath>
      <w:r>
        <w:t>, where the length-</w:t>
      </w:r>
      <m:oMath>
        <m:r>
          <w:rPr>
            <w:rFonts w:ascii="Cambria Math" w:hAnsi="Cambria Math"/>
          </w:rPr>
          <m:t>A</m:t>
        </m:r>
      </m:oMath>
      <w:r>
        <w:t xml:space="preserve"> vector </w:t>
      </w:r>
      <m:oMath>
        <m:r>
          <m:rPr>
            <m:sty m:val="b"/>
          </m:rPr>
          <w:rPr>
            <w:rFonts w:ascii="Cambria Math" w:hAnsi="Cambria Math"/>
          </w:rPr>
          <m:t>v</m:t>
        </m:r>
      </m:oMath>
      <w:r>
        <w:t xml:space="preserve"> is the eigenvector corresponding to the largest eigenvalue</w:t>
      </w:r>
      <w:r w:rsidRPr="00963DAF">
        <w:t xml:space="preserve"> </w:t>
      </w:r>
      <w:r>
        <w:t xml:space="preserve">of </w:t>
      </w:r>
      <m:oMath>
        <m:sSup>
          <m:sSupPr>
            <m:ctrlPr>
              <w:rPr>
                <w:rFonts w:ascii="Cambria Math" w:hAnsi="Cambria Math"/>
                <w:i/>
              </w:rPr>
            </m:ctrlPr>
          </m:sSupPr>
          <m:e>
            <m:r>
              <m:rPr>
                <m:sty m:val="b"/>
              </m:rPr>
              <w:rPr>
                <w:rFonts w:ascii="Cambria Math" w:hAnsi="Cambria Math"/>
              </w:rPr>
              <m:t>H</m:t>
            </m:r>
          </m:e>
          <m:sup>
            <m:r>
              <w:rPr>
                <w:rFonts w:ascii="Cambria Math" w:hAnsi="Cambria Math"/>
              </w:rPr>
              <m:t>H</m:t>
            </m:r>
          </m:sup>
        </m:sSup>
        <m:r>
          <m:rPr>
            <m:sty m:val="b"/>
          </m:rPr>
          <w:rPr>
            <w:rFonts w:ascii="Cambria Math" w:hAnsi="Cambria Math"/>
          </w:rPr>
          <m:t>H</m:t>
        </m:r>
      </m:oMath>
      <w:r>
        <w:t xml:space="preserve">. </w:t>
      </w:r>
    </w:p>
    <w:p w14:paraId="3B6C5574" w14:textId="6B042601" w:rsidR="00300C42" w:rsidRPr="00E215F0" w:rsidRDefault="00300C42" w:rsidP="00300C42">
      <w:r>
        <w:t xml:space="preserve">Our </w:t>
      </w:r>
      <w:r w:rsidRPr="00E215F0">
        <w:t xml:space="preserve">positioning accuracy </w:t>
      </w:r>
      <w:r>
        <w:t xml:space="preserve">evaluation results for </w:t>
      </w:r>
      <w:r w:rsidRPr="00E215F0">
        <w:t>2-port CIR</w:t>
      </w:r>
      <w:r>
        <w:t>, strongest port CIR, 1</w:t>
      </w:r>
      <w:r w:rsidRPr="00D87B4E">
        <w:rPr>
          <w:vertAlign w:val="superscript"/>
        </w:rPr>
        <w:t>st</w:t>
      </w:r>
      <w:r>
        <w:t xml:space="preserve"> PC CIR and PDP inputs are shown in </w:t>
      </w:r>
      <w:r w:rsidR="00E70DE4">
        <w:fldChar w:fldCharType="begin"/>
      </w:r>
      <w:r w:rsidR="00E70DE4">
        <w:instrText xml:space="preserve"> REF _Ref163133242 </w:instrText>
      </w:r>
      <w:r w:rsidR="00E70DE4">
        <w:fldChar w:fldCharType="separate"/>
      </w:r>
      <w:r w:rsidR="00C713E4" w:rsidRPr="00E215F0">
        <w:t xml:space="preserve">Table </w:t>
      </w:r>
      <w:r w:rsidR="00C713E4">
        <w:rPr>
          <w:noProof/>
        </w:rPr>
        <w:t>4</w:t>
      </w:r>
      <w:r w:rsidR="00E70DE4">
        <w:rPr>
          <w:noProof/>
        </w:rPr>
        <w:fldChar w:fldCharType="end"/>
      </w:r>
      <w:r w:rsidRPr="00E215F0">
        <w:t xml:space="preserve">. In this comparison, we classify different combinations of sample lengths, sub-sample sizes and with CIR or PDP based on the number of real numbers to represent the samples. </w:t>
      </w:r>
      <w:r>
        <w:t xml:space="preserve">Similarly, in </w:t>
      </w:r>
      <w:r w:rsidR="00E70DE4">
        <w:fldChar w:fldCharType="begin"/>
      </w:r>
      <w:r w:rsidR="00E70DE4">
        <w:instrText xml:space="preserve"> REF _Ref163133373 </w:instrText>
      </w:r>
      <w:r w:rsidR="00E70DE4">
        <w:fldChar w:fldCharType="separate"/>
      </w:r>
      <w:r w:rsidR="00C713E4" w:rsidRPr="00194B5B">
        <w:t xml:space="preserve">Table </w:t>
      </w:r>
      <w:r w:rsidR="00C713E4">
        <w:rPr>
          <w:noProof/>
        </w:rPr>
        <w:t>5</w:t>
      </w:r>
      <w:r w:rsidR="00E70DE4">
        <w:rPr>
          <w:noProof/>
        </w:rPr>
        <w:fldChar w:fldCharType="end"/>
      </w:r>
      <w:r>
        <w:t xml:space="preserve">, we compare the positioning accuracy vs signaling sizes with dynamic TRP selection for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oMath>
      <w:r>
        <w:t xml:space="preserve"> 18, 9, 6 or 3. The total number of real numbers to signal is given by </w:t>
      </w:r>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 xml:space="preserve"> for PDP and </w:t>
      </w:r>
      <m:oMath>
        <m:r>
          <w:rPr>
            <w:rFonts w:ascii="Cambria Math" w:hAnsi="Cambria Math"/>
          </w:rPr>
          <m:t>4×</m:t>
        </m:r>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 xml:space="preserve"> for 2-port CIR.</w:t>
      </w:r>
    </w:p>
    <w:p w14:paraId="46171796" w14:textId="77777777" w:rsidR="00300C42" w:rsidRDefault="00300C42" w:rsidP="00D35F36">
      <w:pPr>
        <w:pStyle w:val="ListParagraph"/>
        <w:numPr>
          <w:ilvl w:val="0"/>
          <w:numId w:val="29"/>
        </w:numPr>
      </w:pPr>
      <w:r w:rsidRPr="00CD59F9">
        <w:t xml:space="preserve">For instance, a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rsidRPr="00CD59F9">
        <w:t xml:space="preserve"> 2-port CIR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=32</m:t>
        </m:r>
      </m:oMath>
      <w:r w:rsidRPr="00CD59F9">
        <w:t xml:space="preserve"> su</w:t>
      </w:r>
      <w:r>
        <w:t>b</w:t>
      </w:r>
      <w:r w:rsidRPr="00CD59F9">
        <w:t xml:space="preserve">-samples require 128 real numbers </w:t>
      </w:r>
      <w:r>
        <w:t xml:space="preserve">per reported TRP </w:t>
      </w:r>
      <w:r w:rsidRPr="00CD59F9">
        <w:t xml:space="preserve">to represent the complex-valued CIR samples. </w:t>
      </w:r>
    </w:p>
    <w:p w14:paraId="7EF0A42A" w14:textId="77777777" w:rsidR="00300C42" w:rsidRPr="00CD59F9" w:rsidRDefault="00300C42" w:rsidP="00D35F36">
      <w:pPr>
        <w:pStyle w:val="ListParagraph"/>
        <w:numPr>
          <w:ilvl w:val="0"/>
          <w:numId w:val="29"/>
        </w:numPr>
      </w:pPr>
      <w:r w:rsidRPr="00CD59F9">
        <w:t>For the same number of real numbers in signaling,</w:t>
      </w:r>
      <w:r>
        <w:t xml:space="preserve"> the strongest port CIR or the 1</w:t>
      </w:r>
      <w:r w:rsidRPr="00D87B4E">
        <w:rPr>
          <w:vertAlign w:val="superscript"/>
        </w:rPr>
        <w:t>st</w:t>
      </w:r>
      <w:r>
        <w:t xml:space="preserve"> PC CIR samples can be </w:t>
      </w:r>
      <w:r w:rsidRPr="00CD59F9">
        <w:t xml:space="preserve">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CD59F9">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=64</m:t>
        </m:r>
      </m:oMath>
      <w:r w:rsidRPr="00CD59F9">
        <w:t xml:space="preserve"> sub-samples</w:t>
      </w:r>
      <w:r w:rsidRPr="008A7DF2">
        <w:t xml:space="preserve"> </w:t>
      </w:r>
      <w:r>
        <w:t>per reported TRP</w:t>
      </w:r>
      <w:r w:rsidRPr="00CD59F9">
        <w:t>.</w:t>
      </w:r>
    </w:p>
    <w:p w14:paraId="70D6D4D1" w14:textId="77777777" w:rsidR="00300C42" w:rsidRPr="00CD59F9" w:rsidRDefault="00300C42" w:rsidP="00D35F36">
      <w:pPr>
        <w:pStyle w:val="ListParagraph"/>
        <w:numPr>
          <w:ilvl w:val="0"/>
          <w:numId w:val="29"/>
        </w:numPr>
      </w:pPr>
      <w:r w:rsidRPr="00CD59F9">
        <w:t xml:space="preserve">For the same number of real numbers in signaling, the PDP samples can be of length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=256</m:t>
        </m:r>
      </m:oMath>
      <w:r w:rsidRPr="00CD59F9">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=128</m:t>
        </m:r>
      </m:oMath>
      <w:r w:rsidRPr="00CD59F9">
        <w:t xml:space="preserve"> sub-samples</w:t>
      </w:r>
      <w:r w:rsidRPr="003470E8">
        <w:t xml:space="preserve"> </w:t>
      </w:r>
      <w:r>
        <w:t>per reported TRP</w:t>
      </w:r>
      <w:r w:rsidRPr="00CD59F9">
        <w:t xml:space="preserve">. </w:t>
      </w:r>
    </w:p>
    <w:p w14:paraId="7CAF55FA" w14:textId="77777777" w:rsidR="00300C42" w:rsidRPr="00E215F0" w:rsidRDefault="00300C42" w:rsidP="00300C42">
      <w:r w:rsidRPr="00E215F0">
        <w:t>It is then a fair comparison to check which approach achieves better performance when they require the same number of real values to represent the samples. From the table, we make the following observations:</w:t>
      </w:r>
    </w:p>
    <w:p w14:paraId="6D8241FE" w14:textId="77777777" w:rsidR="00300C42" w:rsidRPr="00CD59F9" w:rsidRDefault="00300C42" w:rsidP="00D35F36">
      <w:pPr>
        <w:pStyle w:val="ListParagraph"/>
        <w:numPr>
          <w:ilvl w:val="0"/>
          <w:numId w:val="30"/>
        </w:numPr>
      </w:pPr>
      <w:r w:rsidRPr="00E215F0">
        <w:t>For small or moderate signaling sizes, PDP samples can achieve better positioning accuracy than 2-port CIR samples at the same or smaller signaling sizes. Using PDP samples, a 90%tile 2D positioning error of 0.52 m can be achieved.</w:t>
      </w:r>
    </w:p>
    <w:p w14:paraId="392A95F3" w14:textId="77777777" w:rsidR="00300C42" w:rsidRDefault="00300C42" w:rsidP="00D35F36">
      <w:pPr>
        <w:pStyle w:val="ListParagraph"/>
        <w:numPr>
          <w:ilvl w:val="0"/>
          <w:numId w:val="30"/>
        </w:numPr>
      </w:pPr>
      <w:r w:rsidRPr="00E215F0">
        <w:t>The higher positioning accuracy achieved by 2-port CIR is only possible with very large signaling sizes.</w:t>
      </w:r>
    </w:p>
    <w:p w14:paraId="31C75BAD" w14:textId="77777777" w:rsidR="00300C42" w:rsidRDefault="00300C42" w:rsidP="00D35F36">
      <w:pPr>
        <w:pStyle w:val="ListParagraph"/>
        <w:numPr>
          <w:ilvl w:val="0"/>
          <w:numId w:val="30"/>
        </w:numPr>
      </w:pPr>
      <w:r w:rsidRPr="00FE054B">
        <w:t xml:space="preserve">While dimension reduction techniques reduce the signal sizes of CIR samples when compared to using the multi-port CIR directly, the achievable positioning accuracy is also compromised. </w:t>
      </w:r>
      <w:r w:rsidRPr="00FE054B">
        <w:lastRenderedPageBreak/>
        <w:t xml:space="preserve">Overall, </w:t>
      </w:r>
      <w:r>
        <w:t>a</w:t>
      </w:r>
      <w:r w:rsidRPr="00FE054B">
        <w:t xml:space="preserve">pplying dimension reduction to reduce the signaling sizes of the multi-port CIR samples does not appear to improve its </w:t>
      </w:r>
      <w:r>
        <w:t>accuracy vs overhead tradeoff</w:t>
      </w:r>
      <w:r w:rsidRPr="00FE054B">
        <w:t xml:space="preserve">. </w:t>
      </w:r>
    </w:p>
    <w:p w14:paraId="4814D1DD" w14:textId="77777777" w:rsidR="00300C42" w:rsidRPr="00FE054B" w:rsidRDefault="00300C42" w:rsidP="00D35F36">
      <w:pPr>
        <w:pStyle w:val="ListParagraph"/>
        <w:numPr>
          <w:ilvl w:val="1"/>
          <w:numId w:val="30"/>
        </w:numPr>
      </w:pPr>
      <w:r>
        <w:t>The first principal component approach enables marginally better AI/ML model positioning accuracy than the strongest port selection approach.</w:t>
      </w:r>
    </w:p>
    <w:p w14:paraId="61C3F934" w14:textId="77777777" w:rsidR="00300C42" w:rsidRDefault="00300C42" w:rsidP="00300C42">
      <w:r>
        <w:t>From a model input design point of view, one can conclude from these evaluation results that</w:t>
      </w:r>
    </w:p>
    <w:p w14:paraId="363C2BA3" w14:textId="27BE174D" w:rsidR="00300C42" w:rsidRDefault="00300C42" w:rsidP="00D35F36">
      <w:pPr>
        <w:pStyle w:val="ListParagraph"/>
        <w:numPr>
          <w:ilvl w:val="0"/>
          <w:numId w:val="34"/>
        </w:numPr>
      </w:pPr>
      <w:r>
        <w:t>With small to moderate number of samples available to an ML model, the total</w:t>
      </w:r>
      <w:r w:rsidR="004157FD">
        <w:t>-</w:t>
      </w:r>
      <w:r w:rsidR="00F80181">
        <w:t>power</w:t>
      </w:r>
      <w:r>
        <w:t xml:space="preserve"> PDP input type is a very helpful induction bias to impose on the ML model based on human domain knowledge that the sample powers contain more important information about the UE positions.</w:t>
      </w:r>
    </w:p>
    <w:p w14:paraId="3D62EDB2" w14:textId="39FF7370" w:rsidR="00300C42" w:rsidRPr="00194B5B" w:rsidRDefault="00300C42" w:rsidP="00D35F36">
      <w:pPr>
        <w:pStyle w:val="ListParagraph"/>
        <w:numPr>
          <w:ilvl w:val="1"/>
          <w:numId w:val="34"/>
        </w:numPr>
      </w:pPr>
      <w:r>
        <w:t xml:space="preserve">Using the real-valued PDP inputs also reduces the AI/ML model complexity substantially as shown in </w:t>
      </w:r>
      <w:r w:rsidR="00E70DE4">
        <w:fldChar w:fldCharType="begin"/>
      </w:r>
      <w:r w:rsidR="00E70DE4">
        <w:instrText xml:space="preserve"> REF _Ref163134465 </w:instrText>
      </w:r>
      <w:r w:rsidR="00E70DE4">
        <w:fldChar w:fldCharType="separate"/>
      </w:r>
      <w:r w:rsidR="00C713E4" w:rsidRPr="00194B5B">
        <w:t xml:space="preserve">Table </w:t>
      </w:r>
      <w:r w:rsidR="00C713E4">
        <w:rPr>
          <w:noProof/>
        </w:rPr>
        <w:t>6</w:t>
      </w:r>
      <w:r w:rsidR="00E70DE4">
        <w:rPr>
          <w:noProof/>
        </w:rPr>
        <w:fldChar w:fldCharType="end"/>
      </w:r>
      <w:r>
        <w:t>.</w:t>
      </w:r>
    </w:p>
    <w:p w14:paraId="1745AB92" w14:textId="77777777" w:rsidR="00300C42" w:rsidRPr="00194B5B" w:rsidRDefault="00300C42" w:rsidP="00D35F36">
      <w:pPr>
        <w:pStyle w:val="ListParagraph"/>
        <w:numPr>
          <w:ilvl w:val="0"/>
          <w:numId w:val="34"/>
        </w:numPr>
      </w:pPr>
      <w:r>
        <w:t xml:space="preserve">Only with very large number of samples available to the ML model, the model can start to tease out </w:t>
      </w:r>
      <w:r w:rsidRPr="00194B5B">
        <w:t xml:space="preserve">how to use </w:t>
      </w:r>
      <w:r>
        <w:t xml:space="preserve">the </w:t>
      </w:r>
      <w:r w:rsidRPr="00194B5B">
        <w:t xml:space="preserve">additional </w:t>
      </w:r>
      <w:r>
        <w:t xml:space="preserve">information </w:t>
      </w:r>
      <w:r w:rsidRPr="00194B5B">
        <w:t xml:space="preserve">in </w:t>
      </w:r>
      <w:r>
        <w:t>the sample phases on its own.</w:t>
      </w:r>
    </w:p>
    <w:p w14:paraId="66D3B4B6" w14:textId="77777777" w:rsidR="00300C42" w:rsidRDefault="00300C42" w:rsidP="00300C42"/>
    <w:p w14:paraId="62C89E8E" w14:textId="42576CE1" w:rsidR="00300C42" w:rsidRPr="00E215F0" w:rsidRDefault="00300C42" w:rsidP="002938DE">
      <w:pPr>
        <w:pStyle w:val="Observation"/>
      </w:pPr>
      <w:bookmarkStart w:id="1501" w:name="_Toc189845077"/>
      <w:r>
        <w:t>With small to moderate number of samples available to an ML model, the total</w:t>
      </w:r>
      <w:r w:rsidR="004157FD">
        <w:t>-</w:t>
      </w:r>
      <w:r w:rsidR="00897377">
        <w:t>power</w:t>
      </w:r>
      <w:r>
        <w:t xml:space="preserve"> PDP input type is a very helpful induction bias to impose on the ML model based on human domain knowledge that the sample powers contain more important information about the UE positions</w:t>
      </w:r>
      <w:r w:rsidRPr="00E215F0">
        <w:t>.</w:t>
      </w:r>
      <w:r>
        <w:t xml:space="preserve"> It’s only with very large number of samples that the model can start to tease out how to use the additional information in the sample phases on its own.</w:t>
      </w:r>
      <w:bookmarkEnd w:id="1501"/>
    </w:p>
    <w:p w14:paraId="457791C4" w14:textId="77777777" w:rsidR="00300C42" w:rsidRPr="00E215F0" w:rsidRDefault="00300C42" w:rsidP="002938DE">
      <w:pPr>
        <w:pStyle w:val="Observation"/>
      </w:pPr>
      <w:bookmarkStart w:id="1502" w:name="_Toc189845078"/>
      <w:r>
        <w:t>D</w:t>
      </w:r>
      <w:r w:rsidRPr="00FE054B">
        <w:t xml:space="preserve">imension reduction techniques </w:t>
      </w:r>
      <w:r>
        <w:t xml:space="preserve">can be used to </w:t>
      </w:r>
      <w:r w:rsidRPr="00FE054B">
        <w:t xml:space="preserve">reduce the signal sizes of </w:t>
      </w:r>
      <w:r>
        <w:t xml:space="preserve">multi-port </w:t>
      </w:r>
      <w:r w:rsidRPr="00FE054B">
        <w:t>CIR samples</w:t>
      </w:r>
      <w:r>
        <w:t xml:space="preserve">. But </w:t>
      </w:r>
      <w:r w:rsidRPr="00FE054B">
        <w:t>the achievable positioning accuracy is also compromised</w:t>
      </w:r>
      <w:r>
        <w:t>. The overall accuracy vs overhead tradeoff situation of CIR samples is not improved by the two considered d</w:t>
      </w:r>
      <w:r w:rsidRPr="00FE054B">
        <w:t>imension reduction techniques</w:t>
      </w:r>
      <w:r>
        <w:t>.</w:t>
      </w:r>
      <w:bookmarkEnd w:id="1502"/>
    </w:p>
    <w:p w14:paraId="171FE06D" w14:textId="77777777" w:rsidR="00300C42" w:rsidRPr="00E215F0" w:rsidRDefault="00300C42" w:rsidP="00300C42"/>
    <w:p w14:paraId="3CF16F5E" w14:textId="4A914465" w:rsidR="00300C42" w:rsidRPr="00E215F0" w:rsidRDefault="00300C42" w:rsidP="00300C42">
      <w:pPr>
        <w:pStyle w:val="Caption"/>
      </w:pPr>
      <w:bookmarkStart w:id="1503" w:name="_Ref163133242"/>
      <w:r w:rsidRPr="00E215F0">
        <w:t xml:space="preserve">Table </w:t>
      </w:r>
      <w:r w:rsidR="00E70DE4">
        <w:fldChar w:fldCharType="begin"/>
      </w:r>
      <w:r w:rsidR="00E70DE4">
        <w:instrText xml:space="preserve"> SEQ Table \* ARABIC </w:instrText>
      </w:r>
      <w:r w:rsidR="00E70DE4">
        <w:fldChar w:fldCharType="separate"/>
      </w:r>
      <w:r w:rsidR="00C713E4">
        <w:rPr>
          <w:noProof/>
        </w:rPr>
        <w:t>4</w:t>
      </w:r>
      <w:r w:rsidR="00E70DE4">
        <w:rPr>
          <w:noProof/>
        </w:rPr>
        <w:fldChar w:fldCharType="end"/>
      </w:r>
      <w:bookmarkEnd w:id="1503"/>
      <w:r w:rsidRPr="00194B5B">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194B5B">
        <w:t xml:space="preserve"> (in meters) for 2-port CIR</w:t>
      </w:r>
      <w:r>
        <w:t>, 1-port CIR</w:t>
      </w:r>
      <w:r w:rsidRPr="00194B5B">
        <w:t xml:space="preserve"> and PDP using different combination of sample lengths and sub-sampling sizes in the </w:t>
      </w:r>
      <w:r w:rsidRPr="00194B5B">
        <w:rPr>
          <w:lang w:eastAsia="ja-JP"/>
        </w:rPr>
        <w:t xml:space="preserve">{60%, 6m, 2m} </w:t>
      </w:r>
      <w:proofErr w:type="spellStart"/>
      <w:r w:rsidRPr="00194B5B">
        <w:rPr>
          <w:lang w:eastAsia="ja-JP"/>
        </w:rPr>
        <w:t>InF</w:t>
      </w:r>
      <w:proofErr w:type="spellEnd"/>
      <w:r w:rsidRPr="00194B5B">
        <w:rPr>
          <w:lang w:eastAsia="ja-JP"/>
        </w:rPr>
        <w:t>-DH scenario</w:t>
      </w:r>
      <w:r w:rsidRPr="00194B5B">
        <w:t xml:space="preserve">. The positioning accuracy is for the “small model” for centralized direct positioning trained with 40,000 samples </w:t>
      </w:r>
      <w:r w:rsidRPr="00E215F0">
        <w:fldChar w:fldCharType="begin"/>
      </w:r>
      <w:r w:rsidRPr="00E215F0">
        <w:instrText xml:space="preserve"> REF _Ref158730650 \r \h </w:instrText>
      </w:r>
      <w:r w:rsidRPr="00E215F0">
        <w:fldChar w:fldCharType="separate"/>
      </w:r>
      <w:r w:rsidR="00C713E4">
        <w:t>[6]</w:t>
      </w:r>
      <w:r w:rsidRPr="00E215F0">
        <w:fldChar w:fldCharType="end"/>
      </w:r>
      <w:r>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m:t>
        </m:r>
      </m:oMath>
      <w:r>
        <w:t xml:space="preserve"> 18</w:t>
      </w:r>
      <w:r w:rsidRPr="00E215F0">
        <w:t>.</w:t>
      </w:r>
    </w:p>
    <w:tbl>
      <w:tblPr>
        <w:tblStyle w:val="TableGrid"/>
        <w:tblW w:w="0" w:type="auto"/>
        <w:tblLook w:val="04A0" w:firstRow="1" w:lastRow="0" w:firstColumn="1" w:lastColumn="0" w:noHBand="0" w:noVBand="1"/>
      </w:tblPr>
      <w:tblGrid>
        <w:gridCol w:w="928"/>
        <w:gridCol w:w="751"/>
        <w:gridCol w:w="752"/>
        <w:gridCol w:w="753"/>
        <w:gridCol w:w="753"/>
        <w:gridCol w:w="753"/>
        <w:gridCol w:w="753"/>
        <w:gridCol w:w="752"/>
        <w:gridCol w:w="753"/>
        <w:gridCol w:w="754"/>
        <w:gridCol w:w="753"/>
        <w:gridCol w:w="753"/>
        <w:gridCol w:w="754"/>
      </w:tblGrid>
      <w:tr w:rsidR="001817C7" w:rsidRPr="001817C7" w14:paraId="118BAC04" w14:textId="77777777">
        <w:tc>
          <w:tcPr>
            <w:tcW w:w="928" w:type="dxa"/>
            <w:vMerge w:val="restart"/>
            <w:tcBorders>
              <w:right w:val="double" w:sz="4" w:space="0" w:color="auto"/>
            </w:tcBorders>
            <w:vAlign w:val="center"/>
          </w:tcPr>
          <w:p w14:paraId="154A44B7" w14:textId="77777777" w:rsidR="00300C42" w:rsidRPr="001817C7" w:rsidRDefault="00300C42">
            <w:pPr>
              <w:spacing w:before="40" w:after="40"/>
              <w:jc w:val="center"/>
              <w:rPr>
                <w:sz w:val="20"/>
                <w:szCs w:val="20"/>
              </w:rPr>
            </w:pPr>
            <w:r w:rsidRPr="001817C7">
              <w:rPr>
                <w:sz w:val="20"/>
                <w:szCs w:val="20"/>
              </w:rPr>
              <w:t xml:space="preserve">Number of real values </w:t>
            </w:r>
          </w:p>
        </w:tc>
        <w:tc>
          <w:tcPr>
            <w:tcW w:w="2256" w:type="dxa"/>
            <w:gridSpan w:val="3"/>
            <w:tcBorders>
              <w:left w:val="double" w:sz="4" w:space="0" w:color="auto"/>
              <w:right w:val="double" w:sz="4" w:space="0" w:color="auto"/>
            </w:tcBorders>
            <w:vAlign w:val="center"/>
          </w:tcPr>
          <w:p w14:paraId="5D3AD29B" w14:textId="77777777" w:rsidR="00300C42" w:rsidRPr="001817C7" w:rsidRDefault="00300C42">
            <w:pPr>
              <w:spacing w:before="40" w:after="40"/>
              <w:jc w:val="center"/>
              <w:rPr>
                <w:sz w:val="20"/>
                <w:szCs w:val="20"/>
              </w:rPr>
            </w:pPr>
            <w:r w:rsidRPr="001817C7">
              <w:rPr>
                <w:sz w:val="20"/>
                <w:szCs w:val="20"/>
              </w:rPr>
              <w:t>2-port CIR</w:t>
            </w:r>
          </w:p>
        </w:tc>
        <w:tc>
          <w:tcPr>
            <w:tcW w:w="2259" w:type="dxa"/>
            <w:gridSpan w:val="3"/>
            <w:tcBorders>
              <w:left w:val="double" w:sz="4" w:space="0" w:color="auto"/>
              <w:right w:val="double" w:sz="4" w:space="0" w:color="auto"/>
            </w:tcBorders>
            <w:vAlign w:val="center"/>
          </w:tcPr>
          <w:p w14:paraId="34AE7201" w14:textId="77777777" w:rsidR="00300C42" w:rsidRPr="001817C7" w:rsidRDefault="00300C42">
            <w:pPr>
              <w:spacing w:before="40" w:after="40"/>
              <w:jc w:val="center"/>
              <w:rPr>
                <w:sz w:val="20"/>
                <w:szCs w:val="20"/>
              </w:rPr>
            </w:pPr>
            <w:r w:rsidRPr="001817C7">
              <w:rPr>
                <w:sz w:val="20"/>
                <w:szCs w:val="20"/>
              </w:rPr>
              <w:t>1</w:t>
            </w:r>
            <w:r w:rsidRPr="001817C7">
              <w:rPr>
                <w:sz w:val="20"/>
                <w:szCs w:val="20"/>
                <w:vertAlign w:val="superscript"/>
              </w:rPr>
              <w:t>st</w:t>
            </w:r>
            <w:r w:rsidRPr="001817C7">
              <w:rPr>
                <w:sz w:val="20"/>
                <w:szCs w:val="20"/>
              </w:rPr>
              <w:t xml:space="preserve"> PC CIR</w:t>
            </w:r>
          </w:p>
        </w:tc>
        <w:tc>
          <w:tcPr>
            <w:tcW w:w="2259" w:type="dxa"/>
            <w:gridSpan w:val="3"/>
            <w:tcBorders>
              <w:left w:val="double" w:sz="4" w:space="0" w:color="auto"/>
              <w:right w:val="double" w:sz="4" w:space="0" w:color="auto"/>
            </w:tcBorders>
          </w:tcPr>
          <w:p w14:paraId="23586735" w14:textId="77777777" w:rsidR="00300C42" w:rsidRPr="001817C7" w:rsidRDefault="00300C42">
            <w:pPr>
              <w:spacing w:before="40" w:after="40"/>
              <w:jc w:val="center"/>
              <w:rPr>
                <w:sz w:val="20"/>
                <w:szCs w:val="20"/>
              </w:rPr>
            </w:pPr>
            <w:r w:rsidRPr="001817C7">
              <w:rPr>
                <w:sz w:val="20"/>
                <w:szCs w:val="20"/>
              </w:rPr>
              <w:t>Strongest port CIR</w:t>
            </w:r>
          </w:p>
        </w:tc>
        <w:tc>
          <w:tcPr>
            <w:tcW w:w="2260" w:type="dxa"/>
            <w:gridSpan w:val="3"/>
            <w:tcBorders>
              <w:left w:val="double" w:sz="4" w:space="0" w:color="auto"/>
            </w:tcBorders>
            <w:vAlign w:val="center"/>
          </w:tcPr>
          <w:p w14:paraId="117C23BD" w14:textId="77777777" w:rsidR="00300C42" w:rsidRPr="001817C7" w:rsidRDefault="00300C42">
            <w:pPr>
              <w:spacing w:before="40" w:after="40"/>
              <w:jc w:val="center"/>
              <w:rPr>
                <w:sz w:val="20"/>
                <w:szCs w:val="20"/>
              </w:rPr>
            </w:pPr>
            <w:r w:rsidRPr="001817C7">
              <w:rPr>
                <w:sz w:val="20"/>
                <w:szCs w:val="20"/>
              </w:rPr>
              <w:t>PDP</w:t>
            </w:r>
          </w:p>
        </w:tc>
      </w:tr>
      <w:tr w:rsidR="001817C7" w:rsidRPr="001817C7" w14:paraId="53FBE1F0" w14:textId="77777777">
        <w:tc>
          <w:tcPr>
            <w:tcW w:w="928" w:type="dxa"/>
            <w:vMerge/>
            <w:tcBorders>
              <w:bottom w:val="double" w:sz="4" w:space="0" w:color="auto"/>
              <w:right w:val="double" w:sz="4" w:space="0" w:color="auto"/>
            </w:tcBorders>
            <w:vAlign w:val="center"/>
          </w:tcPr>
          <w:p w14:paraId="0ECF6682"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459C4864"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bottom w:val="double" w:sz="4" w:space="0" w:color="auto"/>
            </w:tcBorders>
            <w:vAlign w:val="center"/>
          </w:tcPr>
          <w:p w14:paraId="179202E4"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5785A125"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3C83EABF"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2BD18737"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bottom w:val="double" w:sz="4" w:space="0" w:color="auto"/>
              <w:right w:val="double" w:sz="4" w:space="0" w:color="auto"/>
            </w:tcBorders>
            <w:vAlign w:val="center"/>
          </w:tcPr>
          <w:p w14:paraId="203D1D0D"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2" w:type="dxa"/>
            <w:tcBorders>
              <w:bottom w:val="double" w:sz="4" w:space="0" w:color="auto"/>
              <w:right w:val="single" w:sz="4" w:space="0" w:color="auto"/>
            </w:tcBorders>
            <w:vAlign w:val="center"/>
          </w:tcPr>
          <w:p w14:paraId="63904DEB"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left w:val="single" w:sz="4" w:space="0" w:color="auto"/>
              <w:bottom w:val="double" w:sz="4" w:space="0" w:color="auto"/>
              <w:right w:val="single" w:sz="4" w:space="0" w:color="auto"/>
            </w:tcBorders>
            <w:vAlign w:val="center"/>
          </w:tcPr>
          <w:p w14:paraId="320A142D"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left w:val="single" w:sz="4" w:space="0" w:color="auto"/>
              <w:bottom w:val="double" w:sz="4" w:space="0" w:color="auto"/>
              <w:right w:val="double" w:sz="4" w:space="0" w:color="auto"/>
            </w:tcBorders>
            <w:vAlign w:val="center"/>
          </w:tcPr>
          <w:p w14:paraId="47B4DA17"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left w:val="double" w:sz="4" w:space="0" w:color="auto"/>
              <w:bottom w:val="double" w:sz="4" w:space="0" w:color="auto"/>
            </w:tcBorders>
            <w:vAlign w:val="center"/>
          </w:tcPr>
          <w:p w14:paraId="001F72BC"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bottom w:val="double" w:sz="4" w:space="0" w:color="auto"/>
            </w:tcBorders>
            <w:vAlign w:val="center"/>
          </w:tcPr>
          <w:p w14:paraId="5181499F"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4" w:type="dxa"/>
            <w:tcBorders>
              <w:bottom w:val="double" w:sz="4" w:space="0" w:color="auto"/>
            </w:tcBorders>
            <w:vAlign w:val="center"/>
          </w:tcPr>
          <w:p w14:paraId="67F242DC"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1817C7" w:rsidRPr="001817C7" w14:paraId="28AC62EA" w14:textId="77777777">
        <w:tc>
          <w:tcPr>
            <w:tcW w:w="928" w:type="dxa"/>
            <w:tcBorders>
              <w:top w:val="double" w:sz="4" w:space="0" w:color="auto"/>
              <w:bottom w:val="double" w:sz="4" w:space="0" w:color="auto"/>
              <w:right w:val="double" w:sz="4" w:space="0" w:color="auto"/>
            </w:tcBorders>
            <w:vAlign w:val="center"/>
          </w:tcPr>
          <w:p w14:paraId="0117A33C" w14:textId="77777777" w:rsidR="00300C42" w:rsidRPr="001817C7" w:rsidRDefault="00300C42">
            <w:pPr>
              <w:spacing w:before="40" w:after="40"/>
              <w:jc w:val="center"/>
              <w:rPr>
                <w:sz w:val="20"/>
                <w:szCs w:val="20"/>
              </w:rPr>
            </w:pPr>
            <w:r w:rsidRPr="001817C7">
              <w:rPr>
                <w:sz w:val="20"/>
                <w:szCs w:val="20"/>
              </w:rPr>
              <w:t>1024</w:t>
            </w:r>
            <w:r w:rsidRPr="001817C7">
              <w:rPr>
                <w:rFonts w:cs="Arial"/>
                <w:sz w:val="20"/>
                <w:szCs w:val="20"/>
              </w:rPr>
              <w:t>×</w:t>
            </w:r>
            <w:r w:rsidRPr="001817C7">
              <w:rPr>
                <w:sz w:val="20"/>
                <w:szCs w:val="20"/>
              </w:rPr>
              <w:t>18</w:t>
            </w:r>
          </w:p>
        </w:tc>
        <w:tc>
          <w:tcPr>
            <w:tcW w:w="751" w:type="dxa"/>
            <w:tcBorders>
              <w:top w:val="double" w:sz="4" w:space="0" w:color="auto"/>
              <w:left w:val="double" w:sz="4" w:space="0" w:color="auto"/>
              <w:bottom w:val="double" w:sz="4" w:space="0" w:color="auto"/>
            </w:tcBorders>
            <w:vAlign w:val="center"/>
          </w:tcPr>
          <w:p w14:paraId="02DDEF9F"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bottom w:val="double" w:sz="4" w:space="0" w:color="auto"/>
            </w:tcBorders>
            <w:vAlign w:val="center"/>
          </w:tcPr>
          <w:p w14:paraId="173E4A6E"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bottom w:val="double" w:sz="4" w:space="0" w:color="auto"/>
              <w:right w:val="double" w:sz="4" w:space="0" w:color="auto"/>
            </w:tcBorders>
            <w:vAlign w:val="center"/>
          </w:tcPr>
          <w:p w14:paraId="4BBA2E9E" w14:textId="77777777" w:rsidR="00300C42" w:rsidRPr="001817C7" w:rsidRDefault="00300C42">
            <w:pPr>
              <w:spacing w:before="40" w:after="40"/>
              <w:jc w:val="center"/>
              <w:rPr>
                <w:sz w:val="20"/>
                <w:szCs w:val="20"/>
              </w:rPr>
            </w:pPr>
            <w:r w:rsidRPr="001817C7">
              <w:rPr>
                <w:rFonts w:cs="Arial"/>
                <w:sz w:val="20"/>
                <w:szCs w:val="20"/>
              </w:rPr>
              <w:t>0.37</w:t>
            </w:r>
          </w:p>
        </w:tc>
        <w:tc>
          <w:tcPr>
            <w:tcW w:w="753" w:type="dxa"/>
            <w:tcBorders>
              <w:top w:val="double" w:sz="4" w:space="0" w:color="auto"/>
              <w:left w:val="double" w:sz="4" w:space="0" w:color="auto"/>
              <w:bottom w:val="double" w:sz="4" w:space="0" w:color="auto"/>
            </w:tcBorders>
            <w:vAlign w:val="center"/>
          </w:tcPr>
          <w:p w14:paraId="409B4DFC" w14:textId="77777777" w:rsidR="00300C42" w:rsidRPr="001817C7"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210B91F8" w14:textId="77777777" w:rsidR="00300C42" w:rsidRPr="001817C7" w:rsidRDefault="00300C42">
            <w:pPr>
              <w:spacing w:before="40" w:after="40"/>
              <w:jc w:val="center"/>
              <w:rPr>
                <w:sz w:val="20"/>
                <w:szCs w:val="20"/>
              </w:rPr>
            </w:pPr>
          </w:p>
        </w:tc>
        <w:tc>
          <w:tcPr>
            <w:tcW w:w="753" w:type="dxa"/>
            <w:tcBorders>
              <w:top w:val="double" w:sz="4" w:space="0" w:color="auto"/>
              <w:bottom w:val="double" w:sz="4" w:space="0" w:color="auto"/>
              <w:right w:val="double" w:sz="4" w:space="0" w:color="auto"/>
            </w:tcBorders>
            <w:vAlign w:val="center"/>
          </w:tcPr>
          <w:p w14:paraId="53EB8D44" w14:textId="77777777" w:rsidR="00300C42" w:rsidRPr="001817C7" w:rsidRDefault="00300C42">
            <w:pPr>
              <w:spacing w:before="40" w:after="40"/>
              <w:jc w:val="center"/>
              <w:rPr>
                <w:sz w:val="20"/>
                <w:szCs w:val="20"/>
              </w:rPr>
            </w:pPr>
          </w:p>
        </w:tc>
        <w:tc>
          <w:tcPr>
            <w:tcW w:w="752" w:type="dxa"/>
            <w:tcBorders>
              <w:top w:val="double" w:sz="4" w:space="0" w:color="auto"/>
              <w:bottom w:val="double" w:sz="4" w:space="0" w:color="auto"/>
              <w:right w:val="single" w:sz="4" w:space="0" w:color="auto"/>
            </w:tcBorders>
          </w:tcPr>
          <w:p w14:paraId="0E97500F" w14:textId="77777777" w:rsidR="00300C42" w:rsidRPr="001817C7" w:rsidRDefault="00300C42">
            <w:pPr>
              <w:spacing w:before="40" w:after="40"/>
              <w:jc w:val="center"/>
              <w:rPr>
                <w:sz w:val="20"/>
                <w:szCs w:val="20"/>
              </w:rPr>
            </w:pPr>
          </w:p>
        </w:tc>
        <w:tc>
          <w:tcPr>
            <w:tcW w:w="753" w:type="dxa"/>
            <w:tcBorders>
              <w:top w:val="double" w:sz="4" w:space="0" w:color="auto"/>
              <w:left w:val="single" w:sz="4" w:space="0" w:color="auto"/>
              <w:bottom w:val="double" w:sz="4" w:space="0" w:color="auto"/>
              <w:right w:val="single" w:sz="4" w:space="0" w:color="auto"/>
            </w:tcBorders>
          </w:tcPr>
          <w:p w14:paraId="5DE70792" w14:textId="77777777" w:rsidR="00300C42" w:rsidRPr="001817C7" w:rsidRDefault="00300C42">
            <w:pPr>
              <w:spacing w:before="40" w:after="40"/>
              <w:jc w:val="center"/>
              <w:rPr>
                <w:sz w:val="20"/>
                <w:szCs w:val="20"/>
              </w:rPr>
            </w:pPr>
          </w:p>
        </w:tc>
        <w:tc>
          <w:tcPr>
            <w:tcW w:w="754" w:type="dxa"/>
            <w:tcBorders>
              <w:top w:val="double" w:sz="4" w:space="0" w:color="auto"/>
              <w:left w:val="single" w:sz="4" w:space="0" w:color="auto"/>
              <w:bottom w:val="double" w:sz="4" w:space="0" w:color="auto"/>
              <w:right w:val="double" w:sz="4" w:space="0" w:color="auto"/>
            </w:tcBorders>
          </w:tcPr>
          <w:p w14:paraId="031A47C1" w14:textId="77777777" w:rsidR="00300C42" w:rsidRPr="001817C7" w:rsidRDefault="00300C42">
            <w:pPr>
              <w:spacing w:before="40" w:after="40"/>
              <w:jc w:val="center"/>
              <w:rPr>
                <w:sz w:val="20"/>
                <w:szCs w:val="20"/>
              </w:rPr>
            </w:pPr>
          </w:p>
        </w:tc>
        <w:tc>
          <w:tcPr>
            <w:tcW w:w="753" w:type="dxa"/>
            <w:tcBorders>
              <w:top w:val="double" w:sz="4" w:space="0" w:color="auto"/>
              <w:left w:val="double" w:sz="4" w:space="0" w:color="auto"/>
              <w:bottom w:val="double" w:sz="4" w:space="0" w:color="auto"/>
            </w:tcBorders>
            <w:vAlign w:val="center"/>
          </w:tcPr>
          <w:p w14:paraId="223F772E" w14:textId="77777777" w:rsidR="00300C42" w:rsidRPr="001817C7" w:rsidRDefault="00300C42">
            <w:pPr>
              <w:spacing w:before="40" w:after="40"/>
              <w:jc w:val="center"/>
              <w:rPr>
                <w:sz w:val="20"/>
                <w:szCs w:val="20"/>
              </w:rPr>
            </w:pPr>
          </w:p>
        </w:tc>
        <w:tc>
          <w:tcPr>
            <w:tcW w:w="753" w:type="dxa"/>
            <w:tcBorders>
              <w:top w:val="double" w:sz="4" w:space="0" w:color="auto"/>
              <w:bottom w:val="double" w:sz="4" w:space="0" w:color="auto"/>
            </w:tcBorders>
            <w:vAlign w:val="center"/>
          </w:tcPr>
          <w:p w14:paraId="77CBDECD" w14:textId="77777777" w:rsidR="00300C42" w:rsidRPr="001817C7" w:rsidRDefault="00300C42">
            <w:pPr>
              <w:spacing w:before="40" w:after="40"/>
              <w:jc w:val="center"/>
              <w:rPr>
                <w:sz w:val="20"/>
                <w:szCs w:val="20"/>
              </w:rPr>
            </w:pPr>
          </w:p>
        </w:tc>
        <w:tc>
          <w:tcPr>
            <w:tcW w:w="754" w:type="dxa"/>
            <w:tcBorders>
              <w:top w:val="double" w:sz="4" w:space="0" w:color="auto"/>
              <w:bottom w:val="double" w:sz="4" w:space="0" w:color="auto"/>
            </w:tcBorders>
            <w:vAlign w:val="center"/>
          </w:tcPr>
          <w:p w14:paraId="632F4D11" w14:textId="77777777" w:rsidR="00300C42" w:rsidRPr="001817C7" w:rsidRDefault="00300C42">
            <w:pPr>
              <w:spacing w:before="40" w:after="40"/>
              <w:jc w:val="center"/>
              <w:rPr>
                <w:sz w:val="20"/>
                <w:szCs w:val="20"/>
              </w:rPr>
            </w:pPr>
          </w:p>
        </w:tc>
      </w:tr>
      <w:tr w:rsidR="001817C7" w:rsidRPr="001817C7" w14:paraId="16169A23" w14:textId="77777777">
        <w:tc>
          <w:tcPr>
            <w:tcW w:w="928" w:type="dxa"/>
            <w:vMerge w:val="restart"/>
            <w:tcBorders>
              <w:top w:val="double" w:sz="4" w:space="0" w:color="auto"/>
              <w:right w:val="double" w:sz="4" w:space="0" w:color="auto"/>
            </w:tcBorders>
            <w:vAlign w:val="center"/>
          </w:tcPr>
          <w:p w14:paraId="785B6766" w14:textId="77777777" w:rsidR="00300C42" w:rsidRPr="001817C7" w:rsidRDefault="00300C42">
            <w:pPr>
              <w:spacing w:before="40" w:after="40"/>
              <w:jc w:val="center"/>
              <w:rPr>
                <w:sz w:val="20"/>
                <w:szCs w:val="20"/>
              </w:rPr>
            </w:pPr>
            <w:r w:rsidRPr="001817C7">
              <w:rPr>
                <w:sz w:val="20"/>
                <w:szCs w:val="20"/>
              </w:rPr>
              <w:t>512</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659A9D54"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tcBorders>
            <w:vAlign w:val="center"/>
          </w:tcPr>
          <w:p w14:paraId="7792814B"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tcBorders>
              <w:top w:val="double" w:sz="4" w:space="0" w:color="auto"/>
              <w:right w:val="double" w:sz="4" w:space="0" w:color="auto"/>
            </w:tcBorders>
            <w:vAlign w:val="center"/>
          </w:tcPr>
          <w:p w14:paraId="4A771C06" w14:textId="77777777" w:rsidR="00300C42" w:rsidRPr="001817C7" w:rsidRDefault="00300C42">
            <w:pPr>
              <w:spacing w:before="40" w:after="40"/>
              <w:jc w:val="center"/>
              <w:rPr>
                <w:sz w:val="20"/>
                <w:szCs w:val="20"/>
              </w:rPr>
            </w:pPr>
            <w:r w:rsidRPr="001817C7">
              <w:rPr>
                <w:rFonts w:cs="Arial"/>
                <w:sz w:val="20"/>
                <w:szCs w:val="20"/>
              </w:rPr>
              <w:t>0.38</w:t>
            </w:r>
          </w:p>
        </w:tc>
        <w:tc>
          <w:tcPr>
            <w:tcW w:w="753" w:type="dxa"/>
            <w:tcBorders>
              <w:top w:val="double" w:sz="4" w:space="0" w:color="auto"/>
              <w:left w:val="double" w:sz="4" w:space="0" w:color="auto"/>
            </w:tcBorders>
            <w:vAlign w:val="center"/>
          </w:tcPr>
          <w:p w14:paraId="567ADCBB"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4272E7DF"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right w:val="double" w:sz="4" w:space="0" w:color="auto"/>
            </w:tcBorders>
            <w:vAlign w:val="center"/>
          </w:tcPr>
          <w:p w14:paraId="4D362C1B" w14:textId="77777777" w:rsidR="00300C42" w:rsidRPr="001817C7" w:rsidRDefault="00300C42">
            <w:pPr>
              <w:spacing w:before="40" w:after="40"/>
              <w:jc w:val="center"/>
              <w:rPr>
                <w:sz w:val="20"/>
                <w:szCs w:val="20"/>
              </w:rPr>
            </w:pPr>
            <w:r w:rsidRPr="001817C7">
              <w:rPr>
                <w:rFonts w:cs="Arial"/>
                <w:sz w:val="20"/>
                <w:szCs w:val="20"/>
              </w:rPr>
              <w:t>0.49</w:t>
            </w:r>
          </w:p>
        </w:tc>
        <w:tc>
          <w:tcPr>
            <w:tcW w:w="752" w:type="dxa"/>
            <w:tcBorders>
              <w:top w:val="double" w:sz="4" w:space="0" w:color="auto"/>
              <w:right w:val="single" w:sz="4" w:space="0" w:color="auto"/>
            </w:tcBorders>
            <w:vAlign w:val="center"/>
          </w:tcPr>
          <w:p w14:paraId="3246D656"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62996281" w14:textId="77777777" w:rsidR="00300C42" w:rsidRPr="001817C7" w:rsidRDefault="00300C42">
            <w:pPr>
              <w:spacing w:before="40" w:after="40"/>
              <w:jc w:val="center"/>
              <w:rPr>
                <w:sz w:val="20"/>
                <w:szCs w:val="20"/>
              </w:rPr>
            </w:pPr>
            <w:r w:rsidRPr="001817C7">
              <w:rPr>
                <w:rFonts w:cs="Arial"/>
                <w:sz w:val="20"/>
                <w:szCs w:val="20"/>
              </w:rPr>
              <w:t>256</w:t>
            </w:r>
          </w:p>
        </w:tc>
        <w:tc>
          <w:tcPr>
            <w:tcW w:w="754" w:type="dxa"/>
            <w:tcBorders>
              <w:top w:val="double" w:sz="4" w:space="0" w:color="auto"/>
              <w:left w:val="single" w:sz="4" w:space="0" w:color="auto"/>
              <w:right w:val="double" w:sz="4" w:space="0" w:color="auto"/>
            </w:tcBorders>
            <w:vAlign w:val="center"/>
          </w:tcPr>
          <w:p w14:paraId="3164D0B9" w14:textId="77777777" w:rsidR="00300C42" w:rsidRPr="001817C7" w:rsidRDefault="00300C42">
            <w:pPr>
              <w:spacing w:before="40" w:after="40"/>
              <w:jc w:val="center"/>
              <w:rPr>
                <w:sz w:val="20"/>
                <w:szCs w:val="20"/>
              </w:rPr>
            </w:pPr>
            <w:r w:rsidRPr="001817C7">
              <w:rPr>
                <w:sz w:val="20"/>
                <w:szCs w:val="20"/>
              </w:rPr>
              <w:t>0.48</w:t>
            </w:r>
          </w:p>
        </w:tc>
        <w:tc>
          <w:tcPr>
            <w:tcW w:w="753" w:type="dxa"/>
            <w:tcBorders>
              <w:top w:val="double" w:sz="4" w:space="0" w:color="auto"/>
              <w:left w:val="double" w:sz="4" w:space="0" w:color="auto"/>
            </w:tcBorders>
            <w:vAlign w:val="center"/>
          </w:tcPr>
          <w:p w14:paraId="03A8053B" w14:textId="77777777" w:rsidR="00300C42" w:rsidRPr="001817C7" w:rsidRDefault="00300C42">
            <w:pPr>
              <w:spacing w:before="40" w:after="40"/>
              <w:jc w:val="center"/>
              <w:rPr>
                <w:sz w:val="20"/>
                <w:szCs w:val="20"/>
              </w:rPr>
            </w:pPr>
          </w:p>
        </w:tc>
        <w:tc>
          <w:tcPr>
            <w:tcW w:w="753" w:type="dxa"/>
            <w:tcBorders>
              <w:top w:val="double" w:sz="4" w:space="0" w:color="auto"/>
            </w:tcBorders>
            <w:vAlign w:val="center"/>
          </w:tcPr>
          <w:p w14:paraId="5FDD4880" w14:textId="77777777" w:rsidR="00300C42" w:rsidRPr="001817C7" w:rsidRDefault="00300C42">
            <w:pPr>
              <w:spacing w:before="40" w:after="40"/>
              <w:jc w:val="center"/>
              <w:rPr>
                <w:sz w:val="20"/>
                <w:szCs w:val="20"/>
              </w:rPr>
            </w:pPr>
          </w:p>
        </w:tc>
        <w:tc>
          <w:tcPr>
            <w:tcW w:w="754" w:type="dxa"/>
            <w:tcBorders>
              <w:top w:val="double" w:sz="4" w:space="0" w:color="auto"/>
            </w:tcBorders>
            <w:vAlign w:val="center"/>
          </w:tcPr>
          <w:p w14:paraId="47334CD0" w14:textId="77777777" w:rsidR="00300C42" w:rsidRPr="001817C7" w:rsidRDefault="00300C42">
            <w:pPr>
              <w:spacing w:before="40" w:after="40"/>
              <w:jc w:val="center"/>
              <w:rPr>
                <w:sz w:val="20"/>
                <w:szCs w:val="20"/>
              </w:rPr>
            </w:pPr>
          </w:p>
        </w:tc>
      </w:tr>
      <w:tr w:rsidR="001817C7" w:rsidRPr="001817C7" w14:paraId="0CBF95D2" w14:textId="77777777">
        <w:tc>
          <w:tcPr>
            <w:tcW w:w="928" w:type="dxa"/>
            <w:vMerge/>
            <w:tcBorders>
              <w:bottom w:val="double" w:sz="4" w:space="0" w:color="auto"/>
              <w:right w:val="double" w:sz="4" w:space="0" w:color="auto"/>
            </w:tcBorders>
            <w:vAlign w:val="center"/>
          </w:tcPr>
          <w:p w14:paraId="7C23EAA2"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8ED325B" w14:textId="77777777" w:rsidR="00300C42" w:rsidRPr="001817C7" w:rsidRDefault="00300C42">
            <w:pPr>
              <w:spacing w:before="40" w:after="40"/>
              <w:jc w:val="center"/>
              <w:rPr>
                <w:sz w:val="20"/>
                <w:szCs w:val="20"/>
              </w:rPr>
            </w:pPr>
            <w:r w:rsidRPr="001817C7">
              <w:rPr>
                <w:rFonts w:cs="Arial"/>
                <w:sz w:val="20"/>
                <w:szCs w:val="20"/>
              </w:rPr>
              <w:t>128</w:t>
            </w:r>
          </w:p>
        </w:tc>
        <w:tc>
          <w:tcPr>
            <w:tcW w:w="752" w:type="dxa"/>
            <w:tcBorders>
              <w:bottom w:val="double" w:sz="4" w:space="0" w:color="auto"/>
            </w:tcBorders>
            <w:vAlign w:val="center"/>
          </w:tcPr>
          <w:p w14:paraId="0EB176F2"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tcBorders>
              <w:bottom w:val="double" w:sz="4" w:space="0" w:color="auto"/>
              <w:right w:val="double" w:sz="4" w:space="0" w:color="auto"/>
            </w:tcBorders>
            <w:vAlign w:val="center"/>
          </w:tcPr>
          <w:p w14:paraId="492CE9FF" w14:textId="77777777" w:rsidR="00300C42" w:rsidRPr="001817C7" w:rsidRDefault="00300C42">
            <w:pPr>
              <w:spacing w:before="40" w:after="40"/>
              <w:jc w:val="center"/>
              <w:rPr>
                <w:sz w:val="20"/>
                <w:szCs w:val="20"/>
              </w:rPr>
            </w:pPr>
            <w:r w:rsidRPr="001817C7">
              <w:rPr>
                <w:rFonts w:cs="Arial"/>
                <w:sz w:val="20"/>
                <w:szCs w:val="20"/>
              </w:rPr>
              <w:t>0.44</w:t>
            </w:r>
          </w:p>
        </w:tc>
        <w:tc>
          <w:tcPr>
            <w:tcW w:w="753" w:type="dxa"/>
            <w:tcBorders>
              <w:left w:val="double" w:sz="4" w:space="0" w:color="auto"/>
              <w:bottom w:val="double" w:sz="4" w:space="0" w:color="auto"/>
            </w:tcBorders>
            <w:vAlign w:val="center"/>
          </w:tcPr>
          <w:p w14:paraId="5B19AB6F"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02D2AC53"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6729AE50" w14:textId="77777777" w:rsidR="00300C42" w:rsidRPr="001817C7" w:rsidRDefault="00300C42">
            <w:pPr>
              <w:spacing w:before="40" w:after="40"/>
              <w:jc w:val="center"/>
              <w:rPr>
                <w:sz w:val="20"/>
                <w:szCs w:val="20"/>
              </w:rPr>
            </w:pPr>
            <w:r w:rsidRPr="001817C7">
              <w:rPr>
                <w:rFonts w:cs="Arial"/>
                <w:sz w:val="20"/>
                <w:szCs w:val="20"/>
              </w:rPr>
              <w:t> </w:t>
            </w:r>
          </w:p>
        </w:tc>
        <w:tc>
          <w:tcPr>
            <w:tcW w:w="752" w:type="dxa"/>
            <w:tcBorders>
              <w:bottom w:val="double" w:sz="4" w:space="0" w:color="auto"/>
              <w:right w:val="single" w:sz="4" w:space="0" w:color="auto"/>
            </w:tcBorders>
            <w:vAlign w:val="center"/>
          </w:tcPr>
          <w:p w14:paraId="45111BD1" w14:textId="77777777" w:rsidR="00300C42" w:rsidRPr="001817C7"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C64E8DC" w14:textId="77777777" w:rsidR="00300C42" w:rsidRPr="001817C7"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064601CA" w14:textId="77777777" w:rsidR="00300C42" w:rsidRPr="001817C7" w:rsidRDefault="00300C42">
            <w:pPr>
              <w:spacing w:before="40" w:after="40"/>
              <w:jc w:val="center"/>
              <w:rPr>
                <w:sz w:val="20"/>
                <w:szCs w:val="20"/>
              </w:rPr>
            </w:pPr>
            <w:r w:rsidRPr="001817C7">
              <w:rPr>
                <w:rFonts w:cs="Arial"/>
                <w:sz w:val="20"/>
                <w:szCs w:val="20"/>
              </w:rPr>
              <w:t> </w:t>
            </w:r>
          </w:p>
        </w:tc>
        <w:tc>
          <w:tcPr>
            <w:tcW w:w="753" w:type="dxa"/>
            <w:tcBorders>
              <w:left w:val="double" w:sz="4" w:space="0" w:color="auto"/>
              <w:bottom w:val="double" w:sz="4" w:space="0" w:color="auto"/>
            </w:tcBorders>
            <w:vAlign w:val="center"/>
          </w:tcPr>
          <w:p w14:paraId="46BF48E5"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335C60F8" w14:textId="77777777" w:rsidR="00300C42" w:rsidRPr="001817C7" w:rsidRDefault="00300C42">
            <w:pPr>
              <w:spacing w:before="40" w:after="40"/>
              <w:jc w:val="center"/>
              <w:rPr>
                <w:sz w:val="20"/>
                <w:szCs w:val="20"/>
              </w:rPr>
            </w:pPr>
          </w:p>
        </w:tc>
        <w:tc>
          <w:tcPr>
            <w:tcW w:w="754" w:type="dxa"/>
            <w:tcBorders>
              <w:bottom w:val="double" w:sz="4" w:space="0" w:color="auto"/>
            </w:tcBorders>
            <w:vAlign w:val="center"/>
          </w:tcPr>
          <w:p w14:paraId="7A00D385" w14:textId="77777777" w:rsidR="00300C42" w:rsidRPr="001817C7" w:rsidRDefault="00300C42">
            <w:pPr>
              <w:spacing w:before="40" w:after="40"/>
              <w:jc w:val="center"/>
              <w:rPr>
                <w:sz w:val="20"/>
                <w:szCs w:val="20"/>
              </w:rPr>
            </w:pPr>
          </w:p>
        </w:tc>
      </w:tr>
      <w:tr w:rsidR="001817C7" w:rsidRPr="001817C7" w14:paraId="7BB0C95F" w14:textId="77777777">
        <w:tc>
          <w:tcPr>
            <w:tcW w:w="928" w:type="dxa"/>
            <w:vMerge w:val="restart"/>
            <w:tcBorders>
              <w:top w:val="double" w:sz="4" w:space="0" w:color="auto"/>
              <w:right w:val="double" w:sz="4" w:space="0" w:color="auto"/>
            </w:tcBorders>
            <w:vAlign w:val="center"/>
          </w:tcPr>
          <w:p w14:paraId="2CE3608C" w14:textId="77777777" w:rsidR="00300C42" w:rsidRPr="001817C7" w:rsidRDefault="00300C42">
            <w:pPr>
              <w:spacing w:before="40" w:after="40"/>
              <w:jc w:val="center"/>
              <w:rPr>
                <w:sz w:val="20"/>
                <w:szCs w:val="20"/>
              </w:rPr>
            </w:pPr>
            <w:r w:rsidRPr="001817C7">
              <w:rPr>
                <w:sz w:val="20"/>
                <w:szCs w:val="20"/>
              </w:rPr>
              <w:lastRenderedPageBreak/>
              <w:t>256</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29FBAABC"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tcBorders>
            <w:vAlign w:val="center"/>
          </w:tcPr>
          <w:p w14:paraId="36D1B9E7"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top w:val="double" w:sz="4" w:space="0" w:color="auto"/>
              <w:right w:val="double" w:sz="4" w:space="0" w:color="auto"/>
            </w:tcBorders>
            <w:vAlign w:val="center"/>
          </w:tcPr>
          <w:p w14:paraId="26D590F6" w14:textId="77777777" w:rsidR="00300C42" w:rsidRPr="001817C7" w:rsidRDefault="00300C42">
            <w:pPr>
              <w:spacing w:before="40" w:after="40"/>
              <w:jc w:val="center"/>
              <w:rPr>
                <w:sz w:val="20"/>
                <w:szCs w:val="20"/>
              </w:rPr>
            </w:pPr>
            <w:r w:rsidRPr="001817C7">
              <w:rPr>
                <w:rFonts w:cs="Arial"/>
                <w:sz w:val="20"/>
                <w:szCs w:val="20"/>
              </w:rPr>
              <w:t>0.43</w:t>
            </w:r>
          </w:p>
        </w:tc>
        <w:tc>
          <w:tcPr>
            <w:tcW w:w="753" w:type="dxa"/>
            <w:tcBorders>
              <w:top w:val="double" w:sz="4" w:space="0" w:color="auto"/>
              <w:left w:val="double" w:sz="4" w:space="0" w:color="auto"/>
            </w:tcBorders>
            <w:vAlign w:val="center"/>
          </w:tcPr>
          <w:p w14:paraId="6A26F020"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72D6F5C1"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tcBorders>
              <w:top w:val="double" w:sz="4" w:space="0" w:color="auto"/>
              <w:right w:val="double" w:sz="4" w:space="0" w:color="auto"/>
            </w:tcBorders>
            <w:vAlign w:val="center"/>
          </w:tcPr>
          <w:p w14:paraId="3B9EF02A" w14:textId="77777777" w:rsidR="00300C42" w:rsidRPr="001817C7" w:rsidRDefault="00300C42">
            <w:pPr>
              <w:spacing w:before="40" w:after="40"/>
              <w:jc w:val="center"/>
              <w:rPr>
                <w:sz w:val="20"/>
                <w:szCs w:val="20"/>
              </w:rPr>
            </w:pPr>
            <w:r w:rsidRPr="001817C7">
              <w:rPr>
                <w:rFonts w:cs="Arial"/>
                <w:sz w:val="20"/>
                <w:szCs w:val="20"/>
              </w:rPr>
              <w:t>0.50</w:t>
            </w:r>
          </w:p>
        </w:tc>
        <w:tc>
          <w:tcPr>
            <w:tcW w:w="752" w:type="dxa"/>
            <w:tcBorders>
              <w:top w:val="double" w:sz="4" w:space="0" w:color="auto"/>
              <w:right w:val="single" w:sz="4" w:space="0" w:color="auto"/>
            </w:tcBorders>
            <w:vAlign w:val="center"/>
          </w:tcPr>
          <w:p w14:paraId="5B704942"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7DB7462F" w14:textId="77777777" w:rsidR="00300C42" w:rsidRPr="001817C7" w:rsidRDefault="00300C42">
            <w:pPr>
              <w:spacing w:before="40" w:after="40"/>
              <w:jc w:val="center"/>
              <w:rPr>
                <w:rFonts w:cs="Arial"/>
                <w:sz w:val="20"/>
                <w:szCs w:val="20"/>
              </w:rPr>
            </w:pPr>
            <w:r w:rsidRPr="001817C7">
              <w:rPr>
                <w:rFonts w:cs="Arial"/>
                <w:sz w:val="20"/>
                <w:szCs w:val="20"/>
              </w:rPr>
              <w:t>128</w:t>
            </w:r>
          </w:p>
        </w:tc>
        <w:tc>
          <w:tcPr>
            <w:tcW w:w="754" w:type="dxa"/>
            <w:tcBorders>
              <w:top w:val="double" w:sz="4" w:space="0" w:color="auto"/>
              <w:left w:val="single" w:sz="4" w:space="0" w:color="auto"/>
              <w:right w:val="double" w:sz="4" w:space="0" w:color="auto"/>
            </w:tcBorders>
            <w:vAlign w:val="center"/>
          </w:tcPr>
          <w:p w14:paraId="7B0C77C6" w14:textId="77777777" w:rsidR="00300C42" w:rsidRPr="001817C7" w:rsidRDefault="00300C42">
            <w:pPr>
              <w:spacing w:before="40" w:after="40"/>
              <w:jc w:val="center"/>
              <w:rPr>
                <w:rFonts w:cs="Arial"/>
                <w:sz w:val="20"/>
                <w:szCs w:val="20"/>
              </w:rPr>
            </w:pPr>
            <w:r w:rsidRPr="001817C7">
              <w:rPr>
                <w:sz w:val="20"/>
                <w:szCs w:val="20"/>
              </w:rPr>
              <w:t>0.50</w:t>
            </w:r>
          </w:p>
        </w:tc>
        <w:tc>
          <w:tcPr>
            <w:tcW w:w="753" w:type="dxa"/>
            <w:tcBorders>
              <w:top w:val="double" w:sz="4" w:space="0" w:color="auto"/>
              <w:left w:val="double" w:sz="4" w:space="0" w:color="auto"/>
            </w:tcBorders>
            <w:vAlign w:val="center"/>
          </w:tcPr>
          <w:p w14:paraId="285BED21"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69A4CAC0" w14:textId="77777777" w:rsidR="00300C42" w:rsidRPr="001817C7" w:rsidRDefault="00300C42">
            <w:pPr>
              <w:spacing w:before="40" w:after="40"/>
              <w:jc w:val="center"/>
              <w:rPr>
                <w:sz w:val="20"/>
                <w:szCs w:val="20"/>
              </w:rPr>
            </w:pPr>
            <w:r w:rsidRPr="001817C7">
              <w:rPr>
                <w:rFonts w:cs="Arial"/>
                <w:sz w:val="20"/>
                <w:szCs w:val="20"/>
              </w:rPr>
              <w:t>256</w:t>
            </w:r>
          </w:p>
        </w:tc>
        <w:tc>
          <w:tcPr>
            <w:tcW w:w="754" w:type="dxa"/>
            <w:tcBorders>
              <w:top w:val="double" w:sz="4" w:space="0" w:color="auto"/>
            </w:tcBorders>
            <w:vAlign w:val="center"/>
          </w:tcPr>
          <w:p w14:paraId="720317B1" w14:textId="77777777" w:rsidR="00300C42" w:rsidRPr="001817C7" w:rsidRDefault="00300C42">
            <w:pPr>
              <w:spacing w:before="40" w:after="40"/>
              <w:jc w:val="center"/>
              <w:rPr>
                <w:sz w:val="20"/>
                <w:szCs w:val="20"/>
              </w:rPr>
            </w:pPr>
            <w:r w:rsidRPr="001817C7">
              <w:rPr>
                <w:rFonts w:cs="Arial"/>
                <w:sz w:val="20"/>
                <w:szCs w:val="20"/>
              </w:rPr>
              <w:t>0.51</w:t>
            </w:r>
          </w:p>
        </w:tc>
      </w:tr>
      <w:tr w:rsidR="001817C7" w:rsidRPr="001817C7" w14:paraId="199D1358" w14:textId="77777777">
        <w:tc>
          <w:tcPr>
            <w:tcW w:w="928" w:type="dxa"/>
            <w:vMerge/>
            <w:tcBorders>
              <w:right w:val="double" w:sz="4" w:space="0" w:color="auto"/>
            </w:tcBorders>
            <w:vAlign w:val="center"/>
          </w:tcPr>
          <w:p w14:paraId="482A4D41"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19E28750" w14:textId="77777777" w:rsidR="00300C42" w:rsidRPr="001817C7" w:rsidRDefault="00300C42">
            <w:pPr>
              <w:spacing w:before="40" w:after="40"/>
              <w:jc w:val="center"/>
              <w:rPr>
                <w:sz w:val="20"/>
                <w:szCs w:val="20"/>
              </w:rPr>
            </w:pPr>
            <w:r w:rsidRPr="001817C7">
              <w:rPr>
                <w:rFonts w:cs="Arial"/>
                <w:sz w:val="20"/>
                <w:szCs w:val="20"/>
              </w:rPr>
              <w:t>128</w:t>
            </w:r>
          </w:p>
        </w:tc>
        <w:tc>
          <w:tcPr>
            <w:tcW w:w="752" w:type="dxa"/>
            <w:vAlign w:val="center"/>
          </w:tcPr>
          <w:p w14:paraId="226DD398"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right w:val="double" w:sz="4" w:space="0" w:color="auto"/>
            </w:tcBorders>
            <w:vAlign w:val="center"/>
          </w:tcPr>
          <w:p w14:paraId="6A5B254A" w14:textId="77777777" w:rsidR="00300C42" w:rsidRPr="001817C7" w:rsidRDefault="00300C42">
            <w:pPr>
              <w:spacing w:before="40" w:after="40"/>
              <w:jc w:val="center"/>
              <w:rPr>
                <w:sz w:val="20"/>
                <w:szCs w:val="20"/>
              </w:rPr>
            </w:pPr>
            <w:r w:rsidRPr="001817C7">
              <w:rPr>
                <w:rFonts w:cs="Arial"/>
                <w:sz w:val="20"/>
                <w:szCs w:val="20"/>
              </w:rPr>
              <w:t>0.48</w:t>
            </w:r>
          </w:p>
        </w:tc>
        <w:tc>
          <w:tcPr>
            <w:tcW w:w="753" w:type="dxa"/>
            <w:tcBorders>
              <w:left w:val="double" w:sz="4" w:space="0" w:color="auto"/>
            </w:tcBorders>
            <w:vAlign w:val="center"/>
          </w:tcPr>
          <w:p w14:paraId="45B27521"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6A444662"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tcBorders>
              <w:right w:val="double" w:sz="4" w:space="0" w:color="auto"/>
            </w:tcBorders>
            <w:vAlign w:val="center"/>
          </w:tcPr>
          <w:p w14:paraId="584CFDCF" w14:textId="77777777" w:rsidR="00300C42" w:rsidRPr="001817C7" w:rsidRDefault="00300C42">
            <w:pPr>
              <w:spacing w:before="40" w:after="40"/>
              <w:jc w:val="center"/>
              <w:rPr>
                <w:sz w:val="20"/>
                <w:szCs w:val="20"/>
              </w:rPr>
            </w:pPr>
            <w:r w:rsidRPr="001817C7">
              <w:rPr>
                <w:rFonts w:cs="Arial"/>
                <w:sz w:val="20"/>
                <w:szCs w:val="20"/>
              </w:rPr>
              <w:t>0.62</w:t>
            </w:r>
          </w:p>
        </w:tc>
        <w:tc>
          <w:tcPr>
            <w:tcW w:w="752" w:type="dxa"/>
            <w:tcBorders>
              <w:right w:val="single" w:sz="4" w:space="0" w:color="auto"/>
            </w:tcBorders>
            <w:vAlign w:val="center"/>
          </w:tcPr>
          <w:p w14:paraId="1CB1D0BB"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tcBorders>
              <w:left w:val="single" w:sz="4" w:space="0" w:color="auto"/>
              <w:right w:val="single" w:sz="4" w:space="0" w:color="auto"/>
            </w:tcBorders>
            <w:vAlign w:val="center"/>
          </w:tcPr>
          <w:p w14:paraId="6CA16A4D" w14:textId="77777777" w:rsidR="00300C42" w:rsidRPr="001817C7" w:rsidRDefault="00300C42">
            <w:pPr>
              <w:spacing w:before="40" w:after="40"/>
              <w:jc w:val="center"/>
              <w:rPr>
                <w:sz w:val="20"/>
                <w:szCs w:val="20"/>
              </w:rPr>
            </w:pPr>
            <w:r w:rsidRPr="001817C7">
              <w:rPr>
                <w:rFonts w:cs="Arial"/>
                <w:sz w:val="20"/>
                <w:szCs w:val="20"/>
              </w:rPr>
              <w:t>128</w:t>
            </w:r>
          </w:p>
        </w:tc>
        <w:tc>
          <w:tcPr>
            <w:tcW w:w="754" w:type="dxa"/>
            <w:tcBorders>
              <w:left w:val="single" w:sz="4" w:space="0" w:color="auto"/>
              <w:right w:val="double" w:sz="4" w:space="0" w:color="auto"/>
            </w:tcBorders>
            <w:vAlign w:val="center"/>
          </w:tcPr>
          <w:p w14:paraId="0777FA0C" w14:textId="77777777" w:rsidR="00300C42" w:rsidRPr="001817C7" w:rsidRDefault="00300C42">
            <w:pPr>
              <w:spacing w:before="40" w:after="40"/>
              <w:jc w:val="center"/>
              <w:rPr>
                <w:sz w:val="20"/>
                <w:szCs w:val="20"/>
              </w:rPr>
            </w:pPr>
            <w:r w:rsidRPr="001817C7">
              <w:rPr>
                <w:sz w:val="20"/>
                <w:szCs w:val="20"/>
              </w:rPr>
              <w:t>0.60</w:t>
            </w:r>
          </w:p>
        </w:tc>
        <w:tc>
          <w:tcPr>
            <w:tcW w:w="753" w:type="dxa"/>
            <w:tcBorders>
              <w:left w:val="double" w:sz="4" w:space="0" w:color="auto"/>
            </w:tcBorders>
          </w:tcPr>
          <w:p w14:paraId="20C04B65" w14:textId="77777777" w:rsidR="00300C42" w:rsidRPr="001817C7" w:rsidRDefault="00300C42">
            <w:pPr>
              <w:spacing w:before="40" w:after="40"/>
              <w:jc w:val="center"/>
              <w:rPr>
                <w:sz w:val="20"/>
                <w:szCs w:val="20"/>
              </w:rPr>
            </w:pPr>
          </w:p>
        </w:tc>
        <w:tc>
          <w:tcPr>
            <w:tcW w:w="753" w:type="dxa"/>
            <w:vAlign w:val="center"/>
          </w:tcPr>
          <w:p w14:paraId="0C191B8A" w14:textId="77777777" w:rsidR="00300C42" w:rsidRPr="001817C7" w:rsidRDefault="00300C42">
            <w:pPr>
              <w:spacing w:before="40" w:after="40"/>
              <w:jc w:val="center"/>
              <w:rPr>
                <w:sz w:val="20"/>
                <w:szCs w:val="20"/>
              </w:rPr>
            </w:pPr>
          </w:p>
        </w:tc>
        <w:tc>
          <w:tcPr>
            <w:tcW w:w="754" w:type="dxa"/>
            <w:vAlign w:val="center"/>
          </w:tcPr>
          <w:p w14:paraId="3A42394D" w14:textId="77777777" w:rsidR="00300C42" w:rsidRPr="001817C7" w:rsidRDefault="00300C42">
            <w:pPr>
              <w:spacing w:before="40" w:after="40"/>
              <w:jc w:val="center"/>
              <w:rPr>
                <w:sz w:val="20"/>
                <w:szCs w:val="20"/>
              </w:rPr>
            </w:pPr>
            <w:r w:rsidRPr="001817C7">
              <w:rPr>
                <w:rFonts w:cs="Arial"/>
                <w:sz w:val="20"/>
                <w:szCs w:val="20"/>
              </w:rPr>
              <w:t> </w:t>
            </w:r>
          </w:p>
        </w:tc>
      </w:tr>
      <w:tr w:rsidR="001817C7" w:rsidRPr="001817C7" w14:paraId="719A703C" w14:textId="77777777">
        <w:tc>
          <w:tcPr>
            <w:tcW w:w="928" w:type="dxa"/>
            <w:vMerge/>
            <w:tcBorders>
              <w:bottom w:val="double" w:sz="4" w:space="0" w:color="auto"/>
              <w:right w:val="double" w:sz="4" w:space="0" w:color="auto"/>
            </w:tcBorders>
            <w:vAlign w:val="center"/>
          </w:tcPr>
          <w:p w14:paraId="39FBDEAD"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E9A662C" w14:textId="77777777" w:rsidR="00300C42" w:rsidRPr="001817C7" w:rsidRDefault="00300C42">
            <w:pPr>
              <w:spacing w:before="40" w:after="40"/>
              <w:jc w:val="center"/>
              <w:rPr>
                <w:sz w:val="20"/>
                <w:szCs w:val="20"/>
              </w:rPr>
            </w:pPr>
            <w:r w:rsidRPr="001817C7">
              <w:rPr>
                <w:rFonts w:cs="Arial"/>
                <w:sz w:val="20"/>
                <w:szCs w:val="20"/>
              </w:rPr>
              <w:t>64</w:t>
            </w:r>
          </w:p>
        </w:tc>
        <w:tc>
          <w:tcPr>
            <w:tcW w:w="752" w:type="dxa"/>
            <w:tcBorders>
              <w:bottom w:val="double" w:sz="4" w:space="0" w:color="auto"/>
            </w:tcBorders>
            <w:vAlign w:val="center"/>
          </w:tcPr>
          <w:p w14:paraId="544E58DC"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bottom w:val="double" w:sz="4" w:space="0" w:color="auto"/>
              <w:right w:val="double" w:sz="4" w:space="0" w:color="auto"/>
            </w:tcBorders>
            <w:vAlign w:val="center"/>
          </w:tcPr>
          <w:p w14:paraId="5CB3D692" w14:textId="77777777" w:rsidR="00300C42" w:rsidRPr="001817C7" w:rsidRDefault="00300C42">
            <w:pPr>
              <w:spacing w:before="40" w:after="40"/>
              <w:jc w:val="center"/>
              <w:rPr>
                <w:sz w:val="20"/>
                <w:szCs w:val="20"/>
              </w:rPr>
            </w:pPr>
            <w:r w:rsidRPr="001817C7">
              <w:rPr>
                <w:rFonts w:cs="Arial"/>
                <w:sz w:val="20"/>
                <w:szCs w:val="20"/>
              </w:rPr>
              <w:t>0.67</w:t>
            </w:r>
          </w:p>
        </w:tc>
        <w:tc>
          <w:tcPr>
            <w:tcW w:w="753" w:type="dxa"/>
            <w:tcBorders>
              <w:left w:val="double" w:sz="4" w:space="0" w:color="auto"/>
              <w:bottom w:val="double" w:sz="4" w:space="0" w:color="auto"/>
            </w:tcBorders>
            <w:vAlign w:val="center"/>
          </w:tcPr>
          <w:p w14:paraId="7A3B9965"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5B78A948"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3F031715" w14:textId="77777777" w:rsidR="00300C42" w:rsidRPr="001817C7" w:rsidRDefault="00300C42">
            <w:pPr>
              <w:spacing w:before="40" w:after="40"/>
              <w:jc w:val="center"/>
              <w:rPr>
                <w:sz w:val="20"/>
                <w:szCs w:val="20"/>
              </w:rPr>
            </w:pPr>
            <w:r w:rsidRPr="001817C7">
              <w:rPr>
                <w:rFonts w:cs="Arial"/>
                <w:sz w:val="20"/>
                <w:szCs w:val="20"/>
              </w:rPr>
              <w:t> </w:t>
            </w:r>
          </w:p>
        </w:tc>
        <w:tc>
          <w:tcPr>
            <w:tcW w:w="752" w:type="dxa"/>
            <w:tcBorders>
              <w:bottom w:val="double" w:sz="4" w:space="0" w:color="auto"/>
              <w:right w:val="single" w:sz="4" w:space="0" w:color="auto"/>
            </w:tcBorders>
            <w:vAlign w:val="center"/>
          </w:tcPr>
          <w:p w14:paraId="749957FE" w14:textId="77777777" w:rsidR="00300C42" w:rsidRPr="001817C7"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39D1A389" w14:textId="77777777" w:rsidR="00300C42" w:rsidRPr="001817C7"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3A7B86C7" w14:textId="77777777" w:rsidR="00300C42" w:rsidRPr="001817C7" w:rsidRDefault="00300C42">
            <w:pPr>
              <w:spacing w:before="40" w:after="40"/>
              <w:jc w:val="center"/>
              <w:rPr>
                <w:sz w:val="20"/>
                <w:szCs w:val="20"/>
              </w:rPr>
            </w:pPr>
            <w:r w:rsidRPr="001817C7">
              <w:rPr>
                <w:rFonts w:cs="Arial"/>
                <w:sz w:val="20"/>
                <w:szCs w:val="20"/>
              </w:rPr>
              <w:t> </w:t>
            </w:r>
          </w:p>
        </w:tc>
        <w:tc>
          <w:tcPr>
            <w:tcW w:w="753" w:type="dxa"/>
            <w:tcBorders>
              <w:left w:val="double" w:sz="4" w:space="0" w:color="auto"/>
              <w:bottom w:val="double" w:sz="4" w:space="0" w:color="auto"/>
            </w:tcBorders>
            <w:vAlign w:val="center"/>
          </w:tcPr>
          <w:p w14:paraId="2FEE4920"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63781961" w14:textId="77777777" w:rsidR="00300C42" w:rsidRPr="001817C7" w:rsidRDefault="00300C42">
            <w:pPr>
              <w:spacing w:before="40" w:after="40"/>
              <w:jc w:val="center"/>
              <w:rPr>
                <w:sz w:val="20"/>
                <w:szCs w:val="20"/>
              </w:rPr>
            </w:pPr>
          </w:p>
        </w:tc>
        <w:tc>
          <w:tcPr>
            <w:tcW w:w="754" w:type="dxa"/>
            <w:tcBorders>
              <w:bottom w:val="double" w:sz="4" w:space="0" w:color="auto"/>
            </w:tcBorders>
            <w:vAlign w:val="center"/>
          </w:tcPr>
          <w:p w14:paraId="11728664" w14:textId="77777777" w:rsidR="00300C42" w:rsidRPr="001817C7" w:rsidRDefault="00300C42">
            <w:pPr>
              <w:spacing w:before="40" w:after="40"/>
              <w:jc w:val="center"/>
              <w:rPr>
                <w:sz w:val="20"/>
                <w:szCs w:val="20"/>
              </w:rPr>
            </w:pPr>
            <w:r w:rsidRPr="001817C7">
              <w:rPr>
                <w:rFonts w:cs="Arial"/>
                <w:sz w:val="20"/>
                <w:szCs w:val="20"/>
              </w:rPr>
              <w:t> </w:t>
            </w:r>
          </w:p>
        </w:tc>
      </w:tr>
      <w:tr w:rsidR="001817C7" w:rsidRPr="001817C7" w14:paraId="75FEA4D5" w14:textId="77777777">
        <w:tc>
          <w:tcPr>
            <w:tcW w:w="928" w:type="dxa"/>
            <w:vMerge w:val="restart"/>
            <w:tcBorders>
              <w:top w:val="double" w:sz="4" w:space="0" w:color="auto"/>
              <w:right w:val="double" w:sz="4" w:space="0" w:color="auto"/>
            </w:tcBorders>
            <w:vAlign w:val="center"/>
          </w:tcPr>
          <w:p w14:paraId="4CD099B1" w14:textId="77777777" w:rsidR="00300C42" w:rsidRPr="001817C7" w:rsidRDefault="00300C42">
            <w:pPr>
              <w:spacing w:before="40" w:after="40"/>
              <w:jc w:val="center"/>
              <w:rPr>
                <w:sz w:val="20"/>
                <w:szCs w:val="20"/>
              </w:rPr>
            </w:pPr>
            <w:r w:rsidRPr="001817C7">
              <w:rPr>
                <w:sz w:val="20"/>
                <w:szCs w:val="20"/>
              </w:rPr>
              <w:t>128</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79A50AB7"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tcBorders>
            <w:vAlign w:val="center"/>
          </w:tcPr>
          <w:p w14:paraId="4B991281"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top w:val="double" w:sz="4" w:space="0" w:color="auto"/>
              <w:right w:val="double" w:sz="4" w:space="0" w:color="auto"/>
            </w:tcBorders>
            <w:vAlign w:val="center"/>
          </w:tcPr>
          <w:p w14:paraId="4A67BACD" w14:textId="77777777" w:rsidR="00300C42" w:rsidRPr="001817C7" w:rsidRDefault="00300C42">
            <w:pPr>
              <w:spacing w:before="40" w:after="40"/>
              <w:jc w:val="center"/>
              <w:rPr>
                <w:sz w:val="20"/>
                <w:szCs w:val="20"/>
              </w:rPr>
            </w:pPr>
            <w:r w:rsidRPr="001817C7">
              <w:rPr>
                <w:rFonts w:cs="Arial"/>
                <w:sz w:val="20"/>
                <w:szCs w:val="20"/>
              </w:rPr>
              <w:t>0.54</w:t>
            </w:r>
          </w:p>
        </w:tc>
        <w:tc>
          <w:tcPr>
            <w:tcW w:w="753" w:type="dxa"/>
            <w:tcBorders>
              <w:top w:val="double" w:sz="4" w:space="0" w:color="auto"/>
              <w:left w:val="double" w:sz="4" w:space="0" w:color="auto"/>
            </w:tcBorders>
            <w:vAlign w:val="center"/>
          </w:tcPr>
          <w:p w14:paraId="08761F72"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36A10B24"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top w:val="double" w:sz="4" w:space="0" w:color="auto"/>
              <w:right w:val="double" w:sz="4" w:space="0" w:color="auto"/>
            </w:tcBorders>
            <w:vAlign w:val="center"/>
          </w:tcPr>
          <w:p w14:paraId="5B353CCB" w14:textId="77777777" w:rsidR="00300C42" w:rsidRPr="001817C7" w:rsidRDefault="00300C42">
            <w:pPr>
              <w:spacing w:before="40" w:after="40"/>
              <w:jc w:val="center"/>
              <w:rPr>
                <w:sz w:val="20"/>
                <w:szCs w:val="20"/>
              </w:rPr>
            </w:pPr>
            <w:r w:rsidRPr="001817C7">
              <w:rPr>
                <w:rFonts w:cs="Arial"/>
                <w:sz w:val="20"/>
                <w:szCs w:val="20"/>
              </w:rPr>
              <w:t>0.54</w:t>
            </w:r>
          </w:p>
        </w:tc>
        <w:tc>
          <w:tcPr>
            <w:tcW w:w="752" w:type="dxa"/>
            <w:tcBorders>
              <w:top w:val="double" w:sz="4" w:space="0" w:color="auto"/>
              <w:right w:val="single" w:sz="4" w:space="0" w:color="auto"/>
            </w:tcBorders>
            <w:vAlign w:val="center"/>
          </w:tcPr>
          <w:p w14:paraId="246A13FC"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148D7507"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4" w:type="dxa"/>
            <w:tcBorders>
              <w:top w:val="double" w:sz="4" w:space="0" w:color="auto"/>
              <w:left w:val="single" w:sz="4" w:space="0" w:color="auto"/>
              <w:right w:val="double" w:sz="4" w:space="0" w:color="auto"/>
            </w:tcBorders>
            <w:vAlign w:val="center"/>
          </w:tcPr>
          <w:p w14:paraId="11CF5627" w14:textId="77777777" w:rsidR="00300C42" w:rsidRPr="001817C7" w:rsidRDefault="00300C42">
            <w:pPr>
              <w:spacing w:before="40" w:after="40"/>
              <w:jc w:val="center"/>
              <w:rPr>
                <w:rFonts w:cs="Arial"/>
                <w:sz w:val="20"/>
                <w:szCs w:val="20"/>
              </w:rPr>
            </w:pPr>
            <w:r w:rsidRPr="001817C7">
              <w:rPr>
                <w:sz w:val="20"/>
                <w:szCs w:val="20"/>
              </w:rPr>
              <w:t>0.57</w:t>
            </w:r>
          </w:p>
        </w:tc>
        <w:tc>
          <w:tcPr>
            <w:tcW w:w="753" w:type="dxa"/>
            <w:tcBorders>
              <w:top w:val="double" w:sz="4" w:space="0" w:color="auto"/>
              <w:left w:val="double" w:sz="4" w:space="0" w:color="auto"/>
            </w:tcBorders>
            <w:vAlign w:val="center"/>
          </w:tcPr>
          <w:p w14:paraId="5A28CA04"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69DAEFF7" w14:textId="77777777" w:rsidR="00300C42" w:rsidRPr="001817C7" w:rsidRDefault="00300C42">
            <w:pPr>
              <w:spacing w:before="40" w:after="40"/>
              <w:jc w:val="center"/>
              <w:rPr>
                <w:sz w:val="20"/>
                <w:szCs w:val="20"/>
              </w:rPr>
            </w:pPr>
            <w:r w:rsidRPr="001817C7">
              <w:rPr>
                <w:rFonts w:cs="Arial"/>
                <w:sz w:val="20"/>
                <w:szCs w:val="20"/>
              </w:rPr>
              <w:t>128</w:t>
            </w:r>
          </w:p>
        </w:tc>
        <w:tc>
          <w:tcPr>
            <w:tcW w:w="754" w:type="dxa"/>
            <w:tcBorders>
              <w:top w:val="double" w:sz="4" w:space="0" w:color="auto"/>
            </w:tcBorders>
            <w:vAlign w:val="center"/>
          </w:tcPr>
          <w:p w14:paraId="0F34C1E2" w14:textId="77777777" w:rsidR="00300C42" w:rsidRPr="001817C7" w:rsidRDefault="00300C42">
            <w:pPr>
              <w:spacing w:before="40" w:after="40"/>
              <w:jc w:val="center"/>
              <w:rPr>
                <w:sz w:val="20"/>
                <w:szCs w:val="20"/>
              </w:rPr>
            </w:pPr>
            <w:r w:rsidRPr="001817C7">
              <w:rPr>
                <w:rFonts w:cs="Arial"/>
                <w:sz w:val="20"/>
                <w:szCs w:val="20"/>
              </w:rPr>
              <w:t>0.52</w:t>
            </w:r>
          </w:p>
        </w:tc>
      </w:tr>
      <w:tr w:rsidR="001817C7" w:rsidRPr="001817C7" w14:paraId="2E06298E" w14:textId="77777777">
        <w:tc>
          <w:tcPr>
            <w:tcW w:w="928" w:type="dxa"/>
            <w:vMerge/>
            <w:tcBorders>
              <w:right w:val="double" w:sz="4" w:space="0" w:color="auto"/>
            </w:tcBorders>
            <w:vAlign w:val="center"/>
          </w:tcPr>
          <w:p w14:paraId="45068640"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26591D4B" w14:textId="77777777" w:rsidR="00300C42" w:rsidRPr="001817C7" w:rsidRDefault="00300C42">
            <w:pPr>
              <w:spacing w:before="40" w:after="40"/>
              <w:jc w:val="center"/>
              <w:rPr>
                <w:sz w:val="20"/>
                <w:szCs w:val="20"/>
              </w:rPr>
            </w:pPr>
            <w:r w:rsidRPr="001817C7">
              <w:rPr>
                <w:rFonts w:cs="Arial"/>
                <w:sz w:val="20"/>
                <w:szCs w:val="20"/>
              </w:rPr>
              <w:t>128</w:t>
            </w:r>
          </w:p>
        </w:tc>
        <w:tc>
          <w:tcPr>
            <w:tcW w:w="752" w:type="dxa"/>
            <w:vAlign w:val="center"/>
          </w:tcPr>
          <w:p w14:paraId="43C58A22"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right w:val="double" w:sz="4" w:space="0" w:color="auto"/>
            </w:tcBorders>
            <w:vAlign w:val="center"/>
          </w:tcPr>
          <w:p w14:paraId="0C51038F" w14:textId="77777777" w:rsidR="00300C42" w:rsidRPr="001817C7" w:rsidRDefault="00300C42">
            <w:pPr>
              <w:spacing w:before="40" w:after="40"/>
              <w:jc w:val="center"/>
              <w:rPr>
                <w:sz w:val="20"/>
                <w:szCs w:val="20"/>
              </w:rPr>
            </w:pPr>
            <w:r w:rsidRPr="001817C7">
              <w:rPr>
                <w:rFonts w:cs="Arial"/>
                <w:sz w:val="20"/>
                <w:szCs w:val="20"/>
              </w:rPr>
              <w:t>0.53</w:t>
            </w:r>
          </w:p>
        </w:tc>
        <w:tc>
          <w:tcPr>
            <w:tcW w:w="753" w:type="dxa"/>
            <w:tcBorders>
              <w:left w:val="double" w:sz="4" w:space="0" w:color="auto"/>
            </w:tcBorders>
            <w:vAlign w:val="center"/>
          </w:tcPr>
          <w:p w14:paraId="1B024A2F"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41E4C09F"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right w:val="double" w:sz="4" w:space="0" w:color="auto"/>
            </w:tcBorders>
            <w:vAlign w:val="center"/>
          </w:tcPr>
          <w:p w14:paraId="7FBE5B8A" w14:textId="77777777" w:rsidR="00300C42" w:rsidRPr="001817C7" w:rsidRDefault="00300C42">
            <w:pPr>
              <w:spacing w:before="40" w:after="40"/>
              <w:jc w:val="center"/>
              <w:rPr>
                <w:sz w:val="20"/>
                <w:szCs w:val="20"/>
              </w:rPr>
            </w:pPr>
            <w:r w:rsidRPr="001817C7">
              <w:rPr>
                <w:rFonts w:cs="Arial"/>
                <w:sz w:val="20"/>
                <w:szCs w:val="20"/>
              </w:rPr>
              <w:t>0.62</w:t>
            </w:r>
          </w:p>
        </w:tc>
        <w:tc>
          <w:tcPr>
            <w:tcW w:w="752" w:type="dxa"/>
            <w:tcBorders>
              <w:right w:val="single" w:sz="4" w:space="0" w:color="auto"/>
            </w:tcBorders>
            <w:vAlign w:val="center"/>
          </w:tcPr>
          <w:p w14:paraId="44CABDC9" w14:textId="77777777" w:rsidR="00300C42" w:rsidRPr="001817C7" w:rsidRDefault="00300C42">
            <w:pPr>
              <w:spacing w:before="40" w:after="40"/>
              <w:jc w:val="center"/>
              <w:rPr>
                <w:rFonts w:cs="Arial"/>
                <w:sz w:val="20"/>
                <w:szCs w:val="20"/>
              </w:rPr>
            </w:pPr>
            <w:r w:rsidRPr="001817C7">
              <w:rPr>
                <w:rFonts w:cs="Arial"/>
                <w:sz w:val="20"/>
                <w:szCs w:val="20"/>
              </w:rPr>
              <w:t>128</w:t>
            </w:r>
          </w:p>
        </w:tc>
        <w:tc>
          <w:tcPr>
            <w:tcW w:w="753" w:type="dxa"/>
            <w:tcBorders>
              <w:left w:val="single" w:sz="4" w:space="0" w:color="auto"/>
              <w:right w:val="single" w:sz="4" w:space="0" w:color="auto"/>
            </w:tcBorders>
            <w:vAlign w:val="center"/>
          </w:tcPr>
          <w:p w14:paraId="30DF9D37"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4" w:type="dxa"/>
            <w:tcBorders>
              <w:left w:val="single" w:sz="4" w:space="0" w:color="auto"/>
              <w:right w:val="double" w:sz="4" w:space="0" w:color="auto"/>
            </w:tcBorders>
            <w:vAlign w:val="center"/>
          </w:tcPr>
          <w:p w14:paraId="0D9F0E9E" w14:textId="77777777" w:rsidR="00300C42" w:rsidRPr="001817C7" w:rsidRDefault="00300C42">
            <w:pPr>
              <w:spacing w:before="40" w:after="40"/>
              <w:jc w:val="center"/>
              <w:rPr>
                <w:rFonts w:cs="Arial"/>
                <w:sz w:val="20"/>
                <w:szCs w:val="20"/>
              </w:rPr>
            </w:pPr>
            <w:r w:rsidRPr="001817C7">
              <w:rPr>
                <w:sz w:val="20"/>
                <w:szCs w:val="20"/>
              </w:rPr>
              <w:t>0.63</w:t>
            </w:r>
          </w:p>
        </w:tc>
        <w:tc>
          <w:tcPr>
            <w:tcW w:w="753" w:type="dxa"/>
            <w:tcBorders>
              <w:left w:val="double" w:sz="4" w:space="0" w:color="auto"/>
            </w:tcBorders>
            <w:vAlign w:val="center"/>
          </w:tcPr>
          <w:p w14:paraId="2A006964"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6CD7D853" w14:textId="77777777" w:rsidR="00300C42" w:rsidRPr="001817C7" w:rsidRDefault="00300C42">
            <w:pPr>
              <w:spacing w:before="40" w:after="40"/>
              <w:jc w:val="center"/>
              <w:rPr>
                <w:sz w:val="20"/>
                <w:szCs w:val="20"/>
              </w:rPr>
            </w:pPr>
            <w:r w:rsidRPr="001817C7">
              <w:rPr>
                <w:rFonts w:cs="Arial"/>
                <w:sz w:val="20"/>
                <w:szCs w:val="20"/>
              </w:rPr>
              <w:t>128</w:t>
            </w:r>
          </w:p>
        </w:tc>
        <w:tc>
          <w:tcPr>
            <w:tcW w:w="754" w:type="dxa"/>
            <w:vAlign w:val="center"/>
          </w:tcPr>
          <w:p w14:paraId="2F92CE6E" w14:textId="77777777" w:rsidR="00300C42" w:rsidRPr="001817C7" w:rsidRDefault="00300C42">
            <w:pPr>
              <w:spacing w:before="40" w:after="40"/>
              <w:jc w:val="center"/>
              <w:rPr>
                <w:sz w:val="20"/>
                <w:szCs w:val="20"/>
              </w:rPr>
            </w:pPr>
            <w:r w:rsidRPr="001817C7">
              <w:rPr>
                <w:rFonts w:cs="Arial"/>
                <w:sz w:val="20"/>
                <w:szCs w:val="20"/>
              </w:rPr>
              <w:t>0.56</w:t>
            </w:r>
          </w:p>
        </w:tc>
      </w:tr>
      <w:tr w:rsidR="001817C7" w:rsidRPr="001817C7" w14:paraId="57265EAD" w14:textId="77777777">
        <w:tc>
          <w:tcPr>
            <w:tcW w:w="928" w:type="dxa"/>
            <w:vMerge/>
            <w:tcBorders>
              <w:right w:val="double" w:sz="4" w:space="0" w:color="auto"/>
            </w:tcBorders>
            <w:vAlign w:val="center"/>
          </w:tcPr>
          <w:p w14:paraId="3D74ED06"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49B5E11C" w14:textId="77777777" w:rsidR="00300C42" w:rsidRPr="001817C7" w:rsidRDefault="00300C42">
            <w:pPr>
              <w:spacing w:before="40" w:after="40"/>
              <w:jc w:val="center"/>
              <w:rPr>
                <w:sz w:val="20"/>
                <w:szCs w:val="20"/>
              </w:rPr>
            </w:pPr>
            <w:r w:rsidRPr="001817C7">
              <w:rPr>
                <w:rFonts w:cs="Arial"/>
                <w:sz w:val="20"/>
                <w:szCs w:val="20"/>
              </w:rPr>
              <w:t>64</w:t>
            </w:r>
          </w:p>
        </w:tc>
        <w:tc>
          <w:tcPr>
            <w:tcW w:w="752" w:type="dxa"/>
            <w:vAlign w:val="center"/>
          </w:tcPr>
          <w:p w14:paraId="6189D885"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right w:val="double" w:sz="4" w:space="0" w:color="auto"/>
            </w:tcBorders>
            <w:vAlign w:val="center"/>
          </w:tcPr>
          <w:p w14:paraId="00444EFF" w14:textId="77777777" w:rsidR="00300C42" w:rsidRPr="001817C7" w:rsidRDefault="00300C42">
            <w:pPr>
              <w:spacing w:before="40" w:after="40"/>
              <w:jc w:val="center"/>
              <w:rPr>
                <w:sz w:val="20"/>
                <w:szCs w:val="20"/>
              </w:rPr>
            </w:pPr>
            <w:r w:rsidRPr="001817C7">
              <w:rPr>
                <w:rFonts w:cs="Arial"/>
                <w:sz w:val="20"/>
                <w:szCs w:val="20"/>
              </w:rPr>
              <w:t>0.67</w:t>
            </w:r>
          </w:p>
        </w:tc>
        <w:tc>
          <w:tcPr>
            <w:tcW w:w="753" w:type="dxa"/>
            <w:tcBorders>
              <w:left w:val="double" w:sz="4" w:space="0" w:color="auto"/>
            </w:tcBorders>
            <w:vAlign w:val="center"/>
          </w:tcPr>
          <w:p w14:paraId="57973698" w14:textId="77777777" w:rsidR="00300C42" w:rsidRPr="001817C7" w:rsidRDefault="00300C42">
            <w:pPr>
              <w:spacing w:before="40" w:after="40"/>
              <w:jc w:val="center"/>
              <w:rPr>
                <w:sz w:val="20"/>
                <w:szCs w:val="20"/>
              </w:rPr>
            </w:pPr>
            <w:r w:rsidRPr="001817C7">
              <w:rPr>
                <w:rFonts w:cs="Arial"/>
                <w:sz w:val="20"/>
                <w:szCs w:val="20"/>
              </w:rPr>
              <w:t>64</w:t>
            </w:r>
          </w:p>
        </w:tc>
        <w:tc>
          <w:tcPr>
            <w:tcW w:w="753" w:type="dxa"/>
            <w:vAlign w:val="center"/>
          </w:tcPr>
          <w:p w14:paraId="5F165AA2"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right w:val="double" w:sz="4" w:space="0" w:color="auto"/>
            </w:tcBorders>
            <w:vAlign w:val="center"/>
          </w:tcPr>
          <w:p w14:paraId="779FD2EA" w14:textId="77777777" w:rsidR="00300C42" w:rsidRPr="001817C7" w:rsidRDefault="00300C42">
            <w:pPr>
              <w:spacing w:before="40" w:after="40"/>
              <w:jc w:val="center"/>
              <w:rPr>
                <w:sz w:val="20"/>
                <w:szCs w:val="20"/>
              </w:rPr>
            </w:pPr>
            <w:r w:rsidRPr="001817C7">
              <w:rPr>
                <w:rFonts w:cs="Arial"/>
                <w:sz w:val="20"/>
                <w:szCs w:val="20"/>
              </w:rPr>
              <w:t>0.83</w:t>
            </w:r>
          </w:p>
        </w:tc>
        <w:tc>
          <w:tcPr>
            <w:tcW w:w="752" w:type="dxa"/>
            <w:tcBorders>
              <w:right w:val="single" w:sz="4" w:space="0" w:color="auto"/>
            </w:tcBorders>
            <w:vAlign w:val="center"/>
          </w:tcPr>
          <w:p w14:paraId="496B4196"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left w:val="single" w:sz="4" w:space="0" w:color="auto"/>
              <w:right w:val="single" w:sz="4" w:space="0" w:color="auto"/>
            </w:tcBorders>
            <w:vAlign w:val="center"/>
          </w:tcPr>
          <w:p w14:paraId="32BFE498" w14:textId="77777777" w:rsidR="00300C42" w:rsidRPr="001817C7" w:rsidRDefault="00300C42">
            <w:pPr>
              <w:spacing w:before="40" w:after="40"/>
              <w:jc w:val="center"/>
              <w:rPr>
                <w:sz w:val="20"/>
                <w:szCs w:val="20"/>
              </w:rPr>
            </w:pPr>
            <w:r w:rsidRPr="001817C7">
              <w:rPr>
                <w:rFonts w:cs="Arial"/>
                <w:sz w:val="20"/>
                <w:szCs w:val="20"/>
              </w:rPr>
              <w:t>64</w:t>
            </w:r>
          </w:p>
        </w:tc>
        <w:tc>
          <w:tcPr>
            <w:tcW w:w="754" w:type="dxa"/>
            <w:tcBorders>
              <w:left w:val="single" w:sz="4" w:space="0" w:color="auto"/>
              <w:right w:val="double" w:sz="4" w:space="0" w:color="auto"/>
            </w:tcBorders>
            <w:vAlign w:val="center"/>
          </w:tcPr>
          <w:p w14:paraId="06B1718A" w14:textId="77777777" w:rsidR="00300C42" w:rsidRPr="001817C7" w:rsidRDefault="00300C42">
            <w:pPr>
              <w:spacing w:before="40" w:after="40"/>
              <w:jc w:val="center"/>
              <w:rPr>
                <w:sz w:val="20"/>
                <w:szCs w:val="20"/>
              </w:rPr>
            </w:pPr>
            <w:r w:rsidRPr="001817C7">
              <w:rPr>
                <w:sz w:val="20"/>
                <w:szCs w:val="20"/>
              </w:rPr>
              <w:t>0.88</w:t>
            </w:r>
          </w:p>
        </w:tc>
        <w:tc>
          <w:tcPr>
            <w:tcW w:w="753" w:type="dxa"/>
            <w:tcBorders>
              <w:left w:val="double" w:sz="4" w:space="0" w:color="auto"/>
            </w:tcBorders>
            <w:vAlign w:val="center"/>
          </w:tcPr>
          <w:p w14:paraId="605D7833" w14:textId="77777777" w:rsidR="00300C42" w:rsidRPr="001817C7" w:rsidRDefault="00300C42">
            <w:pPr>
              <w:spacing w:before="40" w:after="40"/>
              <w:jc w:val="center"/>
              <w:rPr>
                <w:sz w:val="20"/>
                <w:szCs w:val="20"/>
              </w:rPr>
            </w:pPr>
          </w:p>
        </w:tc>
        <w:tc>
          <w:tcPr>
            <w:tcW w:w="753" w:type="dxa"/>
            <w:vAlign w:val="center"/>
          </w:tcPr>
          <w:p w14:paraId="7CD917C9" w14:textId="77777777" w:rsidR="00300C42" w:rsidRPr="001817C7" w:rsidRDefault="00300C42">
            <w:pPr>
              <w:spacing w:before="40" w:after="40"/>
              <w:jc w:val="center"/>
              <w:rPr>
                <w:sz w:val="20"/>
                <w:szCs w:val="20"/>
              </w:rPr>
            </w:pPr>
          </w:p>
        </w:tc>
        <w:tc>
          <w:tcPr>
            <w:tcW w:w="754" w:type="dxa"/>
            <w:vAlign w:val="center"/>
          </w:tcPr>
          <w:p w14:paraId="2F72835D" w14:textId="77777777" w:rsidR="00300C42" w:rsidRPr="001817C7" w:rsidRDefault="00300C42">
            <w:pPr>
              <w:spacing w:before="40" w:after="40"/>
              <w:jc w:val="center"/>
              <w:rPr>
                <w:sz w:val="20"/>
                <w:szCs w:val="20"/>
              </w:rPr>
            </w:pPr>
            <w:r w:rsidRPr="001817C7">
              <w:rPr>
                <w:rFonts w:cs="Arial"/>
                <w:sz w:val="20"/>
                <w:szCs w:val="20"/>
              </w:rPr>
              <w:t> </w:t>
            </w:r>
          </w:p>
        </w:tc>
      </w:tr>
      <w:tr w:rsidR="001817C7" w:rsidRPr="001817C7" w14:paraId="091BF3E9" w14:textId="77777777">
        <w:tc>
          <w:tcPr>
            <w:tcW w:w="928" w:type="dxa"/>
            <w:vMerge/>
            <w:tcBorders>
              <w:bottom w:val="double" w:sz="4" w:space="0" w:color="auto"/>
              <w:right w:val="double" w:sz="4" w:space="0" w:color="auto"/>
            </w:tcBorders>
            <w:vAlign w:val="center"/>
          </w:tcPr>
          <w:p w14:paraId="760AEF28"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tcPr>
          <w:p w14:paraId="1C85C958" w14:textId="77777777" w:rsidR="00300C42" w:rsidRPr="001817C7" w:rsidRDefault="00300C42">
            <w:pPr>
              <w:spacing w:before="40" w:after="40"/>
              <w:jc w:val="center"/>
              <w:rPr>
                <w:sz w:val="20"/>
                <w:szCs w:val="20"/>
              </w:rPr>
            </w:pPr>
            <w:r w:rsidRPr="001817C7">
              <w:rPr>
                <w:rFonts w:cs="Arial"/>
                <w:sz w:val="20"/>
                <w:szCs w:val="20"/>
              </w:rPr>
              <w:t>32</w:t>
            </w:r>
          </w:p>
        </w:tc>
        <w:tc>
          <w:tcPr>
            <w:tcW w:w="752" w:type="dxa"/>
            <w:tcBorders>
              <w:bottom w:val="double" w:sz="4" w:space="0" w:color="auto"/>
            </w:tcBorders>
          </w:tcPr>
          <w:p w14:paraId="5389F987"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bottom w:val="double" w:sz="4" w:space="0" w:color="auto"/>
              <w:right w:val="double" w:sz="4" w:space="0" w:color="auto"/>
            </w:tcBorders>
            <w:vAlign w:val="center"/>
          </w:tcPr>
          <w:p w14:paraId="6F369199" w14:textId="77777777" w:rsidR="00300C42" w:rsidRPr="001817C7" w:rsidRDefault="00300C42">
            <w:pPr>
              <w:spacing w:before="40" w:after="40"/>
              <w:jc w:val="center"/>
              <w:rPr>
                <w:sz w:val="20"/>
                <w:szCs w:val="20"/>
              </w:rPr>
            </w:pPr>
            <w:r w:rsidRPr="001817C7">
              <w:rPr>
                <w:rFonts w:cs="Arial"/>
                <w:sz w:val="20"/>
                <w:szCs w:val="20"/>
              </w:rPr>
              <w:t>1.60</w:t>
            </w:r>
          </w:p>
        </w:tc>
        <w:tc>
          <w:tcPr>
            <w:tcW w:w="753" w:type="dxa"/>
            <w:tcBorders>
              <w:left w:val="double" w:sz="4" w:space="0" w:color="auto"/>
              <w:bottom w:val="double" w:sz="4" w:space="0" w:color="auto"/>
            </w:tcBorders>
            <w:vAlign w:val="center"/>
          </w:tcPr>
          <w:p w14:paraId="1B7C8775"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13654423"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2EF3A1C5" w14:textId="77777777" w:rsidR="00300C42" w:rsidRPr="001817C7" w:rsidRDefault="00300C42">
            <w:pPr>
              <w:spacing w:before="40" w:after="40"/>
              <w:jc w:val="center"/>
              <w:rPr>
                <w:sz w:val="20"/>
                <w:szCs w:val="20"/>
              </w:rPr>
            </w:pPr>
            <w:r w:rsidRPr="001817C7">
              <w:rPr>
                <w:rFonts w:cs="Arial"/>
                <w:sz w:val="20"/>
                <w:szCs w:val="20"/>
              </w:rPr>
              <w:t> </w:t>
            </w:r>
          </w:p>
        </w:tc>
        <w:tc>
          <w:tcPr>
            <w:tcW w:w="752" w:type="dxa"/>
            <w:tcBorders>
              <w:bottom w:val="double" w:sz="4" w:space="0" w:color="auto"/>
              <w:right w:val="single" w:sz="4" w:space="0" w:color="auto"/>
            </w:tcBorders>
            <w:vAlign w:val="center"/>
          </w:tcPr>
          <w:p w14:paraId="5391DF1A" w14:textId="77777777" w:rsidR="00300C42" w:rsidRPr="001817C7" w:rsidRDefault="00300C42">
            <w:pPr>
              <w:spacing w:before="40" w:after="40"/>
              <w:jc w:val="center"/>
              <w:rPr>
                <w:sz w:val="20"/>
                <w:szCs w:val="20"/>
              </w:rPr>
            </w:pPr>
          </w:p>
        </w:tc>
        <w:tc>
          <w:tcPr>
            <w:tcW w:w="753" w:type="dxa"/>
            <w:tcBorders>
              <w:left w:val="single" w:sz="4" w:space="0" w:color="auto"/>
              <w:bottom w:val="double" w:sz="4" w:space="0" w:color="auto"/>
              <w:right w:val="single" w:sz="4" w:space="0" w:color="auto"/>
            </w:tcBorders>
            <w:vAlign w:val="center"/>
          </w:tcPr>
          <w:p w14:paraId="1E28CECD" w14:textId="77777777" w:rsidR="00300C42" w:rsidRPr="001817C7" w:rsidRDefault="00300C42">
            <w:pPr>
              <w:spacing w:before="40" w:after="40"/>
              <w:jc w:val="center"/>
              <w:rPr>
                <w:sz w:val="20"/>
                <w:szCs w:val="20"/>
              </w:rPr>
            </w:pPr>
          </w:p>
        </w:tc>
        <w:tc>
          <w:tcPr>
            <w:tcW w:w="754" w:type="dxa"/>
            <w:tcBorders>
              <w:left w:val="single" w:sz="4" w:space="0" w:color="auto"/>
              <w:bottom w:val="double" w:sz="4" w:space="0" w:color="auto"/>
              <w:right w:val="double" w:sz="4" w:space="0" w:color="auto"/>
            </w:tcBorders>
            <w:vAlign w:val="center"/>
          </w:tcPr>
          <w:p w14:paraId="1E924699" w14:textId="77777777" w:rsidR="00300C42" w:rsidRPr="001817C7" w:rsidRDefault="00300C42">
            <w:pPr>
              <w:spacing w:before="40" w:after="40"/>
              <w:jc w:val="center"/>
              <w:rPr>
                <w:sz w:val="20"/>
                <w:szCs w:val="20"/>
              </w:rPr>
            </w:pPr>
            <w:r w:rsidRPr="001817C7">
              <w:rPr>
                <w:rFonts w:cs="Arial"/>
                <w:sz w:val="20"/>
                <w:szCs w:val="20"/>
              </w:rPr>
              <w:t> </w:t>
            </w:r>
          </w:p>
        </w:tc>
        <w:tc>
          <w:tcPr>
            <w:tcW w:w="753" w:type="dxa"/>
            <w:tcBorders>
              <w:left w:val="double" w:sz="4" w:space="0" w:color="auto"/>
              <w:bottom w:val="double" w:sz="4" w:space="0" w:color="auto"/>
            </w:tcBorders>
            <w:vAlign w:val="center"/>
          </w:tcPr>
          <w:p w14:paraId="6CAB10EE"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79B560E2" w14:textId="77777777" w:rsidR="00300C42" w:rsidRPr="001817C7" w:rsidRDefault="00300C42">
            <w:pPr>
              <w:spacing w:before="40" w:after="40"/>
              <w:jc w:val="center"/>
              <w:rPr>
                <w:sz w:val="20"/>
                <w:szCs w:val="20"/>
              </w:rPr>
            </w:pPr>
          </w:p>
        </w:tc>
        <w:tc>
          <w:tcPr>
            <w:tcW w:w="754" w:type="dxa"/>
            <w:tcBorders>
              <w:bottom w:val="double" w:sz="4" w:space="0" w:color="auto"/>
            </w:tcBorders>
            <w:vAlign w:val="center"/>
          </w:tcPr>
          <w:p w14:paraId="3E52C9FE" w14:textId="77777777" w:rsidR="00300C42" w:rsidRPr="001817C7" w:rsidRDefault="00300C42">
            <w:pPr>
              <w:spacing w:before="40" w:after="40"/>
              <w:jc w:val="center"/>
              <w:rPr>
                <w:sz w:val="20"/>
                <w:szCs w:val="20"/>
              </w:rPr>
            </w:pPr>
            <w:r w:rsidRPr="001817C7">
              <w:rPr>
                <w:rFonts w:cs="Arial"/>
                <w:sz w:val="20"/>
                <w:szCs w:val="20"/>
              </w:rPr>
              <w:t> </w:t>
            </w:r>
          </w:p>
        </w:tc>
      </w:tr>
      <w:tr w:rsidR="001817C7" w:rsidRPr="001817C7" w14:paraId="6D294B57" w14:textId="77777777">
        <w:tc>
          <w:tcPr>
            <w:tcW w:w="928" w:type="dxa"/>
            <w:vMerge w:val="restart"/>
            <w:tcBorders>
              <w:top w:val="double" w:sz="4" w:space="0" w:color="auto"/>
              <w:right w:val="double" w:sz="4" w:space="0" w:color="auto"/>
            </w:tcBorders>
            <w:vAlign w:val="center"/>
          </w:tcPr>
          <w:p w14:paraId="1068F4EF" w14:textId="77777777" w:rsidR="00300C42" w:rsidRPr="001817C7" w:rsidRDefault="00300C42">
            <w:pPr>
              <w:spacing w:before="40" w:after="40"/>
              <w:jc w:val="center"/>
              <w:rPr>
                <w:sz w:val="20"/>
                <w:szCs w:val="20"/>
              </w:rPr>
            </w:pPr>
            <w:r w:rsidRPr="001817C7">
              <w:rPr>
                <w:sz w:val="20"/>
                <w:szCs w:val="20"/>
              </w:rPr>
              <w:t>64</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25892CA6"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tcBorders>
            <w:vAlign w:val="center"/>
          </w:tcPr>
          <w:p w14:paraId="1A829C25"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top w:val="double" w:sz="4" w:space="0" w:color="auto"/>
              <w:right w:val="double" w:sz="4" w:space="0" w:color="auto"/>
            </w:tcBorders>
            <w:vAlign w:val="center"/>
          </w:tcPr>
          <w:p w14:paraId="1FAD07FE" w14:textId="77777777" w:rsidR="00300C42" w:rsidRPr="001817C7" w:rsidRDefault="00300C42">
            <w:pPr>
              <w:spacing w:before="40" w:after="40"/>
              <w:jc w:val="center"/>
              <w:rPr>
                <w:sz w:val="20"/>
                <w:szCs w:val="20"/>
              </w:rPr>
            </w:pPr>
            <w:r w:rsidRPr="001817C7">
              <w:rPr>
                <w:rFonts w:cs="Arial"/>
                <w:sz w:val="20"/>
                <w:szCs w:val="20"/>
              </w:rPr>
              <w:t>0.68</w:t>
            </w:r>
          </w:p>
        </w:tc>
        <w:tc>
          <w:tcPr>
            <w:tcW w:w="753" w:type="dxa"/>
            <w:tcBorders>
              <w:top w:val="double" w:sz="4" w:space="0" w:color="auto"/>
              <w:left w:val="double" w:sz="4" w:space="0" w:color="auto"/>
            </w:tcBorders>
            <w:vAlign w:val="center"/>
          </w:tcPr>
          <w:p w14:paraId="4C1858DD"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5D15FBF6"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top w:val="double" w:sz="4" w:space="0" w:color="auto"/>
              <w:right w:val="double" w:sz="4" w:space="0" w:color="auto"/>
            </w:tcBorders>
            <w:vAlign w:val="center"/>
          </w:tcPr>
          <w:p w14:paraId="2F6FF8DD" w14:textId="77777777" w:rsidR="00300C42" w:rsidRPr="001817C7" w:rsidRDefault="00300C42">
            <w:pPr>
              <w:spacing w:before="40" w:after="40"/>
              <w:jc w:val="center"/>
              <w:rPr>
                <w:sz w:val="20"/>
                <w:szCs w:val="20"/>
              </w:rPr>
            </w:pPr>
            <w:r w:rsidRPr="001817C7">
              <w:rPr>
                <w:rFonts w:cs="Arial"/>
                <w:sz w:val="20"/>
                <w:szCs w:val="20"/>
              </w:rPr>
              <w:t>0.66</w:t>
            </w:r>
          </w:p>
        </w:tc>
        <w:tc>
          <w:tcPr>
            <w:tcW w:w="752" w:type="dxa"/>
            <w:tcBorders>
              <w:top w:val="double" w:sz="4" w:space="0" w:color="auto"/>
              <w:right w:val="single" w:sz="4" w:space="0" w:color="auto"/>
            </w:tcBorders>
            <w:vAlign w:val="center"/>
          </w:tcPr>
          <w:p w14:paraId="75AB10B8"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3EAD6C43" w14:textId="77777777" w:rsidR="00300C42" w:rsidRPr="001817C7" w:rsidRDefault="00300C42">
            <w:pPr>
              <w:spacing w:before="40" w:after="40"/>
              <w:jc w:val="center"/>
              <w:rPr>
                <w:rFonts w:cs="Arial"/>
                <w:sz w:val="20"/>
                <w:szCs w:val="20"/>
              </w:rPr>
            </w:pPr>
            <w:r w:rsidRPr="001817C7">
              <w:rPr>
                <w:rFonts w:cs="Arial"/>
                <w:sz w:val="20"/>
                <w:szCs w:val="20"/>
              </w:rPr>
              <w:t>32</w:t>
            </w:r>
          </w:p>
        </w:tc>
        <w:tc>
          <w:tcPr>
            <w:tcW w:w="754" w:type="dxa"/>
            <w:tcBorders>
              <w:top w:val="double" w:sz="4" w:space="0" w:color="auto"/>
              <w:left w:val="single" w:sz="4" w:space="0" w:color="auto"/>
              <w:right w:val="double" w:sz="4" w:space="0" w:color="auto"/>
            </w:tcBorders>
            <w:vAlign w:val="center"/>
          </w:tcPr>
          <w:p w14:paraId="1E1F2547" w14:textId="77777777" w:rsidR="00300C42" w:rsidRPr="001817C7" w:rsidRDefault="00300C42">
            <w:pPr>
              <w:spacing w:before="40" w:after="40"/>
              <w:jc w:val="center"/>
              <w:rPr>
                <w:rFonts w:cs="Arial"/>
                <w:sz w:val="20"/>
                <w:szCs w:val="20"/>
              </w:rPr>
            </w:pPr>
            <w:r w:rsidRPr="001817C7">
              <w:rPr>
                <w:sz w:val="20"/>
                <w:szCs w:val="20"/>
              </w:rPr>
              <w:t>0.68</w:t>
            </w:r>
          </w:p>
        </w:tc>
        <w:tc>
          <w:tcPr>
            <w:tcW w:w="753" w:type="dxa"/>
            <w:tcBorders>
              <w:top w:val="double" w:sz="4" w:space="0" w:color="auto"/>
              <w:left w:val="double" w:sz="4" w:space="0" w:color="auto"/>
            </w:tcBorders>
            <w:vAlign w:val="center"/>
          </w:tcPr>
          <w:p w14:paraId="2BE5CD97"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2A0CE78F" w14:textId="77777777" w:rsidR="00300C42" w:rsidRPr="001817C7" w:rsidRDefault="00300C42">
            <w:pPr>
              <w:spacing w:before="40" w:after="40"/>
              <w:jc w:val="center"/>
              <w:rPr>
                <w:sz w:val="20"/>
                <w:szCs w:val="20"/>
              </w:rPr>
            </w:pPr>
            <w:r w:rsidRPr="001817C7">
              <w:rPr>
                <w:rFonts w:cs="Arial"/>
                <w:sz w:val="20"/>
                <w:szCs w:val="20"/>
              </w:rPr>
              <w:t>64</w:t>
            </w:r>
          </w:p>
        </w:tc>
        <w:tc>
          <w:tcPr>
            <w:tcW w:w="754" w:type="dxa"/>
            <w:tcBorders>
              <w:top w:val="double" w:sz="4" w:space="0" w:color="auto"/>
            </w:tcBorders>
            <w:vAlign w:val="center"/>
          </w:tcPr>
          <w:p w14:paraId="4C1C1A49" w14:textId="77777777" w:rsidR="00300C42" w:rsidRPr="001817C7" w:rsidRDefault="00300C42">
            <w:pPr>
              <w:spacing w:before="40" w:after="40"/>
              <w:jc w:val="center"/>
              <w:rPr>
                <w:sz w:val="20"/>
                <w:szCs w:val="20"/>
              </w:rPr>
            </w:pPr>
            <w:r w:rsidRPr="001817C7">
              <w:rPr>
                <w:rFonts w:cs="Arial"/>
                <w:sz w:val="20"/>
                <w:szCs w:val="20"/>
              </w:rPr>
              <w:t>0.52</w:t>
            </w:r>
          </w:p>
        </w:tc>
      </w:tr>
      <w:tr w:rsidR="001817C7" w:rsidRPr="001817C7" w14:paraId="70B6EB00" w14:textId="77777777">
        <w:tc>
          <w:tcPr>
            <w:tcW w:w="928" w:type="dxa"/>
            <w:vMerge/>
            <w:tcBorders>
              <w:right w:val="double" w:sz="4" w:space="0" w:color="auto"/>
            </w:tcBorders>
            <w:vAlign w:val="center"/>
          </w:tcPr>
          <w:p w14:paraId="643C4D3A"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786B9763" w14:textId="77777777" w:rsidR="00300C42" w:rsidRPr="001817C7" w:rsidRDefault="00300C42">
            <w:pPr>
              <w:spacing w:before="40" w:after="40"/>
              <w:jc w:val="center"/>
              <w:rPr>
                <w:sz w:val="20"/>
                <w:szCs w:val="20"/>
              </w:rPr>
            </w:pPr>
            <w:r w:rsidRPr="001817C7">
              <w:rPr>
                <w:rFonts w:cs="Arial"/>
                <w:sz w:val="20"/>
                <w:szCs w:val="20"/>
              </w:rPr>
              <w:t>128</w:t>
            </w:r>
          </w:p>
        </w:tc>
        <w:tc>
          <w:tcPr>
            <w:tcW w:w="752" w:type="dxa"/>
            <w:vAlign w:val="center"/>
          </w:tcPr>
          <w:p w14:paraId="529BB1B1"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right w:val="double" w:sz="4" w:space="0" w:color="auto"/>
            </w:tcBorders>
            <w:vAlign w:val="center"/>
          </w:tcPr>
          <w:p w14:paraId="39FCAF8A" w14:textId="77777777" w:rsidR="00300C42" w:rsidRPr="001817C7" w:rsidRDefault="00300C42">
            <w:pPr>
              <w:spacing w:before="40" w:after="40"/>
              <w:jc w:val="center"/>
              <w:rPr>
                <w:sz w:val="20"/>
                <w:szCs w:val="20"/>
              </w:rPr>
            </w:pPr>
            <w:r w:rsidRPr="001817C7">
              <w:rPr>
                <w:rFonts w:cs="Arial"/>
                <w:sz w:val="20"/>
                <w:szCs w:val="20"/>
              </w:rPr>
              <w:t>0.64</w:t>
            </w:r>
          </w:p>
        </w:tc>
        <w:tc>
          <w:tcPr>
            <w:tcW w:w="753" w:type="dxa"/>
            <w:tcBorders>
              <w:left w:val="double" w:sz="4" w:space="0" w:color="auto"/>
            </w:tcBorders>
            <w:vAlign w:val="center"/>
          </w:tcPr>
          <w:p w14:paraId="2DE70B9D"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13B54EA5"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right w:val="double" w:sz="4" w:space="0" w:color="auto"/>
            </w:tcBorders>
            <w:vAlign w:val="center"/>
          </w:tcPr>
          <w:p w14:paraId="2D96C3CB" w14:textId="77777777" w:rsidR="00300C42" w:rsidRPr="001817C7" w:rsidRDefault="00300C42">
            <w:pPr>
              <w:spacing w:before="40" w:after="40"/>
              <w:jc w:val="center"/>
              <w:rPr>
                <w:sz w:val="20"/>
                <w:szCs w:val="20"/>
              </w:rPr>
            </w:pPr>
            <w:r w:rsidRPr="001817C7">
              <w:rPr>
                <w:rFonts w:cs="Arial"/>
                <w:sz w:val="20"/>
                <w:szCs w:val="20"/>
              </w:rPr>
              <w:t>0.69</w:t>
            </w:r>
          </w:p>
        </w:tc>
        <w:tc>
          <w:tcPr>
            <w:tcW w:w="752" w:type="dxa"/>
            <w:tcBorders>
              <w:right w:val="single" w:sz="4" w:space="0" w:color="auto"/>
            </w:tcBorders>
            <w:vAlign w:val="center"/>
          </w:tcPr>
          <w:p w14:paraId="0BE210E6" w14:textId="77777777" w:rsidR="00300C42" w:rsidRPr="001817C7" w:rsidRDefault="00300C42">
            <w:pPr>
              <w:spacing w:before="40" w:after="40"/>
              <w:jc w:val="center"/>
              <w:rPr>
                <w:rFonts w:cs="Arial"/>
                <w:sz w:val="20"/>
                <w:szCs w:val="20"/>
              </w:rPr>
            </w:pPr>
            <w:r w:rsidRPr="001817C7">
              <w:rPr>
                <w:rFonts w:cs="Arial"/>
                <w:sz w:val="20"/>
                <w:szCs w:val="20"/>
              </w:rPr>
              <w:t>128</w:t>
            </w:r>
          </w:p>
        </w:tc>
        <w:tc>
          <w:tcPr>
            <w:tcW w:w="753" w:type="dxa"/>
            <w:tcBorders>
              <w:left w:val="single" w:sz="4" w:space="0" w:color="auto"/>
              <w:right w:val="single" w:sz="4" w:space="0" w:color="auto"/>
            </w:tcBorders>
            <w:vAlign w:val="center"/>
          </w:tcPr>
          <w:p w14:paraId="7AAF0C56" w14:textId="77777777" w:rsidR="00300C42" w:rsidRPr="001817C7" w:rsidRDefault="00300C42">
            <w:pPr>
              <w:spacing w:before="40" w:after="40"/>
              <w:jc w:val="center"/>
              <w:rPr>
                <w:rFonts w:cs="Arial"/>
                <w:sz w:val="20"/>
                <w:szCs w:val="20"/>
              </w:rPr>
            </w:pPr>
            <w:r w:rsidRPr="001817C7">
              <w:rPr>
                <w:rFonts w:cs="Arial"/>
                <w:sz w:val="20"/>
                <w:szCs w:val="20"/>
              </w:rPr>
              <w:t>32</w:t>
            </w:r>
          </w:p>
        </w:tc>
        <w:tc>
          <w:tcPr>
            <w:tcW w:w="754" w:type="dxa"/>
            <w:tcBorders>
              <w:left w:val="single" w:sz="4" w:space="0" w:color="auto"/>
              <w:right w:val="double" w:sz="4" w:space="0" w:color="auto"/>
            </w:tcBorders>
            <w:vAlign w:val="center"/>
          </w:tcPr>
          <w:p w14:paraId="287935B5" w14:textId="77777777" w:rsidR="00300C42" w:rsidRPr="001817C7" w:rsidRDefault="00300C42">
            <w:pPr>
              <w:spacing w:before="40" w:after="40"/>
              <w:jc w:val="center"/>
              <w:rPr>
                <w:rFonts w:cs="Arial"/>
                <w:sz w:val="20"/>
                <w:szCs w:val="20"/>
              </w:rPr>
            </w:pPr>
            <w:r w:rsidRPr="001817C7">
              <w:rPr>
                <w:sz w:val="20"/>
                <w:szCs w:val="20"/>
              </w:rPr>
              <w:t>0.70</w:t>
            </w:r>
          </w:p>
        </w:tc>
        <w:tc>
          <w:tcPr>
            <w:tcW w:w="753" w:type="dxa"/>
            <w:tcBorders>
              <w:left w:val="double" w:sz="4" w:space="0" w:color="auto"/>
            </w:tcBorders>
            <w:vAlign w:val="center"/>
          </w:tcPr>
          <w:p w14:paraId="4D0E1AF9"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312DA178" w14:textId="77777777" w:rsidR="00300C42" w:rsidRPr="001817C7" w:rsidRDefault="00300C42">
            <w:pPr>
              <w:spacing w:before="40" w:after="40"/>
              <w:jc w:val="center"/>
              <w:rPr>
                <w:sz w:val="20"/>
                <w:szCs w:val="20"/>
              </w:rPr>
            </w:pPr>
            <w:r w:rsidRPr="001817C7">
              <w:rPr>
                <w:rFonts w:cs="Arial"/>
                <w:sz w:val="20"/>
                <w:szCs w:val="20"/>
              </w:rPr>
              <w:t>64</w:t>
            </w:r>
          </w:p>
        </w:tc>
        <w:tc>
          <w:tcPr>
            <w:tcW w:w="754" w:type="dxa"/>
            <w:vAlign w:val="center"/>
          </w:tcPr>
          <w:p w14:paraId="3E98385C" w14:textId="77777777" w:rsidR="00300C42" w:rsidRPr="001817C7" w:rsidRDefault="00300C42">
            <w:pPr>
              <w:spacing w:before="40" w:after="40"/>
              <w:jc w:val="center"/>
              <w:rPr>
                <w:sz w:val="20"/>
                <w:szCs w:val="20"/>
              </w:rPr>
            </w:pPr>
            <w:r w:rsidRPr="001817C7">
              <w:rPr>
                <w:rFonts w:cs="Arial"/>
                <w:sz w:val="20"/>
                <w:szCs w:val="20"/>
              </w:rPr>
              <w:t>0.57</w:t>
            </w:r>
          </w:p>
        </w:tc>
      </w:tr>
      <w:tr w:rsidR="001817C7" w:rsidRPr="001817C7" w14:paraId="521971E8" w14:textId="77777777">
        <w:tc>
          <w:tcPr>
            <w:tcW w:w="928" w:type="dxa"/>
            <w:vMerge/>
            <w:tcBorders>
              <w:right w:val="double" w:sz="4" w:space="0" w:color="auto"/>
            </w:tcBorders>
            <w:vAlign w:val="center"/>
          </w:tcPr>
          <w:p w14:paraId="34624714"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394D8948" w14:textId="77777777" w:rsidR="00300C42" w:rsidRPr="001817C7" w:rsidRDefault="00300C42">
            <w:pPr>
              <w:spacing w:before="40" w:after="40"/>
              <w:jc w:val="center"/>
              <w:rPr>
                <w:sz w:val="20"/>
                <w:szCs w:val="20"/>
              </w:rPr>
            </w:pPr>
            <w:r w:rsidRPr="001817C7">
              <w:rPr>
                <w:rFonts w:cs="Arial"/>
                <w:sz w:val="20"/>
                <w:szCs w:val="20"/>
              </w:rPr>
              <w:t>64</w:t>
            </w:r>
          </w:p>
        </w:tc>
        <w:tc>
          <w:tcPr>
            <w:tcW w:w="752" w:type="dxa"/>
            <w:vAlign w:val="center"/>
          </w:tcPr>
          <w:p w14:paraId="6E985FC7"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right w:val="double" w:sz="4" w:space="0" w:color="auto"/>
            </w:tcBorders>
            <w:vAlign w:val="center"/>
          </w:tcPr>
          <w:p w14:paraId="669F4037" w14:textId="77777777" w:rsidR="00300C42" w:rsidRPr="001817C7" w:rsidRDefault="00300C42">
            <w:pPr>
              <w:spacing w:before="40" w:after="40"/>
              <w:jc w:val="center"/>
              <w:rPr>
                <w:sz w:val="20"/>
                <w:szCs w:val="20"/>
              </w:rPr>
            </w:pPr>
            <w:r w:rsidRPr="001817C7">
              <w:rPr>
                <w:rFonts w:cs="Arial"/>
                <w:sz w:val="20"/>
                <w:szCs w:val="20"/>
              </w:rPr>
              <w:t>0.70</w:t>
            </w:r>
          </w:p>
        </w:tc>
        <w:tc>
          <w:tcPr>
            <w:tcW w:w="753" w:type="dxa"/>
            <w:tcBorders>
              <w:left w:val="double" w:sz="4" w:space="0" w:color="auto"/>
            </w:tcBorders>
            <w:vAlign w:val="center"/>
          </w:tcPr>
          <w:p w14:paraId="066F5F9E" w14:textId="77777777" w:rsidR="00300C42" w:rsidRPr="001817C7" w:rsidRDefault="00300C42">
            <w:pPr>
              <w:spacing w:before="40" w:after="40"/>
              <w:jc w:val="center"/>
              <w:rPr>
                <w:sz w:val="20"/>
                <w:szCs w:val="20"/>
              </w:rPr>
            </w:pPr>
            <w:r w:rsidRPr="001817C7">
              <w:rPr>
                <w:rFonts w:cs="Arial"/>
                <w:sz w:val="20"/>
                <w:szCs w:val="20"/>
              </w:rPr>
              <w:t>64</w:t>
            </w:r>
          </w:p>
        </w:tc>
        <w:tc>
          <w:tcPr>
            <w:tcW w:w="753" w:type="dxa"/>
            <w:vAlign w:val="center"/>
          </w:tcPr>
          <w:p w14:paraId="79B3D782"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right w:val="double" w:sz="4" w:space="0" w:color="auto"/>
            </w:tcBorders>
            <w:vAlign w:val="center"/>
          </w:tcPr>
          <w:p w14:paraId="035F8F64" w14:textId="77777777" w:rsidR="00300C42" w:rsidRPr="001817C7" w:rsidRDefault="00300C42">
            <w:pPr>
              <w:spacing w:before="40" w:after="40"/>
              <w:jc w:val="center"/>
              <w:rPr>
                <w:sz w:val="20"/>
                <w:szCs w:val="20"/>
              </w:rPr>
            </w:pPr>
            <w:r w:rsidRPr="001817C7">
              <w:rPr>
                <w:rFonts w:cs="Arial"/>
                <w:sz w:val="20"/>
                <w:szCs w:val="20"/>
              </w:rPr>
              <w:t>0.84</w:t>
            </w:r>
          </w:p>
        </w:tc>
        <w:tc>
          <w:tcPr>
            <w:tcW w:w="752" w:type="dxa"/>
            <w:tcBorders>
              <w:right w:val="single" w:sz="4" w:space="0" w:color="auto"/>
            </w:tcBorders>
            <w:vAlign w:val="center"/>
          </w:tcPr>
          <w:p w14:paraId="040C97DE"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3" w:type="dxa"/>
            <w:tcBorders>
              <w:left w:val="single" w:sz="4" w:space="0" w:color="auto"/>
              <w:right w:val="single" w:sz="4" w:space="0" w:color="auto"/>
            </w:tcBorders>
            <w:vAlign w:val="center"/>
          </w:tcPr>
          <w:p w14:paraId="722ADD63" w14:textId="77777777" w:rsidR="00300C42" w:rsidRPr="001817C7" w:rsidRDefault="00300C42">
            <w:pPr>
              <w:spacing w:before="40" w:after="40"/>
              <w:jc w:val="center"/>
              <w:rPr>
                <w:rFonts w:cs="Arial"/>
                <w:sz w:val="20"/>
                <w:szCs w:val="20"/>
              </w:rPr>
            </w:pPr>
            <w:r w:rsidRPr="001817C7">
              <w:rPr>
                <w:rFonts w:cs="Arial"/>
                <w:sz w:val="20"/>
                <w:szCs w:val="20"/>
              </w:rPr>
              <w:t>32</w:t>
            </w:r>
          </w:p>
        </w:tc>
        <w:tc>
          <w:tcPr>
            <w:tcW w:w="754" w:type="dxa"/>
            <w:tcBorders>
              <w:left w:val="single" w:sz="4" w:space="0" w:color="auto"/>
              <w:right w:val="double" w:sz="4" w:space="0" w:color="auto"/>
            </w:tcBorders>
            <w:vAlign w:val="center"/>
          </w:tcPr>
          <w:p w14:paraId="717C1294" w14:textId="77777777" w:rsidR="00300C42" w:rsidRPr="001817C7" w:rsidRDefault="00300C42">
            <w:pPr>
              <w:spacing w:before="40" w:after="40"/>
              <w:jc w:val="center"/>
              <w:rPr>
                <w:rFonts w:cs="Arial"/>
                <w:sz w:val="20"/>
                <w:szCs w:val="20"/>
              </w:rPr>
            </w:pPr>
            <w:r w:rsidRPr="001817C7">
              <w:rPr>
                <w:sz w:val="20"/>
                <w:szCs w:val="20"/>
              </w:rPr>
              <w:t>0.84</w:t>
            </w:r>
          </w:p>
        </w:tc>
        <w:tc>
          <w:tcPr>
            <w:tcW w:w="753" w:type="dxa"/>
            <w:tcBorders>
              <w:left w:val="double" w:sz="4" w:space="0" w:color="auto"/>
            </w:tcBorders>
            <w:vAlign w:val="center"/>
          </w:tcPr>
          <w:p w14:paraId="3FE19C18" w14:textId="77777777" w:rsidR="00300C42" w:rsidRPr="001817C7" w:rsidRDefault="00300C42">
            <w:pPr>
              <w:spacing w:before="40" w:after="40"/>
              <w:jc w:val="center"/>
              <w:rPr>
                <w:sz w:val="20"/>
                <w:szCs w:val="20"/>
              </w:rPr>
            </w:pPr>
            <w:r w:rsidRPr="001817C7">
              <w:rPr>
                <w:rFonts w:cs="Arial"/>
                <w:sz w:val="20"/>
                <w:szCs w:val="20"/>
              </w:rPr>
              <w:t>64</w:t>
            </w:r>
          </w:p>
        </w:tc>
        <w:tc>
          <w:tcPr>
            <w:tcW w:w="753" w:type="dxa"/>
            <w:vAlign w:val="center"/>
          </w:tcPr>
          <w:p w14:paraId="4D2E26F3" w14:textId="77777777" w:rsidR="00300C42" w:rsidRPr="001817C7" w:rsidRDefault="00300C42">
            <w:pPr>
              <w:spacing w:before="40" w:after="40"/>
              <w:jc w:val="center"/>
              <w:rPr>
                <w:sz w:val="20"/>
                <w:szCs w:val="20"/>
              </w:rPr>
            </w:pPr>
            <w:r w:rsidRPr="001817C7">
              <w:rPr>
                <w:rFonts w:cs="Arial"/>
                <w:sz w:val="20"/>
                <w:szCs w:val="20"/>
              </w:rPr>
              <w:t>64</w:t>
            </w:r>
          </w:p>
        </w:tc>
        <w:tc>
          <w:tcPr>
            <w:tcW w:w="754" w:type="dxa"/>
            <w:vAlign w:val="center"/>
          </w:tcPr>
          <w:p w14:paraId="7E991722" w14:textId="77777777" w:rsidR="00300C42" w:rsidRPr="001817C7" w:rsidRDefault="00300C42">
            <w:pPr>
              <w:spacing w:before="40" w:after="40"/>
              <w:jc w:val="center"/>
              <w:rPr>
                <w:sz w:val="20"/>
                <w:szCs w:val="20"/>
              </w:rPr>
            </w:pPr>
            <w:r w:rsidRPr="001817C7">
              <w:rPr>
                <w:rFonts w:cs="Arial"/>
                <w:sz w:val="20"/>
                <w:szCs w:val="20"/>
              </w:rPr>
              <w:t>0.71</w:t>
            </w:r>
          </w:p>
        </w:tc>
      </w:tr>
      <w:tr w:rsidR="001817C7" w:rsidRPr="001817C7" w14:paraId="79AC9A8A" w14:textId="77777777">
        <w:tc>
          <w:tcPr>
            <w:tcW w:w="928" w:type="dxa"/>
            <w:vMerge/>
            <w:tcBorders>
              <w:bottom w:val="double" w:sz="4" w:space="0" w:color="auto"/>
              <w:right w:val="double" w:sz="4" w:space="0" w:color="auto"/>
            </w:tcBorders>
            <w:vAlign w:val="center"/>
          </w:tcPr>
          <w:p w14:paraId="3533A32E"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1907E3A5" w14:textId="77777777" w:rsidR="00300C42" w:rsidRPr="001817C7" w:rsidRDefault="00300C42">
            <w:pPr>
              <w:spacing w:before="40" w:after="40"/>
              <w:jc w:val="center"/>
              <w:rPr>
                <w:sz w:val="20"/>
                <w:szCs w:val="20"/>
              </w:rPr>
            </w:pPr>
          </w:p>
        </w:tc>
        <w:tc>
          <w:tcPr>
            <w:tcW w:w="752" w:type="dxa"/>
            <w:tcBorders>
              <w:bottom w:val="double" w:sz="4" w:space="0" w:color="auto"/>
            </w:tcBorders>
            <w:vAlign w:val="center"/>
          </w:tcPr>
          <w:p w14:paraId="5EB4F2CD"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5ED395B6" w14:textId="77777777" w:rsidR="00300C42" w:rsidRPr="001817C7" w:rsidRDefault="00300C42">
            <w:pPr>
              <w:spacing w:before="40" w:after="40"/>
              <w:jc w:val="center"/>
              <w:rPr>
                <w:sz w:val="20"/>
                <w:szCs w:val="20"/>
              </w:rPr>
            </w:pPr>
            <w:r w:rsidRPr="001817C7">
              <w:rPr>
                <w:rFonts w:cs="Arial"/>
                <w:sz w:val="20"/>
                <w:szCs w:val="20"/>
              </w:rPr>
              <w:t> </w:t>
            </w:r>
          </w:p>
        </w:tc>
        <w:tc>
          <w:tcPr>
            <w:tcW w:w="753" w:type="dxa"/>
            <w:tcBorders>
              <w:left w:val="double" w:sz="4" w:space="0" w:color="auto"/>
              <w:bottom w:val="double" w:sz="4" w:space="0" w:color="auto"/>
            </w:tcBorders>
          </w:tcPr>
          <w:p w14:paraId="76234EE4"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bottom w:val="double" w:sz="4" w:space="0" w:color="auto"/>
            </w:tcBorders>
          </w:tcPr>
          <w:p w14:paraId="4396709F"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bottom w:val="double" w:sz="4" w:space="0" w:color="auto"/>
              <w:right w:val="double" w:sz="4" w:space="0" w:color="auto"/>
            </w:tcBorders>
            <w:vAlign w:val="center"/>
          </w:tcPr>
          <w:p w14:paraId="7D6B5DE6" w14:textId="77777777" w:rsidR="00300C42" w:rsidRPr="001817C7" w:rsidRDefault="00300C42">
            <w:pPr>
              <w:spacing w:before="40" w:after="40"/>
              <w:jc w:val="center"/>
              <w:rPr>
                <w:sz w:val="20"/>
                <w:szCs w:val="20"/>
              </w:rPr>
            </w:pPr>
            <w:r w:rsidRPr="001817C7">
              <w:rPr>
                <w:rFonts w:cs="Arial"/>
                <w:sz w:val="20"/>
                <w:szCs w:val="20"/>
              </w:rPr>
              <w:t>1.80</w:t>
            </w:r>
          </w:p>
        </w:tc>
        <w:tc>
          <w:tcPr>
            <w:tcW w:w="752" w:type="dxa"/>
            <w:tcBorders>
              <w:bottom w:val="double" w:sz="4" w:space="0" w:color="auto"/>
              <w:right w:val="single" w:sz="4" w:space="0" w:color="auto"/>
            </w:tcBorders>
          </w:tcPr>
          <w:p w14:paraId="1AFE2E1A" w14:textId="77777777" w:rsidR="00300C42" w:rsidRPr="001817C7" w:rsidRDefault="00300C42">
            <w:pPr>
              <w:spacing w:before="40" w:after="40"/>
              <w:jc w:val="center"/>
              <w:rPr>
                <w:rFonts w:cs="Arial"/>
                <w:sz w:val="20"/>
                <w:szCs w:val="20"/>
              </w:rPr>
            </w:pPr>
            <w:r w:rsidRPr="001817C7">
              <w:rPr>
                <w:rFonts w:cs="Arial"/>
                <w:sz w:val="20"/>
                <w:szCs w:val="20"/>
              </w:rPr>
              <w:t>32</w:t>
            </w:r>
          </w:p>
        </w:tc>
        <w:tc>
          <w:tcPr>
            <w:tcW w:w="753" w:type="dxa"/>
            <w:tcBorders>
              <w:left w:val="single" w:sz="4" w:space="0" w:color="auto"/>
              <w:bottom w:val="double" w:sz="4" w:space="0" w:color="auto"/>
              <w:right w:val="single" w:sz="4" w:space="0" w:color="auto"/>
            </w:tcBorders>
          </w:tcPr>
          <w:p w14:paraId="243B6481" w14:textId="77777777" w:rsidR="00300C42" w:rsidRPr="001817C7" w:rsidRDefault="00300C42">
            <w:pPr>
              <w:spacing w:before="40" w:after="40"/>
              <w:jc w:val="center"/>
              <w:rPr>
                <w:rFonts w:cs="Arial"/>
                <w:sz w:val="20"/>
                <w:szCs w:val="20"/>
              </w:rPr>
            </w:pPr>
            <w:r w:rsidRPr="001817C7">
              <w:rPr>
                <w:rFonts w:cs="Arial"/>
                <w:sz w:val="20"/>
                <w:szCs w:val="20"/>
              </w:rPr>
              <w:t>32</w:t>
            </w:r>
          </w:p>
        </w:tc>
        <w:tc>
          <w:tcPr>
            <w:tcW w:w="754" w:type="dxa"/>
            <w:tcBorders>
              <w:left w:val="single" w:sz="4" w:space="0" w:color="auto"/>
              <w:bottom w:val="double" w:sz="4" w:space="0" w:color="auto"/>
              <w:right w:val="double" w:sz="4" w:space="0" w:color="auto"/>
            </w:tcBorders>
            <w:vAlign w:val="center"/>
          </w:tcPr>
          <w:p w14:paraId="158B602A" w14:textId="77777777" w:rsidR="00300C42" w:rsidRPr="001817C7" w:rsidRDefault="00300C42">
            <w:pPr>
              <w:spacing w:before="40" w:after="40"/>
              <w:jc w:val="center"/>
              <w:rPr>
                <w:rFonts w:cs="Arial"/>
                <w:sz w:val="20"/>
                <w:szCs w:val="20"/>
              </w:rPr>
            </w:pPr>
            <w:r w:rsidRPr="001817C7">
              <w:rPr>
                <w:sz w:val="20"/>
                <w:szCs w:val="20"/>
              </w:rPr>
              <w:t>1.81</w:t>
            </w:r>
          </w:p>
        </w:tc>
        <w:tc>
          <w:tcPr>
            <w:tcW w:w="753" w:type="dxa"/>
            <w:tcBorders>
              <w:left w:val="double" w:sz="4" w:space="0" w:color="auto"/>
              <w:bottom w:val="double" w:sz="4" w:space="0" w:color="auto"/>
            </w:tcBorders>
            <w:vAlign w:val="center"/>
          </w:tcPr>
          <w:p w14:paraId="1EF4E0AF" w14:textId="77777777" w:rsidR="00300C42" w:rsidRPr="001817C7" w:rsidRDefault="00300C42">
            <w:pPr>
              <w:spacing w:before="40" w:after="40"/>
              <w:jc w:val="center"/>
              <w:rPr>
                <w:rFonts w:cs="Arial"/>
                <w:sz w:val="20"/>
                <w:szCs w:val="20"/>
              </w:rPr>
            </w:pPr>
          </w:p>
        </w:tc>
        <w:tc>
          <w:tcPr>
            <w:tcW w:w="753" w:type="dxa"/>
            <w:tcBorders>
              <w:bottom w:val="double" w:sz="4" w:space="0" w:color="auto"/>
            </w:tcBorders>
            <w:vAlign w:val="center"/>
          </w:tcPr>
          <w:p w14:paraId="335C609B" w14:textId="77777777" w:rsidR="00300C42" w:rsidRPr="001817C7" w:rsidRDefault="00300C42">
            <w:pPr>
              <w:spacing w:before="40" w:after="40"/>
              <w:jc w:val="center"/>
              <w:rPr>
                <w:rFonts w:cs="Arial"/>
                <w:sz w:val="20"/>
                <w:szCs w:val="20"/>
              </w:rPr>
            </w:pPr>
          </w:p>
        </w:tc>
        <w:tc>
          <w:tcPr>
            <w:tcW w:w="754" w:type="dxa"/>
            <w:tcBorders>
              <w:bottom w:val="double" w:sz="4" w:space="0" w:color="auto"/>
            </w:tcBorders>
            <w:vAlign w:val="center"/>
          </w:tcPr>
          <w:p w14:paraId="79F2FBA3" w14:textId="77777777" w:rsidR="00300C42" w:rsidRPr="001817C7" w:rsidRDefault="00300C42">
            <w:pPr>
              <w:spacing w:before="40" w:after="40"/>
              <w:jc w:val="center"/>
              <w:rPr>
                <w:sz w:val="20"/>
                <w:szCs w:val="20"/>
              </w:rPr>
            </w:pPr>
            <w:r w:rsidRPr="001817C7">
              <w:rPr>
                <w:rFonts w:cs="Arial"/>
                <w:sz w:val="20"/>
                <w:szCs w:val="20"/>
              </w:rPr>
              <w:t> </w:t>
            </w:r>
          </w:p>
        </w:tc>
      </w:tr>
      <w:tr w:rsidR="001817C7" w:rsidRPr="001817C7" w14:paraId="5656A337" w14:textId="77777777">
        <w:tc>
          <w:tcPr>
            <w:tcW w:w="928" w:type="dxa"/>
            <w:vMerge w:val="restart"/>
            <w:tcBorders>
              <w:top w:val="double" w:sz="4" w:space="0" w:color="auto"/>
              <w:right w:val="double" w:sz="4" w:space="0" w:color="auto"/>
            </w:tcBorders>
            <w:vAlign w:val="center"/>
          </w:tcPr>
          <w:p w14:paraId="6DB1A9EC" w14:textId="77777777" w:rsidR="00300C42" w:rsidRPr="001817C7" w:rsidRDefault="00300C42">
            <w:pPr>
              <w:spacing w:before="40" w:after="40"/>
              <w:jc w:val="center"/>
              <w:rPr>
                <w:sz w:val="20"/>
                <w:szCs w:val="20"/>
              </w:rPr>
            </w:pPr>
            <w:r w:rsidRPr="001817C7">
              <w:rPr>
                <w:sz w:val="20"/>
                <w:szCs w:val="20"/>
              </w:rPr>
              <w:t xml:space="preserve">(36 or 32) </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53D0C46F" w14:textId="77777777" w:rsidR="00300C42" w:rsidRPr="001817C7" w:rsidRDefault="00300C42">
            <w:pPr>
              <w:spacing w:before="40" w:after="40"/>
              <w:jc w:val="center"/>
              <w:rPr>
                <w:sz w:val="20"/>
                <w:szCs w:val="20"/>
              </w:rPr>
            </w:pPr>
            <w:r w:rsidRPr="001817C7">
              <w:rPr>
                <w:rFonts w:cs="Arial"/>
                <w:sz w:val="20"/>
                <w:szCs w:val="20"/>
              </w:rPr>
              <w:t>256</w:t>
            </w:r>
          </w:p>
        </w:tc>
        <w:tc>
          <w:tcPr>
            <w:tcW w:w="752" w:type="dxa"/>
            <w:tcBorders>
              <w:top w:val="double" w:sz="4" w:space="0" w:color="auto"/>
            </w:tcBorders>
            <w:vAlign w:val="center"/>
          </w:tcPr>
          <w:p w14:paraId="0B0CC05A"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top w:val="double" w:sz="4" w:space="0" w:color="auto"/>
              <w:right w:val="double" w:sz="4" w:space="0" w:color="auto"/>
            </w:tcBorders>
            <w:vAlign w:val="center"/>
          </w:tcPr>
          <w:p w14:paraId="033BF100" w14:textId="77777777" w:rsidR="00300C42" w:rsidRPr="001817C7" w:rsidRDefault="00300C42">
            <w:pPr>
              <w:spacing w:before="40" w:after="40"/>
              <w:jc w:val="center"/>
              <w:rPr>
                <w:sz w:val="20"/>
                <w:szCs w:val="20"/>
              </w:rPr>
            </w:pPr>
            <w:r w:rsidRPr="001817C7">
              <w:rPr>
                <w:rFonts w:cs="Arial"/>
                <w:sz w:val="20"/>
                <w:szCs w:val="20"/>
              </w:rPr>
              <w:t>0.82</w:t>
            </w:r>
          </w:p>
        </w:tc>
        <w:tc>
          <w:tcPr>
            <w:tcW w:w="753" w:type="dxa"/>
            <w:tcBorders>
              <w:top w:val="double" w:sz="4" w:space="0" w:color="auto"/>
              <w:left w:val="double" w:sz="4" w:space="0" w:color="auto"/>
            </w:tcBorders>
            <w:vAlign w:val="center"/>
          </w:tcPr>
          <w:p w14:paraId="2D99383C"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6A0F2838"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top w:val="double" w:sz="4" w:space="0" w:color="auto"/>
              <w:right w:val="double" w:sz="4" w:space="0" w:color="auto"/>
            </w:tcBorders>
            <w:vAlign w:val="center"/>
          </w:tcPr>
          <w:p w14:paraId="6286D5B1" w14:textId="77777777" w:rsidR="00300C42" w:rsidRPr="001817C7" w:rsidRDefault="00300C42">
            <w:pPr>
              <w:spacing w:before="40" w:after="40"/>
              <w:jc w:val="center"/>
              <w:rPr>
                <w:sz w:val="20"/>
                <w:szCs w:val="20"/>
              </w:rPr>
            </w:pPr>
            <w:r w:rsidRPr="001817C7">
              <w:rPr>
                <w:rFonts w:cs="Arial"/>
                <w:sz w:val="20"/>
                <w:szCs w:val="20"/>
              </w:rPr>
              <w:t>0.80</w:t>
            </w:r>
          </w:p>
        </w:tc>
        <w:tc>
          <w:tcPr>
            <w:tcW w:w="752" w:type="dxa"/>
            <w:tcBorders>
              <w:top w:val="double" w:sz="4" w:space="0" w:color="auto"/>
              <w:right w:val="single" w:sz="4" w:space="0" w:color="auto"/>
            </w:tcBorders>
            <w:vAlign w:val="center"/>
          </w:tcPr>
          <w:p w14:paraId="69C0CFF9"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24F77A25" w14:textId="77777777" w:rsidR="00300C42" w:rsidRPr="001817C7" w:rsidRDefault="00300C42">
            <w:pPr>
              <w:spacing w:before="40" w:after="40"/>
              <w:jc w:val="center"/>
              <w:rPr>
                <w:rFonts w:cs="Arial"/>
                <w:sz w:val="20"/>
                <w:szCs w:val="20"/>
              </w:rPr>
            </w:pPr>
            <w:r w:rsidRPr="001817C7">
              <w:rPr>
                <w:rFonts w:cs="Arial"/>
                <w:sz w:val="20"/>
                <w:szCs w:val="20"/>
              </w:rPr>
              <w:t>16</w:t>
            </w:r>
          </w:p>
        </w:tc>
        <w:tc>
          <w:tcPr>
            <w:tcW w:w="754" w:type="dxa"/>
            <w:tcBorders>
              <w:top w:val="double" w:sz="4" w:space="0" w:color="auto"/>
              <w:left w:val="single" w:sz="4" w:space="0" w:color="auto"/>
              <w:right w:val="double" w:sz="4" w:space="0" w:color="auto"/>
            </w:tcBorders>
            <w:vAlign w:val="center"/>
          </w:tcPr>
          <w:p w14:paraId="4515AC7E" w14:textId="77777777" w:rsidR="00300C42" w:rsidRPr="001817C7" w:rsidRDefault="00300C42">
            <w:pPr>
              <w:spacing w:before="40" w:after="40"/>
              <w:jc w:val="center"/>
              <w:rPr>
                <w:rFonts w:cs="Arial"/>
                <w:sz w:val="20"/>
                <w:szCs w:val="20"/>
              </w:rPr>
            </w:pPr>
            <w:r w:rsidRPr="001817C7">
              <w:rPr>
                <w:sz w:val="20"/>
                <w:szCs w:val="20"/>
              </w:rPr>
              <w:t>0.85</w:t>
            </w:r>
          </w:p>
        </w:tc>
        <w:tc>
          <w:tcPr>
            <w:tcW w:w="753" w:type="dxa"/>
            <w:tcBorders>
              <w:top w:val="double" w:sz="4" w:space="0" w:color="auto"/>
              <w:left w:val="double" w:sz="4" w:space="0" w:color="auto"/>
            </w:tcBorders>
            <w:vAlign w:val="center"/>
          </w:tcPr>
          <w:p w14:paraId="6B872973"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3B4E0C26" w14:textId="77777777" w:rsidR="00300C42" w:rsidRPr="001817C7" w:rsidRDefault="00300C42">
            <w:pPr>
              <w:spacing w:before="40" w:after="40"/>
              <w:jc w:val="center"/>
              <w:rPr>
                <w:sz w:val="20"/>
                <w:szCs w:val="20"/>
              </w:rPr>
            </w:pPr>
            <w:r w:rsidRPr="001817C7">
              <w:rPr>
                <w:rFonts w:cs="Arial"/>
                <w:sz w:val="20"/>
                <w:szCs w:val="20"/>
              </w:rPr>
              <w:t>32</w:t>
            </w:r>
          </w:p>
        </w:tc>
        <w:tc>
          <w:tcPr>
            <w:tcW w:w="754" w:type="dxa"/>
            <w:tcBorders>
              <w:top w:val="double" w:sz="4" w:space="0" w:color="auto"/>
            </w:tcBorders>
            <w:vAlign w:val="center"/>
          </w:tcPr>
          <w:p w14:paraId="3C34F2E2" w14:textId="77777777" w:rsidR="00300C42" w:rsidRPr="001817C7" w:rsidRDefault="00300C42">
            <w:pPr>
              <w:spacing w:before="40" w:after="40"/>
              <w:jc w:val="center"/>
              <w:rPr>
                <w:sz w:val="20"/>
                <w:szCs w:val="20"/>
              </w:rPr>
            </w:pPr>
            <w:r w:rsidRPr="001817C7">
              <w:rPr>
                <w:rFonts w:cs="Arial"/>
                <w:sz w:val="20"/>
                <w:szCs w:val="20"/>
              </w:rPr>
              <w:t>0.58</w:t>
            </w:r>
          </w:p>
        </w:tc>
      </w:tr>
      <w:tr w:rsidR="001817C7" w:rsidRPr="001817C7" w14:paraId="457B22A5" w14:textId="77777777">
        <w:tc>
          <w:tcPr>
            <w:tcW w:w="928" w:type="dxa"/>
            <w:vMerge/>
            <w:tcBorders>
              <w:right w:val="double" w:sz="4" w:space="0" w:color="auto"/>
            </w:tcBorders>
            <w:vAlign w:val="center"/>
          </w:tcPr>
          <w:p w14:paraId="54C04A06"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6FE4A83C" w14:textId="77777777" w:rsidR="00300C42" w:rsidRPr="001817C7" w:rsidRDefault="00300C42">
            <w:pPr>
              <w:spacing w:before="40" w:after="40"/>
              <w:jc w:val="center"/>
              <w:rPr>
                <w:sz w:val="20"/>
                <w:szCs w:val="20"/>
              </w:rPr>
            </w:pPr>
            <w:r w:rsidRPr="001817C7">
              <w:rPr>
                <w:rFonts w:cs="Arial"/>
                <w:sz w:val="20"/>
                <w:szCs w:val="20"/>
              </w:rPr>
              <w:t>128</w:t>
            </w:r>
          </w:p>
        </w:tc>
        <w:tc>
          <w:tcPr>
            <w:tcW w:w="752" w:type="dxa"/>
            <w:vAlign w:val="center"/>
          </w:tcPr>
          <w:p w14:paraId="321700C1"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right w:val="double" w:sz="4" w:space="0" w:color="auto"/>
            </w:tcBorders>
            <w:vAlign w:val="center"/>
          </w:tcPr>
          <w:p w14:paraId="3784C8CD" w14:textId="77777777" w:rsidR="00300C42" w:rsidRPr="001817C7" w:rsidRDefault="00300C42">
            <w:pPr>
              <w:spacing w:before="40" w:after="40"/>
              <w:jc w:val="center"/>
              <w:rPr>
                <w:sz w:val="20"/>
                <w:szCs w:val="20"/>
              </w:rPr>
            </w:pPr>
            <w:r w:rsidRPr="001817C7">
              <w:rPr>
                <w:rFonts w:cs="Arial"/>
                <w:sz w:val="20"/>
                <w:szCs w:val="20"/>
              </w:rPr>
              <w:t>0.82</w:t>
            </w:r>
          </w:p>
        </w:tc>
        <w:tc>
          <w:tcPr>
            <w:tcW w:w="753" w:type="dxa"/>
            <w:tcBorders>
              <w:left w:val="double" w:sz="4" w:space="0" w:color="auto"/>
            </w:tcBorders>
            <w:vAlign w:val="center"/>
          </w:tcPr>
          <w:p w14:paraId="7C182E65"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46B8D54C"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right w:val="double" w:sz="4" w:space="0" w:color="auto"/>
            </w:tcBorders>
            <w:vAlign w:val="center"/>
          </w:tcPr>
          <w:p w14:paraId="3BDBA125" w14:textId="77777777" w:rsidR="00300C42" w:rsidRPr="001817C7" w:rsidRDefault="00300C42">
            <w:pPr>
              <w:spacing w:before="40" w:after="40"/>
              <w:jc w:val="center"/>
              <w:rPr>
                <w:sz w:val="20"/>
                <w:szCs w:val="20"/>
              </w:rPr>
            </w:pPr>
            <w:r w:rsidRPr="001817C7">
              <w:rPr>
                <w:rFonts w:cs="Arial"/>
                <w:sz w:val="20"/>
                <w:szCs w:val="20"/>
              </w:rPr>
              <w:t>0.78</w:t>
            </w:r>
          </w:p>
        </w:tc>
        <w:tc>
          <w:tcPr>
            <w:tcW w:w="752" w:type="dxa"/>
            <w:tcBorders>
              <w:right w:val="single" w:sz="4" w:space="0" w:color="auto"/>
            </w:tcBorders>
            <w:vAlign w:val="center"/>
          </w:tcPr>
          <w:p w14:paraId="73C1EECA" w14:textId="77777777" w:rsidR="00300C42" w:rsidRPr="001817C7" w:rsidRDefault="00300C42">
            <w:pPr>
              <w:spacing w:before="40" w:after="40"/>
              <w:jc w:val="center"/>
              <w:rPr>
                <w:rFonts w:cs="Arial"/>
                <w:sz w:val="20"/>
                <w:szCs w:val="20"/>
              </w:rPr>
            </w:pPr>
            <w:r w:rsidRPr="001817C7">
              <w:rPr>
                <w:rFonts w:cs="Arial"/>
                <w:sz w:val="20"/>
                <w:szCs w:val="20"/>
              </w:rPr>
              <w:t>128</w:t>
            </w:r>
          </w:p>
        </w:tc>
        <w:tc>
          <w:tcPr>
            <w:tcW w:w="753" w:type="dxa"/>
            <w:tcBorders>
              <w:left w:val="single" w:sz="4" w:space="0" w:color="auto"/>
              <w:right w:val="single" w:sz="4" w:space="0" w:color="auto"/>
            </w:tcBorders>
            <w:vAlign w:val="center"/>
          </w:tcPr>
          <w:p w14:paraId="71F2C03A" w14:textId="77777777" w:rsidR="00300C42" w:rsidRPr="001817C7" w:rsidRDefault="00300C42">
            <w:pPr>
              <w:spacing w:before="40" w:after="40"/>
              <w:jc w:val="center"/>
              <w:rPr>
                <w:rFonts w:cs="Arial"/>
                <w:sz w:val="20"/>
                <w:szCs w:val="20"/>
              </w:rPr>
            </w:pPr>
            <w:r w:rsidRPr="001817C7">
              <w:rPr>
                <w:rFonts w:cs="Arial"/>
                <w:sz w:val="20"/>
                <w:szCs w:val="20"/>
              </w:rPr>
              <w:t>16</w:t>
            </w:r>
          </w:p>
        </w:tc>
        <w:tc>
          <w:tcPr>
            <w:tcW w:w="754" w:type="dxa"/>
            <w:tcBorders>
              <w:left w:val="single" w:sz="4" w:space="0" w:color="auto"/>
              <w:right w:val="double" w:sz="4" w:space="0" w:color="auto"/>
            </w:tcBorders>
            <w:vAlign w:val="center"/>
          </w:tcPr>
          <w:p w14:paraId="08C57339" w14:textId="77777777" w:rsidR="00300C42" w:rsidRPr="001817C7" w:rsidRDefault="00300C42">
            <w:pPr>
              <w:spacing w:before="40" w:after="40"/>
              <w:jc w:val="center"/>
              <w:rPr>
                <w:rFonts w:cs="Arial"/>
                <w:sz w:val="20"/>
                <w:szCs w:val="20"/>
              </w:rPr>
            </w:pPr>
            <w:r w:rsidRPr="001817C7">
              <w:rPr>
                <w:sz w:val="20"/>
                <w:szCs w:val="20"/>
              </w:rPr>
              <w:t>0.83</w:t>
            </w:r>
          </w:p>
        </w:tc>
        <w:tc>
          <w:tcPr>
            <w:tcW w:w="753" w:type="dxa"/>
            <w:tcBorders>
              <w:left w:val="double" w:sz="4" w:space="0" w:color="auto"/>
            </w:tcBorders>
            <w:vAlign w:val="center"/>
          </w:tcPr>
          <w:p w14:paraId="19E218D1"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11DECBDE" w14:textId="77777777" w:rsidR="00300C42" w:rsidRPr="001817C7" w:rsidRDefault="00300C42">
            <w:pPr>
              <w:spacing w:before="40" w:after="40"/>
              <w:jc w:val="center"/>
              <w:rPr>
                <w:sz w:val="20"/>
                <w:szCs w:val="20"/>
              </w:rPr>
            </w:pPr>
            <w:r w:rsidRPr="001817C7">
              <w:rPr>
                <w:rFonts w:cs="Arial"/>
                <w:sz w:val="20"/>
                <w:szCs w:val="20"/>
              </w:rPr>
              <w:t>32</w:t>
            </w:r>
          </w:p>
        </w:tc>
        <w:tc>
          <w:tcPr>
            <w:tcW w:w="754" w:type="dxa"/>
            <w:vAlign w:val="center"/>
          </w:tcPr>
          <w:p w14:paraId="2B3FB122" w14:textId="77777777" w:rsidR="00300C42" w:rsidRPr="001817C7" w:rsidRDefault="00300C42">
            <w:pPr>
              <w:spacing w:before="40" w:after="40"/>
              <w:jc w:val="center"/>
              <w:rPr>
                <w:sz w:val="20"/>
                <w:szCs w:val="20"/>
              </w:rPr>
            </w:pPr>
            <w:r w:rsidRPr="001817C7">
              <w:rPr>
                <w:rFonts w:cs="Arial"/>
                <w:sz w:val="20"/>
                <w:szCs w:val="20"/>
              </w:rPr>
              <w:t>0.59</w:t>
            </w:r>
          </w:p>
        </w:tc>
      </w:tr>
      <w:tr w:rsidR="001817C7" w:rsidRPr="001817C7" w14:paraId="2AF72F6B" w14:textId="77777777">
        <w:tc>
          <w:tcPr>
            <w:tcW w:w="928" w:type="dxa"/>
            <w:vMerge/>
            <w:tcBorders>
              <w:right w:val="double" w:sz="4" w:space="0" w:color="auto"/>
            </w:tcBorders>
            <w:vAlign w:val="center"/>
          </w:tcPr>
          <w:p w14:paraId="1FECDDC0"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5D03BF01" w14:textId="77777777" w:rsidR="00300C42" w:rsidRPr="001817C7" w:rsidRDefault="00300C42">
            <w:pPr>
              <w:spacing w:before="40" w:after="40"/>
              <w:jc w:val="center"/>
              <w:rPr>
                <w:sz w:val="20"/>
                <w:szCs w:val="20"/>
              </w:rPr>
            </w:pPr>
            <w:r w:rsidRPr="001817C7">
              <w:rPr>
                <w:rFonts w:cs="Arial"/>
                <w:sz w:val="20"/>
                <w:szCs w:val="20"/>
              </w:rPr>
              <w:t>64</w:t>
            </w:r>
          </w:p>
        </w:tc>
        <w:tc>
          <w:tcPr>
            <w:tcW w:w="752" w:type="dxa"/>
            <w:vAlign w:val="center"/>
          </w:tcPr>
          <w:p w14:paraId="73C3624D"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right w:val="double" w:sz="4" w:space="0" w:color="auto"/>
            </w:tcBorders>
            <w:vAlign w:val="center"/>
          </w:tcPr>
          <w:p w14:paraId="299F151E" w14:textId="77777777" w:rsidR="00300C42" w:rsidRPr="001817C7" w:rsidRDefault="00300C42">
            <w:pPr>
              <w:spacing w:before="40" w:after="40"/>
              <w:jc w:val="center"/>
              <w:rPr>
                <w:sz w:val="20"/>
                <w:szCs w:val="20"/>
              </w:rPr>
            </w:pPr>
            <w:r w:rsidRPr="001817C7">
              <w:rPr>
                <w:rFonts w:cs="Arial"/>
                <w:sz w:val="20"/>
                <w:szCs w:val="20"/>
              </w:rPr>
              <w:t>0.80</w:t>
            </w:r>
          </w:p>
        </w:tc>
        <w:tc>
          <w:tcPr>
            <w:tcW w:w="753" w:type="dxa"/>
            <w:tcBorders>
              <w:left w:val="double" w:sz="4" w:space="0" w:color="auto"/>
            </w:tcBorders>
            <w:vAlign w:val="center"/>
          </w:tcPr>
          <w:p w14:paraId="56F9DE2A" w14:textId="77777777" w:rsidR="00300C42" w:rsidRPr="001817C7" w:rsidRDefault="00300C42">
            <w:pPr>
              <w:spacing w:before="40" w:after="40"/>
              <w:jc w:val="center"/>
              <w:rPr>
                <w:sz w:val="20"/>
                <w:szCs w:val="20"/>
              </w:rPr>
            </w:pPr>
            <w:r w:rsidRPr="001817C7">
              <w:rPr>
                <w:rFonts w:cs="Arial"/>
                <w:sz w:val="20"/>
                <w:szCs w:val="20"/>
              </w:rPr>
              <w:t>64</w:t>
            </w:r>
          </w:p>
        </w:tc>
        <w:tc>
          <w:tcPr>
            <w:tcW w:w="753" w:type="dxa"/>
            <w:vAlign w:val="center"/>
          </w:tcPr>
          <w:p w14:paraId="4ACCC8EC" w14:textId="77777777" w:rsidR="00300C42" w:rsidRPr="001817C7" w:rsidRDefault="00300C42">
            <w:pPr>
              <w:spacing w:before="40" w:after="40"/>
              <w:jc w:val="center"/>
              <w:rPr>
                <w:sz w:val="20"/>
                <w:szCs w:val="20"/>
              </w:rPr>
            </w:pPr>
            <w:r w:rsidRPr="001817C7">
              <w:rPr>
                <w:rFonts w:cs="Arial"/>
                <w:sz w:val="20"/>
                <w:szCs w:val="20"/>
              </w:rPr>
              <w:t>16</w:t>
            </w:r>
          </w:p>
        </w:tc>
        <w:tc>
          <w:tcPr>
            <w:tcW w:w="753" w:type="dxa"/>
            <w:tcBorders>
              <w:right w:val="double" w:sz="4" w:space="0" w:color="auto"/>
            </w:tcBorders>
            <w:vAlign w:val="center"/>
          </w:tcPr>
          <w:p w14:paraId="2D44F381" w14:textId="77777777" w:rsidR="00300C42" w:rsidRPr="001817C7" w:rsidRDefault="00300C42">
            <w:pPr>
              <w:spacing w:before="40" w:after="40"/>
              <w:jc w:val="center"/>
              <w:rPr>
                <w:sz w:val="20"/>
                <w:szCs w:val="20"/>
              </w:rPr>
            </w:pPr>
            <w:r w:rsidRPr="001817C7">
              <w:rPr>
                <w:rFonts w:cs="Arial"/>
                <w:sz w:val="20"/>
                <w:szCs w:val="20"/>
              </w:rPr>
              <w:t>0.87</w:t>
            </w:r>
          </w:p>
        </w:tc>
        <w:tc>
          <w:tcPr>
            <w:tcW w:w="752" w:type="dxa"/>
            <w:tcBorders>
              <w:right w:val="single" w:sz="4" w:space="0" w:color="auto"/>
            </w:tcBorders>
            <w:vAlign w:val="center"/>
          </w:tcPr>
          <w:p w14:paraId="493E79AC"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3" w:type="dxa"/>
            <w:tcBorders>
              <w:left w:val="single" w:sz="4" w:space="0" w:color="auto"/>
              <w:right w:val="single" w:sz="4" w:space="0" w:color="auto"/>
            </w:tcBorders>
            <w:vAlign w:val="center"/>
          </w:tcPr>
          <w:p w14:paraId="7CCEA534" w14:textId="77777777" w:rsidR="00300C42" w:rsidRPr="001817C7" w:rsidRDefault="00300C42">
            <w:pPr>
              <w:spacing w:before="40" w:after="40"/>
              <w:jc w:val="center"/>
              <w:rPr>
                <w:rFonts w:cs="Arial"/>
                <w:sz w:val="20"/>
                <w:szCs w:val="20"/>
              </w:rPr>
            </w:pPr>
            <w:r w:rsidRPr="001817C7">
              <w:rPr>
                <w:rFonts w:cs="Arial"/>
                <w:sz w:val="20"/>
                <w:szCs w:val="20"/>
              </w:rPr>
              <w:t>16</w:t>
            </w:r>
          </w:p>
        </w:tc>
        <w:tc>
          <w:tcPr>
            <w:tcW w:w="754" w:type="dxa"/>
            <w:tcBorders>
              <w:left w:val="single" w:sz="4" w:space="0" w:color="auto"/>
              <w:right w:val="double" w:sz="4" w:space="0" w:color="auto"/>
            </w:tcBorders>
            <w:vAlign w:val="center"/>
          </w:tcPr>
          <w:p w14:paraId="1EA4C769" w14:textId="77777777" w:rsidR="00300C42" w:rsidRPr="001817C7" w:rsidRDefault="00300C42">
            <w:pPr>
              <w:spacing w:before="40" w:after="40"/>
              <w:jc w:val="center"/>
              <w:rPr>
                <w:rFonts w:cs="Arial"/>
                <w:sz w:val="20"/>
                <w:szCs w:val="20"/>
              </w:rPr>
            </w:pPr>
            <w:r w:rsidRPr="001817C7">
              <w:rPr>
                <w:sz w:val="20"/>
                <w:szCs w:val="20"/>
              </w:rPr>
              <w:t>0.88</w:t>
            </w:r>
          </w:p>
        </w:tc>
        <w:tc>
          <w:tcPr>
            <w:tcW w:w="753" w:type="dxa"/>
            <w:tcBorders>
              <w:left w:val="double" w:sz="4" w:space="0" w:color="auto"/>
            </w:tcBorders>
            <w:vAlign w:val="center"/>
          </w:tcPr>
          <w:p w14:paraId="3282C303" w14:textId="77777777" w:rsidR="00300C42" w:rsidRPr="001817C7" w:rsidRDefault="00300C42">
            <w:pPr>
              <w:spacing w:before="40" w:after="40"/>
              <w:jc w:val="center"/>
              <w:rPr>
                <w:sz w:val="20"/>
                <w:szCs w:val="20"/>
              </w:rPr>
            </w:pPr>
            <w:r w:rsidRPr="001817C7">
              <w:rPr>
                <w:rFonts w:cs="Arial"/>
                <w:sz w:val="20"/>
                <w:szCs w:val="20"/>
              </w:rPr>
              <w:t>64</w:t>
            </w:r>
          </w:p>
        </w:tc>
        <w:tc>
          <w:tcPr>
            <w:tcW w:w="753" w:type="dxa"/>
            <w:vAlign w:val="center"/>
          </w:tcPr>
          <w:p w14:paraId="5D8028F3" w14:textId="77777777" w:rsidR="00300C42" w:rsidRPr="001817C7" w:rsidRDefault="00300C42">
            <w:pPr>
              <w:spacing w:before="40" w:after="40"/>
              <w:jc w:val="center"/>
              <w:rPr>
                <w:sz w:val="20"/>
                <w:szCs w:val="20"/>
              </w:rPr>
            </w:pPr>
            <w:r w:rsidRPr="001817C7">
              <w:rPr>
                <w:rFonts w:cs="Arial"/>
                <w:sz w:val="20"/>
                <w:szCs w:val="20"/>
              </w:rPr>
              <w:t>32</w:t>
            </w:r>
          </w:p>
        </w:tc>
        <w:tc>
          <w:tcPr>
            <w:tcW w:w="754" w:type="dxa"/>
            <w:vAlign w:val="center"/>
          </w:tcPr>
          <w:p w14:paraId="18AFCA78" w14:textId="77777777" w:rsidR="00300C42" w:rsidRPr="001817C7" w:rsidRDefault="00300C42">
            <w:pPr>
              <w:spacing w:before="40" w:after="40"/>
              <w:jc w:val="center"/>
              <w:rPr>
                <w:sz w:val="20"/>
                <w:szCs w:val="20"/>
              </w:rPr>
            </w:pPr>
            <w:r w:rsidRPr="001817C7">
              <w:rPr>
                <w:rFonts w:cs="Arial"/>
                <w:sz w:val="20"/>
                <w:szCs w:val="20"/>
              </w:rPr>
              <w:t>0.72</w:t>
            </w:r>
          </w:p>
        </w:tc>
      </w:tr>
      <w:tr w:rsidR="001817C7" w:rsidRPr="001817C7" w14:paraId="152FEFC9" w14:textId="77777777">
        <w:tc>
          <w:tcPr>
            <w:tcW w:w="928" w:type="dxa"/>
            <w:vMerge/>
            <w:tcBorders>
              <w:bottom w:val="double" w:sz="4" w:space="0" w:color="auto"/>
              <w:right w:val="double" w:sz="4" w:space="0" w:color="auto"/>
            </w:tcBorders>
            <w:vAlign w:val="center"/>
          </w:tcPr>
          <w:p w14:paraId="67E2DCD5"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053EC3BB" w14:textId="77777777" w:rsidR="00300C42" w:rsidRPr="001817C7" w:rsidRDefault="00300C42">
            <w:pPr>
              <w:spacing w:before="40" w:after="40"/>
              <w:jc w:val="center"/>
              <w:rPr>
                <w:sz w:val="20"/>
                <w:szCs w:val="20"/>
              </w:rPr>
            </w:pPr>
          </w:p>
        </w:tc>
        <w:tc>
          <w:tcPr>
            <w:tcW w:w="752" w:type="dxa"/>
            <w:tcBorders>
              <w:bottom w:val="double" w:sz="4" w:space="0" w:color="auto"/>
            </w:tcBorders>
            <w:vAlign w:val="center"/>
          </w:tcPr>
          <w:p w14:paraId="53E78312"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39C34D5" w14:textId="77777777" w:rsidR="00300C42" w:rsidRPr="001817C7"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4AA3D3C7" w14:textId="77777777" w:rsidR="00300C42" w:rsidRPr="001817C7" w:rsidRDefault="00300C42">
            <w:pPr>
              <w:spacing w:before="40" w:after="40"/>
              <w:jc w:val="center"/>
              <w:rPr>
                <w:sz w:val="20"/>
                <w:szCs w:val="20"/>
              </w:rPr>
            </w:pPr>
          </w:p>
        </w:tc>
        <w:tc>
          <w:tcPr>
            <w:tcW w:w="753" w:type="dxa"/>
            <w:tcBorders>
              <w:bottom w:val="double" w:sz="4" w:space="0" w:color="auto"/>
            </w:tcBorders>
            <w:vAlign w:val="center"/>
          </w:tcPr>
          <w:p w14:paraId="0A0051A3"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4948939C" w14:textId="77777777" w:rsidR="00300C42" w:rsidRPr="001817C7" w:rsidRDefault="00300C42">
            <w:pPr>
              <w:spacing w:before="40" w:after="40"/>
              <w:jc w:val="center"/>
              <w:rPr>
                <w:sz w:val="20"/>
                <w:szCs w:val="20"/>
              </w:rPr>
            </w:pPr>
            <w:r w:rsidRPr="001817C7">
              <w:rPr>
                <w:rFonts w:cs="Arial"/>
                <w:sz w:val="20"/>
                <w:szCs w:val="20"/>
              </w:rPr>
              <w:t> </w:t>
            </w:r>
          </w:p>
        </w:tc>
        <w:tc>
          <w:tcPr>
            <w:tcW w:w="752" w:type="dxa"/>
            <w:tcBorders>
              <w:bottom w:val="double" w:sz="4" w:space="0" w:color="auto"/>
              <w:right w:val="single" w:sz="4" w:space="0" w:color="auto"/>
            </w:tcBorders>
            <w:vAlign w:val="center"/>
          </w:tcPr>
          <w:p w14:paraId="0053A6C3" w14:textId="77777777" w:rsidR="00300C42" w:rsidRPr="001817C7" w:rsidRDefault="00300C42">
            <w:pPr>
              <w:spacing w:before="40" w:after="40"/>
              <w:jc w:val="center"/>
              <w:rPr>
                <w:rFonts w:cs="Arial"/>
                <w:sz w:val="20"/>
                <w:szCs w:val="20"/>
              </w:rPr>
            </w:pPr>
          </w:p>
        </w:tc>
        <w:tc>
          <w:tcPr>
            <w:tcW w:w="753" w:type="dxa"/>
            <w:tcBorders>
              <w:left w:val="single" w:sz="4" w:space="0" w:color="auto"/>
              <w:bottom w:val="double" w:sz="4" w:space="0" w:color="auto"/>
              <w:right w:val="single" w:sz="4" w:space="0" w:color="auto"/>
            </w:tcBorders>
            <w:vAlign w:val="center"/>
          </w:tcPr>
          <w:p w14:paraId="24312736" w14:textId="77777777" w:rsidR="00300C42" w:rsidRPr="001817C7" w:rsidRDefault="00300C42">
            <w:pPr>
              <w:spacing w:before="40" w:after="40"/>
              <w:jc w:val="center"/>
              <w:rPr>
                <w:rFonts w:cs="Arial"/>
                <w:sz w:val="20"/>
                <w:szCs w:val="20"/>
              </w:rPr>
            </w:pPr>
          </w:p>
        </w:tc>
        <w:tc>
          <w:tcPr>
            <w:tcW w:w="754" w:type="dxa"/>
            <w:tcBorders>
              <w:left w:val="single" w:sz="4" w:space="0" w:color="auto"/>
              <w:bottom w:val="double" w:sz="4" w:space="0" w:color="auto"/>
              <w:right w:val="double" w:sz="4" w:space="0" w:color="auto"/>
            </w:tcBorders>
            <w:vAlign w:val="center"/>
          </w:tcPr>
          <w:p w14:paraId="0CBA0815"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double" w:sz="4" w:space="0" w:color="auto"/>
              <w:bottom w:val="double" w:sz="4" w:space="0" w:color="auto"/>
            </w:tcBorders>
          </w:tcPr>
          <w:p w14:paraId="57D4B7BD" w14:textId="77777777" w:rsidR="00300C42" w:rsidRPr="001817C7" w:rsidRDefault="00300C42">
            <w:pPr>
              <w:spacing w:before="40" w:after="40"/>
              <w:jc w:val="center"/>
              <w:rPr>
                <w:sz w:val="20"/>
                <w:szCs w:val="20"/>
              </w:rPr>
            </w:pPr>
            <w:r w:rsidRPr="001817C7">
              <w:rPr>
                <w:rFonts w:cs="Arial"/>
                <w:sz w:val="20"/>
                <w:szCs w:val="20"/>
              </w:rPr>
              <w:t>32</w:t>
            </w:r>
          </w:p>
        </w:tc>
        <w:tc>
          <w:tcPr>
            <w:tcW w:w="753" w:type="dxa"/>
            <w:tcBorders>
              <w:bottom w:val="double" w:sz="4" w:space="0" w:color="auto"/>
            </w:tcBorders>
          </w:tcPr>
          <w:p w14:paraId="1699AAA6" w14:textId="77777777" w:rsidR="00300C42" w:rsidRPr="001817C7" w:rsidRDefault="00300C42">
            <w:pPr>
              <w:spacing w:before="40" w:after="40"/>
              <w:jc w:val="center"/>
              <w:rPr>
                <w:sz w:val="20"/>
                <w:szCs w:val="20"/>
              </w:rPr>
            </w:pPr>
            <w:r w:rsidRPr="001817C7">
              <w:rPr>
                <w:rFonts w:cs="Arial"/>
                <w:sz w:val="20"/>
                <w:szCs w:val="20"/>
              </w:rPr>
              <w:t>32</w:t>
            </w:r>
          </w:p>
        </w:tc>
        <w:tc>
          <w:tcPr>
            <w:tcW w:w="754" w:type="dxa"/>
            <w:tcBorders>
              <w:bottom w:val="double" w:sz="4" w:space="0" w:color="auto"/>
            </w:tcBorders>
            <w:vAlign w:val="center"/>
          </w:tcPr>
          <w:p w14:paraId="203465BE" w14:textId="77777777" w:rsidR="00300C42" w:rsidRPr="001817C7" w:rsidRDefault="00300C42">
            <w:pPr>
              <w:spacing w:before="40" w:after="40"/>
              <w:jc w:val="center"/>
              <w:rPr>
                <w:sz w:val="20"/>
                <w:szCs w:val="20"/>
              </w:rPr>
            </w:pPr>
            <w:r w:rsidRPr="001817C7">
              <w:rPr>
                <w:rFonts w:cs="Arial"/>
                <w:sz w:val="20"/>
                <w:szCs w:val="20"/>
              </w:rPr>
              <w:t>1.17</w:t>
            </w:r>
          </w:p>
        </w:tc>
      </w:tr>
      <w:tr w:rsidR="001817C7" w:rsidRPr="001817C7" w14:paraId="3D74B71E" w14:textId="77777777">
        <w:tc>
          <w:tcPr>
            <w:tcW w:w="928" w:type="dxa"/>
            <w:vMerge w:val="restart"/>
            <w:tcBorders>
              <w:top w:val="double" w:sz="4" w:space="0" w:color="auto"/>
              <w:right w:val="double" w:sz="4" w:space="0" w:color="auto"/>
            </w:tcBorders>
            <w:vAlign w:val="center"/>
          </w:tcPr>
          <w:p w14:paraId="6B0EA99D" w14:textId="77777777" w:rsidR="00300C42" w:rsidRPr="001817C7" w:rsidRDefault="00300C42">
            <w:pPr>
              <w:spacing w:before="40" w:after="40"/>
              <w:jc w:val="center"/>
              <w:rPr>
                <w:sz w:val="20"/>
                <w:szCs w:val="20"/>
              </w:rPr>
            </w:pPr>
            <w:r w:rsidRPr="001817C7">
              <w:rPr>
                <w:sz w:val="20"/>
                <w:szCs w:val="20"/>
              </w:rPr>
              <w:t xml:space="preserve">(18 or 16) </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2C8DE3B2" w14:textId="77777777" w:rsidR="00300C42" w:rsidRPr="001817C7" w:rsidRDefault="00300C42">
            <w:pPr>
              <w:spacing w:before="40" w:after="40"/>
              <w:jc w:val="center"/>
              <w:rPr>
                <w:sz w:val="20"/>
                <w:szCs w:val="20"/>
              </w:rPr>
            </w:pPr>
          </w:p>
        </w:tc>
        <w:tc>
          <w:tcPr>
            <w:tcW w:w="752" w:type="dxa"/>
            <w:tcBorders>
              <w:top w:val="double" w:sz="4" w:space="0" w:color="auto"/>
            </w:tcBorders>
            <w:vAlign w:val="center"/>
          </w:tcPr>
          <w:p w14:paraId="5A6500A6" w14:textId="77777777" w:rsidR="00300C42" w:rsidRPr="001817C7"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6FD6CA1A" w14:textId="77777777" w:rsidR="00300C42" w:rsidRPr="001817C7"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1E143392"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080B1FB7"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top w:val="double" w:sz="4" w:space="0" w:color="auto"/>
              <w:right w:val="double" w:sz="4" w:space="0" w:color="auto"/>
            </w:tcBorders>
            <w:vAlign w:val="center"/>
          </w:tcPr>
          <w:p w14:paraId="2DCC6162" w14:textId="77777777" w:rsidR="00300C42" w:rsidRPr="001817C7" w:rsidRDefault="00300C42">
            <w:pPr>
              <w:spacing w:before="40" w:after="40"/>
              <w:jc w:val="center"/>
              <w:rPr>
                <w:sz w:val="20"/>
                <w:szCs w:val="20"/>
              </w:rPr>
            </w:pPr>
            <w:r w:rsidRPr="001817C7">
              <w:rPr>
                <w:rFonts w:cs="Arial"/>
                <w:sz w:val="20"/>
                <w:szCs w:val="20"/>
              </w:rPr>
              <w:t>0.97</w:t>
            </w:r>
          </w:p>
        </w:tc>
        <w:tc>
          <w:tcPr>
            <w:tcW w:w="752" w:type="dxa"/>
            <w:tcBorders>
              <w:top w:val="double" w:sz="4" w:space="0" w:color="auto"/>
              <w:right w:val="single" w:sz="4" w:space="0" w:color="auto"/>
            </w:tcBorders>
            <w:vAlign w:val="center"/>
          </w:tcPr>
          <w:p w14:paraId="14C0C565"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left w:val="single" w:sz="4" w:space="0" w:color="auto"/>
              <w:right w:val="single" w:sz="4" w:space="0" w:color="auto"/>
            </w:tcBorders>
            <w:vAlign w:val="center"/>
          </w:tcPr>
          <w:p w14:paraId="42617089"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4" w:type="dxa"/>
            <w:tcBorders>
              <w:top w:val="double" w:sz="4" w:space="0" w:color="auto"/>
              <w:left w:val="single" w:sz="4" w:space="0" w:color="auto"/>
              <w:right w:val="double" w:sz="4" w:space="0" w:color="auto"/>
            </w:tcBorders>
            <w:vAlign w:val="center"/>
          </w:tcPr>
          <w:p w14:paraId="2F26FE21" w14:textId="77777777" w:rsidR="00300C42" w:rsidRPr="001817C7" w:rsidRDefault="00300C42">
            <w:pPr>
              <w:spacing w:before="40" w:after="40"/>
              <w:jc w:val="center"/>
              <w:rPr>
                <w:rFonts w:cs="Arial"/>
                <w:sz w:val="20"/>
                <w:szCs w:val="20"/>
              </w:rPr>
            </w:pPr>
            <w:r w:rsidRPr="001817C7">
              <w:rPr>
                <w:sz w:val="20"/>
                <w:szCs w:val="20"/>
              </w:rPr>
              <w:t>1.01</w:t>
            </w:r>
          </w:p>
        </w:tc>
        <w:tc>
          <w:tcPr>
            <w:tcW w:w="753" w:type="dxa"/>
            <w:tcBorders>
              <w:top w:val="double" w:sz="4" w:space="0" w:color="auto"/>
              <w:left w:val="double" w:sz="4" w:space="0" w:color="auto"/>
            </w:tcBorders>
            <w:vAlign w:val="center"/>
          </w:tcPr>
          <w:p w14:paraId="05F000F9"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636200C9" w14:textId="77777777" w:rsidR="00300C42" w:rsidRPr="001817C7" w:rsidRDefault="00300C42">
            <w:pPr>
              <w:spacing w:before="40" w:after="40"/>
              <w:jc w:val="center"/>
              <w:rPr>
                <w:sz w:val="20"/>
                <w:szCs w:val="20"/>
              </w:rPr>
            </w:pPr>
            <w:r w:rsidRPr="001817C7">
              <w:rPr>
                <w:rFonts w:cs="Arial"/>
                <w:sz w:val="20"/>
                <w:szCs w:val="20"/>
              </w:rPr>
              <w:t>16</w:t>
            </w:r>
          </w:p>
        </w:tc>
        <w:tc>
          <w:tcPr>
            <w:tcW w:w="754" w:type="dxa"/>
            <w:tcBorders>
              <w:top w:val="double" w:sz="4" w:space="0" w:color="auto"/>
            </w:tcBorders>
            <w:vAlign w:val="center"/>
          </w:tcPr>
          <w:p w14:paraId="41C4FEEE" w14:textId="77777777" w:rsidR="00300C42" w:rsidRPr="001817C7" w:rsidRDefault="00300C42">
            <w:pPr>
              <w:spacing w:before="40" w:after="40"/>
              <w:jc w:val="center"/>
              <w:rPr>
                <w:sz w:val="20"/>
                <w:szCs w:val="20"/>
              </w:rPr>
            </w:pPr>
            <w:r w:rsidRPr="001817C7">
              <w:rPr>
                <w:rFonts w:cs="Arial"/>
                <w:sz w:val="20"/>
                <w:szCs w:val="20"/>
              </w:rPr>
              <w:t>0.69</w:t>
            </w:r>
          </w:p>
        </w:tc>
      </w:tr>
      <w:tr w:rsidR="001817C7" w:rsidRPr="001817C7" w14:paraId="337609AA" w14:textId="77777777">
        <w:tc>
          <w:tcPr>
            <w:tcW w:w="928" w:type="dxa"/>
            <w:vMerge/>
            <w:tcBorders>
              <w:right w:val="double" w:sz="4" w:space="0" w:color="auto"/>
            </w:tcBorders>
            <w:vAlign w:val="center"/>
          </w:tcPr>
          <w:p w14:paraId="41A1DEC1"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79EB5851" w14:textId="77777777" w:rsidR="00300C42" w:rsidRPr="001817C7" w:rsidRDefault="00300C42">
            <w:pPr>
              <w:spacing w:before="40" w:after="40"/>
              <w:jc w:val="center"/>
              <w:rPr>
                <w:sz w:val="20"/>
                <w:szCs w:val="20"/>
              </w:rPr>
            </w:pPr>
          </w:p>
        </w:tc>
        <w:tc>
          <w:tcPr>
            <w:tcW w:w="752" w:type="dxa"/>
            <w:vAlign w:val="center"/>
          </w:tcPr>
          <w:p w14:paraId="54A82332" w14:textId="77777777" w:rsidR="00300C42" w:rsidRPr="001817C7" w:rsidRDefault="00300C42">
            <w:pPr>
              <w:spacing w:before="40" w:after="40"/>
              <w:jc w:val="center"/>
              <w:rPr>
                <w:sz w:val="20"/>
                <w:szCs w:val="20"/>
              </w:rPr>
            </w:pPr>
          </w:p>
        </w:tc>
        <w:tc>
          <w:tcPr>
            <w:tcW w:w="753" w:type="dxa"/>
            <w:tcBorders>
              <w:right w:val="double" w:sz="4" w:space="0" w:color="auto"/>
            </w:tcBorders>
            <w:vAlign w:val="center"/>
          </w:tcPr>
          <w:p w14:paraId="515B1419" w14:textId="77777777" w:rsidR="00300C42" w:rsidRPr="001817C7" w:rsidRDefault="00300C42">
            <w:pPr>
              <w:spacing w:before="40" w:after="40"/>
              <w:jc w:val="center"/>
              <w:rPr>
                <w:sz w:val="20"/>
                <w:szCs w:val="20"/>
              </w:rPr>
            </w:pPr>
          </w:p>
        </w:tc>
        <w:tc>
          <w:tcPr>
            <w:tcW w:w="753" w:type="dxa"/>
            <w:tcBorders>
              <w:left w:val="double" w:sz="4" w:space="0" w:color="auto"/>
            </w:tcBorders>
            <w:vAlign w:val="center"/>
          </w:tcPr>
          <w:p w14:paraId="2E1EE23E"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71DA3239"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right w:val="double" w:sz="4" w:space="0" w:color="auto"/>
            </w:tcBorders>
            <w:vAlign w:val="center"/>
          </w:tcPr>
          <w:p w14:paraId="5AC59C68" w14:textId="77777777" w:rsidR="00300C42" w:rsidRPr="001817C7" w:rsidRDefault="00300C42">
            <w:pPr>
              <w:spacing w:before="40" w:after="40"/>
              <w:jc w:val="center"/>
              <w:rPr>
                <w:sz w:val="20"/>
                <w:szCs w:val="20"/>
              </w:rPr>
            </w:pPr>
            <w:r w:rsidRPr="001817C7">
              <w:rPr>
                <w:rFonts w:cs="Arial"/>
                <w:sz w:val="20"/>
                <w:szCs w:val="20"/>
              </w:rPr>
              <w:t>0.95</w:t>
            </w:r>
          </w:p>
        </w:tc>
        <w:tc>
          <w:tcPr>
            <w:tcW w:w="752" w:type="dxa"/>
            <w:tcBorders>
              <w:right w:val="single" w:sz="4" w:space="0" w:color="auto"/>
            </w:tcBorders>
            <w:vAlign w:val="center"/>
          </w:tcPr>
          <w:p w14:paraId="6A0E2A9B" w14:textId="77777777" w:rsidR="00300C42" w:rsidRPr="001817C7" w:rsidRDefault="00300C42">
            <w:pPr>
              <w:spacing w:before="40" w:after="40"/>
              <w:jc w:val="center"/>
              <w:rPr>
                <w:rFonts w:cs="Arial"/>
                <w:sz w:val="20"/>
                <w:szCs w:val="20"/>
              </w:rPr>
            </w:pPr>
            <w:r w:rsidRPr="001817C7">
              <w:rPr>
                <w:rFonts w:cs="Arial"/>
                <w:sz w:val="20"/>
                <w:szCs w:val="20"/>
              </w:rPr>
              <w:t>128</w:t>
            </w:r>
          </w:p>
        </w:tc>
        <w:tc>
          <w:tcPr>
            <w:tcW w:w="753" w:type="dxa"/>
            <w:tcBorders>
              <w:left w:val="single" w:sz="4" w:space="0" w:color="auto"/>
              <w:right w:val="single" w:sz="4" w:space="0" w:color="auto"/>
            </w:tcBorders>
            <w:vAlign w:val="center"/>
          </w:tcPr>
          <w:p w14:paraId="3C855A92"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4" w:type="dxa"/>
            <w:tcBorders>
              <w:left w:val="single" w:sz="4" w:space="0" w:color="auto"/>
              <w:right w:val="double" w:sz="4" w:space="0" w:color="auto"/>
            </w:tcBorders>
            <w:vAlign w:val="center"/>
          </w:tcPr>
          <w:p w14:paraId="62F059D8" w14:textId="77777777" w:rsidR="00300C42" w:rsidRPr="001817C7" w:rsidRDefault="00300C42">
            <w:pPr>
              <w:spacing w:before="40" w:after="40"/>
              <w:jc w:val="center"/>
              <w:rPr>
                <w:rFonts w:cs="Arial"/>
                <w:sz w:val="20"/>
                <w:szCs w:val="20"/>
              </w:rPr>
            </w:pPr>
            <w:r w:rsidRPr="001817C7">
              <w:rPr>
                <w:sz w:val="20"/>
                <w:szCs w:val="20"/>
              </w:rPr>
              <w:t>0.99</w:t>
            </w:r>
          </w:p>
        </w:tc>
        <w:tc>
          <w:tcPr>
            <w:tcW w:w="753" w:type="dxa"/>
            <w:tcBorders>
              <w:left w:val="double" w:sz="4" w:space="0" w:color="auto"/>
            </w:tcBorders>
            <w:vAlign w:val="center"/>
          </w:tcPr>
          <w:p w14:paraId="39B3A642"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3BFE164E" w14:textId="77777777" w:rsidR="00300C42" w:rsidRPr="001817C7" w:rsidRDefault="00300C42">
            <w:pPr>
              <w:spacing w:before="40" w:after="40"/>
              <w:jc w:val="center"/>
              <w:rPr>
                <w:sz w:val="20"/>
                <w:szCs w:val="20"/>
              </w:rPr>
            </w:pPr>
            <w:r w:rsidRPr="001817C7">
              <w:rPr>
                <w:rFonts w:cs="Arial"/>
                <w:sz w:val="20"/>
                <w:szCs w:val="20"/>
              </w:rPr>
              <w:t>16</w:t>
            </w:r>
          </w:p>
        </w:tc>
        <w:tc>
          <w:tcPr>
            <w:tcW w:w="754" w:type="dxa"/>
            <w:vAlign w:val="center"/>
          </w:tcPr>
          <w:p w14:paraId="1DAA907F" w14:textId="77777777" w:rsidR="00300C42" w:rsidRPr="001817C7" w:rsidRDefault="00300C42">
            <w:pPr>
              <w:spacing w:before="40" w:after="40"/>
              <w:jc w:val="center"/>
              <w:rPr>
                <w:sz w:val="20"/>
                <w:szCs w:val="20"/>
              </w:rPr>
            </w:pPr>
            <w:r w:rsidRPr="001817C7">
              <w:rPr>
                <w:rFonts w:cs="Arial"/>
                <w:sz w:val="20"/>
                <w:szCs w:val="20"/>
              </w:rPr>
              <w:t>0.67</w:t>
            </w:r>
          </w:p>
        </w:tc>
      </w:tr>
      <w:tr w:rsidR="001817C7" w:rsidRPr="001817C7" w14:paraId="7DB5C2B8" w14:textId="77777777">
        <w:tc>
          <w:tcPr>
            <w:tcW w:w="928" w:type="dxa"/>
            <w:vMerge/>
            <w:tcBorders>
              <w:bottom w:val="double" w:sz="4" w:space="0" w:color="auto"/>
              <w:right w:val="double" w:sz="4" w:space="0" w:color="auto"/>
            </w:tcBorders>
            <w:vAlign w:val="center"/>
          </w:tcPr>
          <w:p w14:paraId="525D9B12" w14:textId="77777777" w:rsidR="00300C42" w:rsidRPr="001817C7" w:rsidRDefault="00300C42">
            <w:pPr>
              <w:spacing w:before="40" w:after="40"/>
              <w:jc w:val="center"/>
              <w:rPr>
                <w:sz w:val="20"/>
                <w:szCs w:val="20"/>
              </w:rPr>
            </w:pPr>
          </w:p>
        </w:tc>
        <w:tc>
          <w:tcPr>
            <w:tcW w:w="751" w:type="dxa"/>
            <w:tcBorders>
              <w:left w:val="double" w:sz="4" w:space="0" w:color="auto"/>
              <w:bottom w:val="double" w:sz="4" w:space="0" w:color="auto"/>
            </w:tcBorders>
            <w:vAlign w:val="center"/>
          </w:tcPr>
          <w:p w14:paraId="6C12D2FC" w14:textId="77777777" w:rsidR="00300C42" w:rsidRPr="001817C7" w:rsidRDefault="00300C42">
            <w:pPr>
              <w:spacing w:before="40" w:after="40"/>
              <w:jc w:val="center"/>
              <w:rPr>
                <w:sz w:val="20"/>
                <w:szCs w:val="20"/>
              </w:rPr>
            </w:pPr>
          </w:p>
        </w:tc>
        <w:tc>
          <w:tcPr>
            <w:tcW w:w="752" w:type="dxa"/>
            <w:tcBorders>
              <w:bottom w:val="double" w:sz="4" w:space="0" w:color="auto"/>
            </w:tcBorders>
            <w:vAlign w:val="center"/>
          </w:tcPr>
          <w:p w14:paraId="2934F865" w14:textId="77777777" w:rsidR="00300C42" w:rsidRPr="001817C7" w:rsidRDefault="00300C42">
            <w:pPr>
              <w:spacing w:before="40" w:after="40"/>
              <w:jc w:val="center"/>
              <w:rPr>
                <w:sz w:val="20"/>
                <w:szCs w:val="20"/>
              </w:rPr>
            </w:pPr>
          </w:p>
        </w:tc>
        <w:tc>
          <w:tcPr>
            <w:tcW w:w="753" w:type="dxa"/>
            <w:tcBorders>
              <w:bottom w:val="double" w:sz="4" w:space="0" w:color="auto"/>
              <w:right w:val="double" w:sz="4" w:space="0" w:color="auto"/>
            </w:tcBorders>
            <w:vAlign w:val="center"/>
          </w:tcPr>
          <w:p w14:paraId="702A156D" w14:textId="77777777" w:rsidR="00300C42" w:rsidRPr="001817C7" w:rsidRDefault="00300C42">
            <w:pPr>
              <w:spacing w:before="40" w:after="40"/>
              <w:jc w:val="center"/>
              <w:rPr>
                <w:sz w:val="20"/>
                <w:szCs w:val="20"/>
              </w:rPr>
            </w:pPr>
          </w:p>
        </w:tc>
        <w:tc>
          <w:tcPr>
            <w:tcW w:w="753" w:type="dxa"/>
            <w:tcBorders>
              <w:left w:val="double" w:sz="4" w:space="0" w:color="auto"/>
              <w:bottom w:val="double" w:sz="4" w:space="0" w:color="auto"/>
            </w:tcBorders>
            <w:vAlign w:val="center"/>
          </w:tcPr>
          <w:p w14:paraId="1984F587"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bottom w:val="double" w:sz="4" w:space="0" w:color="auto"/>
            </w:tcBorders>
            <w:vAlign w:val="center"/>
          </w:tcPr>
          <w:p w14:paraId="1CCC0A7F" w14:textId="77777777" w:rsidR="00300C42" w:rsidRPr="001817C7" w:rsidRDefault="00300C42">
            <w:pPr>
              <w:spacing w:before="40" w:after="40"/>
              <w:jc w:val="center"/>
              <w:rPr>
                <w:sz w:val="20"/>
                <w:szCs w:val="20"/>
              </w:rPr>
            </w:pPr>
            <w:r w:rsidRPr="001817C7">
              <w:rPr>
                <w:rFonts w:cs="Arial"/>
                <w:sz w:val="20"/>
                <w:szCs w:val="20"/>
              </w:rPr>
              <w:t>9</w:t>
            </w:r>
          </w:p>
        </w:tc>
        <w:tc>
          <w:tcPr>
            <w:tcW w:w="753" w:type="dxa"/>
            <w:tcBorders>
              <w:bottom w:val="double" w:sz="4" w:space="0" w:color="auto"/>
              <w:right w:val="double" w:sz="4" w:space="0" w:color="auto"/>
            </w:tcBorders>
            <w:vAlign w:val="center"/>
          </w:tcPr>
          <w:p w14:paraId="5ABB646E" w14:textId="77777777" w:rsidR="00300C42" w:rsidRPr="001817C7" w:rsidRDefault="00300C42">
            <w:pPr>
              <w:spacing w:before="40" w:after="40"/>
              <w:jc w:val="center"/>
              <w:rPr>
                <w:sz w:val="20"/>
                <w:szCs w:val="20"/>
              </w:rPr>
            </w:pPr>
            <w:r w:rsidRPr="001817C7">
              <w:rPr>
                <w:rFonts w:cs="Arial"/>
                <w:sz w:val="20"/>
                <w:szCs w:val="20"/>
              </w:rPr>
              <w:t>0.99</w:t>
            </w:r>
          </w:p>
        </w:tc>
        <w:tc>
          <w:tcPr>
            <w:tcW w:w="752" w:type="dxa"/>
            <w:tcBorders>
              <w:bottom w:val="double" w:sz="4" w:space="0" w:color="auto"/>
              <w:right w:val="single" w:sz="4" w:space="0" w:color="auto"/>
            </w:tcBorders>
            <w:vAlign w:val="center"/>
          </w:tcPr>
          <w:p w14:paraId="6208B5F0"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3" w:type="dxa"/>
            <w:tcBorders>
              <w:left w:val="single" w:sz="4" w:space="0" w:color="auto"/>
              <w:bottom w:val="double" w:sz="4" w:space="0" w:color="auto"/>
              <w:right w:val="single" w:sz="4" w:space="0" w:color="auto"/>
            </w:tcBorders>
            <w:vAlign w:val="center"/>
          </w:tcPr>
          <w:p w14:paraId="03389A33"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4" w:type="dxa"/>
            <w:tcBorders>
              <w:left w:val="single" w:sz="4" w:space="0" w:color="auto"/>
              <w:bottom w:val="double" w:sz="4" w:space="0" w:color="auto"/>
              <w:right w:val="double" w:sz="4" w:space="0" w:color="auto"/>
            </w:tcBorders>
            <w:vAlign w:val="center"/>
          </w:tcPr>
          <w:p w14:paraId="2D803A1F" w14:textId="77777777" w:rsidR="00300C42" w:rsidRPr="001817C7" w:rsidRDefault="00300C42">
            <w:pPr>
              <w:spacing w:before="40" w:after="40"/>
              <w:jc w:val="center"/>
              <w:rPr>
                <w:rFonts w:cs="Arial"/>
                <w:sz w:val="20"/>
                <w:szCs w:val="20"/>
              </w:rPr>
            </w:pPr>
            <w:r w:rsidRPr="001817C7">
              <w:rPr>
                <w:sz w:val="20"/>
                <w:szCs w:val="20"/>
              </w:rPr>
              <w:t>0.99</w:t>
            </w:r>
          </w:p>
        </w:tc>
        <w:tc>
          <w:tcPr>
            <w:tcW w:w="753" w:type="dxa"/>
            <w:tcBorders>
              <w:left w:val="double" w:sz="4" w:space="0" w:color="auto"/>
              <w:bottom w:val="double" w:sz="4" w:space="0" w:color="auto"/>
            </w:tcBorders>
            <w:vAlign w:val="center"/>
          </w:tcPr>
          <w:p w14:paraId="2B427575" w14:textId="77777777" w:rsidR="00300C42" w:rsidRPr="001817C7" w:rsidRDefault="00300C42">
            <w:pPr>
              <w:spacing w:before="40" w:after="40"/>
              <w:jc w:val="center"/>
              <w:rPr>
                <w:sz w:val="20"/>
                <w:szCs w:val="20"/>
              </w:rPr>
            </w:pPr>
            <w:r w:rsidRPr="001817C7">
              <w:rPr>
                <w:rFonts w:cs="Arial"/>
                <w:sz w:val="20"/>
                <w:szCs w:val="20"/>
              </w:rPr>
              <w:t>64</w:t>
            </w:r>
          </w:p>
        </w:tc>
        <w:tc>
          <w:tcPr>
            <w:tcW w:w="753" w:type="dxa"/>
            <w:tcBorders>
              <w:bottom w:val="double" w:sz="4" w:space="0" w:color="auto"/>
            </w:tcBorders>
            <w:vAlign w:val="center"/>
          </w:tcPr>
          <w:p w14:paraId="2FA0CAD8" w14:textId="77777777" w:rsidR="00300C42" w:rsidRPr="001817C7" w:rsidRDefault="00300C42">
            <w:pPr>
              <w:spacing w:before="40" w:after="40"/>
              <w:jc w:val="center"/>
              <w:rPr>
                <w:sz w:val="20"/>
                <w:szCs w:val="20"/>
              </w:rPr>
            </w:pPr>
            <w:r w:rsidRPr="001817C7">
              <w:rPr>
                <w:rFonts w:cs="Arial"/>
                <w:sz w:val="20"/>
                <w:szCs w:val="20"/>
              </w:rPr>
              <w:t>16</w:t>
            </w:r>
          </w:p>
        </w:tc>
        <w:tc>
          <w:tcPr>
            <w:tcW w:w="754" w:type="dxa"/>
            <w:tcBorders>
              <w:bottom w:val="double" w:sz="4" w:space="0" w:color="auto"/>
            </w:tcBorders>
            <w:vAlign w:val="center"/>
          </w:tcPr>
          <w:p w14:paraId="469282EE" w14:textId="77777777" w:rsidR="00300C42" w:rsidRPr="001817C7" w:rsidRDefault="00300C42">
            <w:pPr>
              <w:spacing w:before="40" w:after="40"/>
              <w:jc w:val="center"/>
              <w:rPr>
                <w:sz w:val="20"/>
                <w:szCs w:val="20"/>
              </w:rPr>
            </w:pPr>
            <w:r w:rsidRPr="001817C7">
              <w:rPr>
                <w:rFonts w:cs="Arial"/>
                <w:sz w:val="20"/>
                <w:szCs w:val="20"/>
              </w:rPr>
              <w:t>0.75</w:t>
            </w:r>
          </w:p>
        </w:tc>
      </w:tr>
      <w:tr w:rsidR="001817C7" w:rsidRPr="001817C7" w14:paraId="222FE454" w14:textId="77777777">
        <w:tc>
          <w:tcPr>
            <w:tcW w:w="928" w:type="dxa"/>
            <w:vMerge w:val="restart"/>
            <w:tcBorders>
              <w:top w:val="double" w:sz="4" w:space="0" w:color="auto"/>
              <w:right w:val="double" w:sz="4" w:space="0" w:color="auto"/>
            </w:tcBorders>
            <w:vAlign w:val="center"/>
          </w:tcPr>
          <w:p w14:paraId="40FBFA04" w14:textId="77777777" w:rsidR="00300C42" w:rsidRPr="001817C7" w:rsidRDefault="00300C42">
            <w:pPr>
              <w:spacing w:before="40" w:after="40"/>
              <w:jc w:val="center"/>
              <w:rPr>
                <w:sz w:val="20"/>
                <w:szCs w:val="20"/>
              </w:rPr>
            </w:pPr>
            <w:r w:rsidRPr="001817C7">
              <w:rPr>
                <w:sz w:val="20"/>
                <w:szCs w:val="20"/>
              </w:rPr>
              <w:t>9</w:t>
            </w:r>
            <w:r w:rsidRPr="001817C7">
              <w:rPr>
                <w:rFonts w:cs="Arial"/>
                <w:sz w:val="20"/>
                <w:szCs w:val="20"/>
              </w:rPr>
              <w:t>×</w:t>
            </w:r>
            <w:r w:rsidRPr="001817C7">
              <w:rPr>
                <w:sz w:val="20"/>
                <w:szCs w:val="20"/>
              </w:rPr>
              <w:t>18</w:t>
            </w:r>
          </w:p>
        </w:tc>
        <w:tc>
          <w:tcPr>
            <w:tcW w:w="751" w:type="dxa"/>
            <w:tcBorders>
              <w:top w:val="double" w:sz="4" w:space="0" w:color="auto"/>
              <w:left w:val="double" w:sz="4" w:space="0" w:color="auto"/>
            </w:tcBorders>
            <w:vAlign w:val="center"/>
          </w:tcPr>
          <w:p w14:paraId="1DB337F5" w14:textId="77777777" w:rsidR="00300C42" w:rsidRPr="001817C7" w:rsidRDefault="00300C42">
            <w:pPr>
              <w:spacing w:before="40" w:after="40"/>
              <w:jc w:val="center"/>
              <w:rPr>
                <w:sz w:val="20"/>
                <w:szCs w:val="20"/>
              </w:rPr>
            </w:pPr>
          </w:p>
        </w:tc>
        <w:tc>
          <w:tcPr>
            <w:tcW w:w="752" w:type="dxa"/>
            <w:tcBorders>
              <w:top w:val="double" w:sz="4" w:space="0" w:color="auto"/>
            </w:tcBorders>
            <w:vAlign w:val="center"/>
          </w:tcPr>
          <w:p w14:paraId="7F7676EF" w14:textId="77777777" w:rsidR="00300C42" w:rsidRPr="001817C7"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7EBDB338" w14:textId="77777777" w:rsidR="00300C42" w:rsidRPr="001817C7" w:rsidRDefault="00300C42">
            <w:pPr>
              <w:spacing w:before="40" w:after="40"/>
              <w:jc w:val="center"/>
              <w:rPr>
                <w:sz w:val="20"/>
                <w:szCs w:val="20"/>
              </w:rPr>
            </w:pPr>
          </w:p>
        </w:tc>
        <w:tc>
          <w:tcPr>
            <w:tcW w:w="753" w:type="dxa"/>
            <w:tcBorders>
              <w:top w:val="double" w:sz="4" w:space="0" w:color="auto"/>
              <w:left w:val="double" w:sz="4" w:space="0" w:color="auto"/>
            </w:tcBorders>
            <w:vAlign w:val="center"/>
          </w:tcPr>
          <w:p w14:paraId="4E916A0C" w14:textId="77777777" w:rsidR="00300C42" w:rsidRPr="001817C7" w:rsidRDefault="00300C42">
            <w:pPr>
              <w:spacing w:before="40" w:after="40"/>
              <w:jc w:val="center"/>
              <w:rPr>
                <w:sz w:val="20"/>
                <w:szCs w:val="20"/>
              </w:rPr>
            </w:pPr>
          </w:p>
        </w:tc>
        <w:tc>
          <w:tcPr>
            <w:tcW w:w="753" w:type="dxa"/>
            <w:tcBorders>
              <w:top w:val="double" w:sz="4" w:space="0" w:color="auto"/>
            </w:tcBorders>
            <w:vAlign w:val="center"/>
          </w:tcPr>
          <w:p w14:paraId="3B9E2E31" w14:textId="77777777" w:rsidR="00300C42" w:rsidRPr="001817C7" w:rsidRDefault="00300C42">
            <w:pPr>
              <w:spacing w:before="40" w:after="40"/>
              <w:jc w:val="center"/>
              <w:rPr>
                <w:sz w:val="20"/>
                <w:szCs w:val="20"/>
              </w:rPr>
            </w:pPr>
          </w:p>
        </w:tc>
        <w:tc>
          <w:tcPr>
            <w:tcW w:w="753" w:type="dxa"/>
            <w:tcBorders>
              <w:top w:val="double" w:sz="4" w:space="0" w:color="auto"/>
              <w:right w:val="double" w:sz="4" w:space="0" w:color="auto"/>
            </w:tcBorders>
            <w:vAlign w:val="center"/>
          </w:tcPr>
          <w:p w14:paraId="3E5EF3DB" w14:textId="77777777" w:rsidR="00300C42" w:rsidRPr="001817C7" w:rsidRDefault="00300C42">
            <w:pPr>
              <w:spacing w:before="40" w:after="40"/>
              <w:jc w:val="center"/>
              <w:rPr>
                <w:sz w:val="20"/>
                <w:szCs w:val="20"/>
              </w:rPr>
            </w:pPr>
          </w:p>
        </w:tc>
        <w:tc>
          <w:tcPr>
            <w:tcW w:w="752" w:type="dxa"/>
            <w:tcBorders>
              <w:top w:val="double" w:sz="4" w:space="0" w:color="auto"/>
              <w:right w:val="single" w:sz="4" w:space="0" w:color="auto"/>
            </w:tcBorders>
          </w:tcPr>
          <w:p w14:paraId="5BBDDB2B" w14:textId="77777777" w:rsidR="00300C42" w:rsidRPr="001817C7" w:rsidRDefault="00300C42">
            <w:pPr>
              <w:spacing w:before="40" w:after="40"/>
              <w:jc w:val="center"/>
              <w:rPr>
                <w:rFonts w:cs="Arial"/>
                <w:sz w:val="20"/>
                <w:szCs w:val="20"/>
              </w:rPr>
            </w:pPr>
          </w:p>
        </w:tc>
        <w:tc>
          <w:tcPr>
            <w:tcW w:w="753" w:type="dxa"/>
            <w:tcBorders>
              <w:top w:val="double" w:sz="4" w:space="0" w:color="auto"/>
              <w:left w:val="single" w:sz="4" w:space="0" w:color="auto"/>
              <w:right w:val="single" w:sz="4" w:space="0" w:color="auto"/>
            </w:tcBorders>
          </w:tcPr>
          <w:p w14:paraId="1D8DECD2" w14:textId="77777777" w:rsidR="00300C42" w:rsidRPr="001817C7" w:rsidRDefault="00300C42">
            <w:pPr>
              <w:spacing w:before="40" w:after="40"/>
              <w:jc w:val="center"/>
              <w:rPr>
                <w:rFonts w:cs="Arial"/>
                <w:sz w:val="20"/>
                <w:szCs w:val="20"/>
              </w:rPr>
            </w:pPr>
          </w:p>
        </w:tc>
        <w:tc>
          <w:tcPr>
            <w:tcW w:w="754" w:type="dxa"/>
            <w:tcBorders>
              <w:top w:val="double" w:sz="4" w:space="0" w:color="auto"/>
              <w:left w:val="single" w:sz="4" w:space="0" w:color="auto"/>
              <w:right w:val="double" w:sz="4" w:space="0" w:color="auto"/>
            </w:tcBorders>
          </w:tcPr>
          <w:p w14:paraId="68C2F2DA" w14:textId="77777777" w:rsidR="00300C42" w:rsidRPr="001817C7" w:rsidRDefault="00300C42">
            <w:pPr>
              <w:spacing w:before="40" w:after="40"/>
              <w:jc w:val="center"/>
              <w:rPr>
                <w:rFonts w:cs="Arial"/>
                <w:sz w:val="20"/>
                <w:szCs w:val="20"/>
              </w:rPr>
            </w:pPr>
          </w:p>
        </w:tc>
        <w:tc>
          <w:tcPr>
            <w:tcW w:w="753" w:type="dxa"/>
            <w:tcBorders>
              <w:top w:val="double" w:sz="4" w:space="0" w:color="auto"/>
              <w:left w:val="double" w:sz="4" w:space="0" w:color="auto"/>
            </w:tcBorders>
            <w:vAlign w:val="center"/>
          </w:tcPr>
          <w:p w14:paraId="19EB88BD" w14:textId="77777777" w:rsidR="00300C42" w:rsidRPr="001817C7" w:rsidRDefault="00300C42">
            <w:pPr>
              <w:spacing w:before="40" w:after="40"/>
              <w:jc w:val="center"/>
              <w:rPr>
                <w:sz w:val="20"/>
                <w:szCs w:val="20"/>
              </w:rPr>
            </w:pPr>
            <w:r w:rsidRPr="001817C7">
              <w:rPr>
                <w:rFonts w:cs="Arial"/>
                <w:sz w:val="20"/>
                <w:szCs w:val="20"/>
              </w:rPr>
              <w:t>256</w:t>
            </w:r>
          </w:p>
        </w:tc>
        <w:tc>
          <w:tcPr>
            <w:tcW w:w="753" w:type="dxa"/>
            <w:tcBorders>
              <w:top w:val="double" w:sz="4" w:space="0" w:color="auto"/>
            </w:tcBorders>
            <w:vAlign w:val="center"/>
          </w:tcPr>
          <w:p w14:paraId="7BE97194" w14:textId="77777777" w:rsidR="00300C42" w:rsidRPr="001817C7" w:rsidRDefault="00300C42">
            <w:pPr>
              <w:spacing w:before="40" w:after="40"/>
              <w:jc w:val="center"/>
              <w:rPr>
                <w:sz w:val="20"/>
                <w:szCs w:val="20"/>
              </w:rPr>
            </w:pPr>
            <w:r w:rsidRPr="001817C7">
              <w:rPr>
                <w:rFonts w:cs="Arial"/>
                <w:sz w:val="20"/>
                <w:szCs w:val="20"/>
              </w:rPr>
              <w:t>9</w:t>
            </w:r>
          </w:p>
        </w:tc>
        <w:tc>
          <w:tcPr>
            <w:tcW w:w="754" w:type="dxa"/>
            <w:tcBorders>
              <w:top w:val="double" w:sz="4" w:space="0" w:color="auto"/>
            </w:tcBorders>
            <w:vAlign w:val="center"/>
          </w:tcPr>
          <w:p w14:paraId="45B74070" w14:textId="77777777" w:rsidR="00300C42" w:rsidRPr="001817C7" w:rsidRDefault="00300C42">
            <w:pPr>
              <w:spacing w:before="40" w:after="40"/>
              <w:jc w:val="center"/>
              <w:rPr>
                <w:sz w:val="20"/>
                <w:szCs w:val="20"/>
              </w:rPr>
            </w:pPr>
            <w:r w:rsidRPr="001817C7">
              <w:rPr>
                <w:rFonts w:cs="Arial"/>
                <w:sz w:val="20"/>
                <w:szCs w:val="20"/>
              </w:rPr>
              <w:t>0.82</w:t>
            </w:r>
          </w:p>
        </w:tc>
      </w:tr>
      <w:tr w:rsidR="001817C7" w:rsidRPr="001817C7" w14:paraId="2D5D6C98" w14:textId="77777777">
        <w:tc>
          <w:tcPr>
            <w:tcW w:w="928" w:type="dxa"/>
            <w:vMerge/>
            <w:tcBorders>
              <w:right w:val="double" w:sz="4" w:space="0" w:color="auto"/>
            </w:tcBorders>
            <w:vAlign w:val="center"/>
          </w:tcPr>
          <w:p w14:paraId="2257239D"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03FE0140" w14:textId="77777777" w:rsidR="00300C42" w:rsidRPr="001817C7" w:rsidRDefault="00300C42">
            <w:pPr>
              <w:spacing w:before="40" w:after="40"/>
              <w:jc w:val="center"/>
              <w:rPr>
                <w:sz w:val="20"/>
                <w:szCs w:val="20"/>
              </w:rPr>
            </w:pPr>
          </w:p>
        </w:tc>
        <w:tc>
          <w:tcPr>
            <w:tcW w:w="752" w:type="dxa"/>
            <w:vAlign w:val="center"/>
          </w:tcPr>
          <w:p w14:paraId="4282A51A" w14:textId="77777777" w:rsidR="00300C42" w:rsidRPr="001817C7" w:rsidRDefault="00300C42">
            <w:pPr>
              <w:spacing w:before="40" w:after="40"/>
              <w:jc w:val="center"/>
              <w:rPr>
                <w:sz w:val="20"/>
                <w:szCs w:val="20"/>
              </w:rPr>
            </w:pPr>
          </w:p>
        </w:tc>
        <w:tc>
          <w:tcPr>
            <w:tcW w:w="753" w:type="dxa"/>
            <w:tcBorders>
              <w:right w:val="double" w:sz="4" w:space="0" w:color="auto"/>
            </w:tcBorders>
            <w:vAlign w:val="center"/>
          </w:tcPr>
          <w:p w14:paraId="2904C0C5" w14:textId="77777777" w:rsidR="00300C42" w:rsidRPr="001817C7" w:rsidRDefault="00300C42">
            <w:pPr>
              <w:spacing w:before="40" w:after="40"/>
              <w:jc w:val="center"/>
              <w:rPr>
                <w:sz w:val="20"/>
                <w:szCs w:val="20"/>
              </w:rPr>
            </w:pPr>
          </w:p>
        </w:tc>
        <w:tc>
          <w:tcPr>
            <w:tcW w:w="753" w:type="dxa"/>
            <w:tcBorders>
              <w:left w:val="double" w:sz="4" w:space="0" w:color="auto"/>
            </w:tcBorders>
            <w:vAlign w:val="center"/>
          </w:tcPr>
          <w:p w14:paraId="366415BE" w14:textId="77777777" w:rsidR="00300C42" w:rsidRPr="001817C7" w:rsidRDefault="00300C42">
            <w:pPr>
              <w:spacing w:before="40" w:after="40"/>
              <w:jc w:val="center"/>
              <w:rPr>
                <w:sz w:val="20"/>
                <w:szCs w:val="20"/>
              </w:rPr>
            </w:pPr>
          </w:p>
        </w:tc>
        <w:tc>
          <w:tcPr>
            <w:tcW w:w="753" w:type="dxa"/>
            <w:vAlign w:val="center"/>
          </w:tcPr>
          <w:p w14:paraId="38A2DB23" w14:textId="77777777" w:rsidR="00300C42" w:rsidRPr="001817C7" w:rsidRDefault="00300C42">
            <w:pPr>
              <w:spacing w:before="40" w:after="40"/>
              <w:jc w:val="center"/>
              <w:rPr>
                <w:sz w:val="20"/>
                <w:szCs w:val="20"/>
              </w:rPr>
            </w:pPr>
          </w:p>
        </w:tc>
        <w:tc>
          <w:tcPr>
            <w:tcW w:w="753" w:type="dxa"/>
            <w:tcBorders>
              <w:right w:val="double" w:sz="4" w:space="0" w:color="auto"/>
            </w:tcBorders>
            <w:vAlign w:val="center"/>
          </w:tcPr>
          <w:p w14:paraId="5ABDA1A2" w14:textId="77777777" w:rsidR="00300C42" w:rsidRPr="001817C7" w:rsidRDefault="00300C42">
            <w:pPr>
              <w:spacing w:before="40" w:after="40"/>
              <w:jc w:val="center"/>
              <w:rPr>
                <w:sz w:val="20"/>
                <w:szCs w:val="20"/>
              </w:rPr>
            </w:pPr>
          </w:p>
        </w:tc>
        <w:tc>
          <w:tcPr>
            <w:tcW w:w="752" w:type="dxa"/>
            <w:tcBorders>
              <w:right w:val="single" w:sz="4" w:space="0" w:color="auto"/>
            </w:tcBorders>
          </w:tcPr>
          <w:p w14:paraId="37EEAE7A" w14:textId="77777777" w:rsidR="00300C42" w:rsidRPr="001817C7"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5AA84401" w14:textId="77777777" w:rsidR="00300C42" w:rsidRPr="001817C7"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0445B15C" w14:textId="77777777" w:rsidR="00300C42" w:rsidRPr="001817C7" w:rsidRDefault="00300C42">
            <w:pPr>
              <w:spacing w:before="40" w:after="40"/>
              <w:jc w:val="center"/>
              <w:rPr>
                <w:rFonts w:cs="Arial"/>
                <w:sz w:val="20"/>
                <w:szCs w:val="20"/>
              </w:rPr>
            </w:pPr>
          </w:p>
        </w:tc>
        <w:tc>
          <w:tcPr>
            <w:tcW w:w="753" w:type="dxa"/>
            <w:tcBorders>
              <w:left w:val="double" w:sz="4" w:space="0" w:color="auto"/>
            </w:tcBorders>
            <w:vAlign w:val="center"/>
          </w:tcPr>
          <w:p w14:paraId="00B1C57B" w14:textId="77777777" w:rsidR="00300C42" w:rsidRPr="001817C7" w:rsidRDefault="00300C42">
            <w:pPr>
              <w:spacing w:before="40" w:after="40"/>
              <w:jc w:val="center"/>
              <w:rPr>
                <w:sz w:val="20"/>
                <w:szCs w:val="20"/>
              </w:rPr>
            </w:pPr>
            <w:r w:rsidRPr="001817C7">
              <w:rPr>
                <w:rFonts w:cs="Arial"/>
                <w:sz w:val="20"/>
                <w:szCs w:val="20"/>
              </w:rPr>
              <w:t>128</w:t>
            </w:r>
          </w:p>
        </w:tc>
        <w:tc>
          <w:tcPr>
            <w:tcW w:w="753" w:type="dxa"/>
            <w:vAlign w:val="center"/>
          </w:tcPr>
          <w:p w14:paraId="3EF1B5DB" w14:textId="77777777" w:rsidR="00300C42" w:rsidRPr="001817C7" w:rsidRDefault="00300C42">
            <w:pPr>
              <w:spacing w:before="40" w:after="40"/>
              <w:jc w:val="center"/>
              <w:rPr>
                <w:sz w:val="20"/>
                <w:szCs w:val="20"/>
              </w:rPr>
            </w:pPr>
            <w:r w:rsidRPr="001817C7">
              <w:rPr>
                <w:rFonts w:cs="Arial"/>
                <w:sz w:val="20"/>
                <w:szCs w:val="20"/>
              </w:rPr>
              <w:t>9</w:t>
            </w:r>
          </w:p>
        </w:tc>
        <w:tc>
          <w:tcPr>
            <w:tcW w:w="754" w:type="dxa"/>
            <w:vAlign w:val="center"/>
          </w:tcPr>
          <w:p w14:paraId="59DA78E9" w14:textId="77777777" w:rsidR="00300C42" w:rsidRPr="001817C7" w:rsidRDefault="00300C42">
            <w:pPr>
              <w:spacing w:before="40" w:after="40"/>
              <w:jc w:val="center"/>
              <w:rPr>
                <w:sz w:val="20"/>
                <w:szCs w:val="20"/>
              </w:rPr>
            </w:pPr>
            <w:r w:rsidRPr="001817C7">
              <w:rPr>
                <w:rFonts w:cs="Arial"/>
                <w:sz w:val="20"/>
                <w:szCs w:val="20"/>
              </w:rPr>
              <w:t>0.81</w:t>
            </w:r>
          </w:p>
        </w:tc>
      </w:tr>
      <w:tr w:rsidR="001817C7" w:rsidRPr="001817C7" w14:paraId="4AB85B16" w14:textId="77777777">
        <w:tc>
          <w:tcPr>
            <w:tcW w:w="928" w:type="dxa"/>
            <w:vMerge/>
            <w:tcBorders>
              <w:right w:val="double" w:sz="4" w:space="0" w:color="auto"/>
            </w:tcBorders>
            <w:vAlign w:val="center"/>
          </w:tcPr>
          <w:p w14:paraId="741BD6E9" w14:textId="77777777" w:rsidR="00300C42" w:rsidRPr="001817C7" w:rsidRDefault="00300C42">
            <w:pPr>
              <w:spacing w:before="40" w:after="40"/>
              <w:jc w:val="center"/>
              <w:rPr>
                <w:sz w:val="20"/>
                <w:szCs w:val="20"/>
              </w:rPr>
            </w:pPr>
          </w:p>
        </w:tc>
        <w:tc>
          <w:tcPr>
            <w:tcW w:w="751" w:type="dxa"/>
            <w:tcBorders>
              <w:left w:val="double" w:sz="4" w:space="0" w:color="auto"/>
            </w:tcBorders>
            <w:vAlign w:val="center"/>
          </w:tcPr>
          <w:p w14:paraId="6B10A4B9" w14:textId="77777777" w:rsidR="00300C42" w:rsidRPr="001817C7" w:rsidRDefault="00300C42">
            <w:pPr>
              <w:spacing w:before="40" w:after="40"/>
              <w:jc w:val="center"/>
              <w:rPr>
                <w:sz w:val="20"/>
                <w:szCs w:val="20"/>
              </w:rPr>
            </w:pPr>
          </w:p>
        </w:tc>
        <w:tc>
          <w:tcPr>
            <w:tcW w:w="752" w:type="dxa"/>
            <w:vAlign w:val="center"/>
          </w:tcPr>
          <w:p w14:paraId="788C459D" w14:textId="77777777" w:rsidR="00300C42" w:rsidRPr="001817C7" w:rsidRDefault="00300C42">
            <w:pPr>
              <w:spacing w:before="40" w:after="40"/>
              <w:jc w:val="center"/>
              <w:rPr>
                <w:sz w:val="20"/>
                <w:szCs w:val="20"/>
              </w:rPr>
            </w:pPr>
          </w:p>
        </w:tc>
        <w:tc>
          <w:tcPr>
            <w:tcW w:w="753" w:type="dxa"/>
            <w:tcBorders>
              <w:right w:val="double" w:sz="4" w:space="0" w:color="auto"/>
            </w:tcBorders>
            <w:vAlign w:val="center"/>
          </w:tcPr>
          <w:p w14:paraId="38579458" w14:textId="77777777" w:rsidR="00300C42" w:rsidRPr="001817C7" w:rsidRDefault="00300C42">
            <w:pPr>
              <w:spacing w:before="40" w:after="40"/>
              <w:jc w:val="center"/>
              <w:rPr>
                <w:sz w:val="20"/>
                <w:szCs w:val="20"/>
              </w:rPr>
            </w:pPr>
          </w:p>
        </w:tc>
        <w:tc>
          <w:tcPr>
            <w:tcW w:w="753" w:type="dxa"/>
            <w:tcBorders>
              <w:left w:val="double" w:sz="4" w:space="0" w:color="auto"/>
            </w:tcBorders>
            <w:vAlign w:val="center"/>
          </w:tcPr>
          <w:p w14:paraId="12E2B4A3" w14:textId="77777777" w:rsidR="00300C42" w:rsidRPr="001817C7" w:rsidRDefault="00300C42">
            <w:pPr>
              <w:spacing w:before="40" w:after="40"/>
              <w:jc w:val="center"/>
              <w:rPr>
                <w:sz w:val="20"/>
                <w:szCs w:val="20"/>
              </w:rPr>
            </w:pPr>
          </w:p>
        </w:tc>
        <w:tc>
          <w:tcPr>
            <w:tcW w:w="753" w:type="dxa"/>
            <w:vAlign w:val="center"/>
          </w:tcPr>
          <w:p w14:paraId="1E387B54" w14:textId="77777777" w:rsidR="00300C42" w:rsidRPr="001817C7" w:rsidRDefault="00300C42">
            <w:pPr>
              <w:spacing w:before="40" w:after="40"/>
              <w:jc w:val="center"/>
              <w:rPr>
                <w:sz w:val="20"/>
                <w:szCs w:val="20"/>
              </w:rPr>
            </w:pPr>
          </w:p>
        </w:tc>
        <w:tc>
          <w:tcPr>
            <w:tcW w:w="753" w:type="dxa"/>
            <w:tcBorders>
              <w:right w:val="double" w:sz="4" w:space="0" w:color="auto"/>
            </w:tcBorders>
            <w:vAlign w:val="center"/>
          </w:tcPr>
          <w:p w14:paraId="77DFFC23" w14:textId="77777777" w:rsidR="00300C42" w:rsidRPr="001817C7" w:rsidRDefault="00300C42">
            <w:pPr>
              <w:spacing w:before="40" w:after="40"/>
              <w:jc w:val="center"/>
              <w:rPr>
                <w:sz w:val="20"/>
                <w:szCs w:val="20"/>
              </w:rPr>
            </w:pPr>
          </w:p>
        </w:tc>
        <w:tc>
          <w:tcPr>
            <w:tcW w:w="752" w:type="dxa"/>
            <w:tcBorders>
              <w:right w:val="single" w:sz="4" w:space="0" w:color="auto"/>
            </w:tcBorders>
          </w:tcPr>
          <w:p w14:paraId="66D8B483" w14:textId="77777777" w:rsidR="00300C42" w:rsidRPr="001817C7" w:rsidRDefault="00300C42">
            <w:pPr>
              <w:spacing w:before="40" w:after="40"/>
              <w:jc w:val="center"/>
              <w:rPr>
                <w:rFonts w:cs="Arial"/>
                <w:sz w:val="20"/>
                <w:szCs w:val="20"/>
              </w:rPr>
            </w:pPr>
          </w:p>
        </w:tc>
        <w:tc>
          <w:tcPr>
            <w:tcW w:w="753" w:type="dxa"/>
            <w:tcBorders>
              <w:left w:val="single" w:sz="4" w:space="0" w:color="auto"/>
              <w:right w:val="single" w:sz="4" w:space="0" w:color="auto"/>
            </w:tcBorders>
          </w:tcPr>
          <w:p w14:paraId="2291F1B7" w14:textId="77777777" w:rsidR="00300C42" w:rsidRPr="001817C7" w:rsidRDefault="00300C42">
            <w:pPr>
              <w:spacing w:before="40" w:after="40"/>
              <w:jc w:val="center"/>
              <w:rPr>
                <w:rFonts w:cs="Arial"/>
                <w:sz w:val="20"/>
                <w:szCs w:val="20"/>
              </w:rPr>
            </w:pPr>
          </w:p>
        </w:tc>
        <w:tc>
          <w:tcPr>
            <w:tcW w:w="754" w:type="dxa"/>
            <w:tcBorders>
              <w:left w:val="single" w:sz="4" w:space="0" w:color="auto"/>
              <w:right w:val="double" w:sz="4" w:space="0" w:color="auto"/>
            </w:tcBorders>
          </w:tcPr>
          <w:p w14:paraId="53F2B114" w14:textId="77777777" w:rsidR="00300C42" w:rsidRPr="001817C7" w:rsidRDefault="00300C42">
            <w:pPr>
              <w:spacing w:before="40" w:after="40"/>
              <w:jc w:val="center"/>
              <w:rPr>
                <w:rFonts w:cs="Arial"/>
                <w:sz w:val="20"/>
                <w:szCs w:val="20"/>
              </w:rPr>
            </w:pPr>
          </w:p>
        </w:tc>
        <w:tc>
          <w:tcPr>
            <w:tcW w:w="753" w:type="dxa"/>
            <w:tcBorders>
              <w:left w:val="double" w:sz="4" w:space="0" w:color="auto"/>
            </w:tcBorders>
            <w:vAlign w:val="center"/>
          </w:tcPr>
          <w:p w14:paraId="20801D91" w14:textId="77777777" w:rsidR="00300C42" w:rsidRPr="001817C7" w:rsidRDefault="00300C42">
            <w:pPr>
              <w:spacing w:before="40" w:after="40"/>
              <w:jc w:val="center"/>
              <w:rPr>
                <w:rFonts w:cs="Arial"/>
                <w:sz w:val="20"/>
                <w:szCs w:val="20"/>
              </w:rPr>
            </w:pPr>
            <w:r w:rsidRPr="001817C7">
              <w:rPr>
                <w:rFonts w:cs="Arial"/>
                <w:sz w:val="20"/>
                <w:szCs w:val="20"/>
              </w:rPr>
              <w:t>64</w:t>
            </w:r>
          </w:p>
        </w:tc>
        <w:tc>
          <w:tcPr>
            <w:tcW w:w="753" w:type="dxa"/>
            <w:vAlign w:val="center"/>
          </w:tcPr>
          <w:p w14:paraId="6DFAFA39"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4" w:type="dxa"/>
            <w:vAlign w:val="center"/>
          </w:tcPr>
          <w:p w14:paraId="505E3F89" w14:textId="77777777" w:rsidR="00300C42" w:rsidRPr="001817C7" w:rsidRDefault="00300C42">
            <w:pPr>
              <w:spacing w:before="40" w:after="40"/>
              <w:jc w:val="center"/>
              <w:rPr>
                <w:sz w:val="20"/>
                <w:szCs w:val="20"/>
              </w:rPr>
            </w:pPr>
            <w:r w:rsidRPr="001817C7">
              <w:rPr>
                <w:rFonts w:cs="Arial"/>
                <w:sz w:val="20"/>
                <w:szCs w:val="20"/>
              </w:rPr>
              <w:t>0.82</w:t>
            </w:r>
          </w:p>
        </w:tc>
      </w:tr>
    </w:tbl>
    <w:p w14:paraId="1D8B3F8C" w14:textId="77777777" w:rsidR="00300C42" w:rsidRDefault="00300C42" w:rsidP="00300C42"/>
    <w:p w14:paraId="0211AE90" w14:textId="22860820" w:rsidR="00300C42" w:rsidRPr="00E215F0" w:rsidRDefault="00300C42" w:rsidP="00300C42">
      <w:pPr>
        <w:pStyle w:val="Caption"/>
      </w:pPr>
      <w:bookmarkStart w:id="1504" w:name="_Ref163133373"/>
      <w:r w:rsidRPr="00194B5B">
        <w:t xml:space="preserve">Table </w:t>
      </w:r>
      <w:r w:rsidR="00E70DE4">
        <w:fldChar w:fldCharType="begin"/>
      </w:r>
      <w:r w:rsidR="00E70DE4">
        <w:instrText xml:space="preserve"> SEQ Table \* ARABIC </w:instrText>
      </w:r>
      <w:r w:rsidR="00E70DE4">
        <w:fldChar w:fldCharType="separate"/>
      </w:r>
      <w:r w:rsidR="00C713E4">
        <w:rPr>
          <w:noProof/>
        </w:rPr>
        <w:t>5</w:t>
      </w:r>
      <w:r w:rsidR="00E70DE4">
        <w:rPr>
          <w:noProof/>
        </w:rPr>
        <w:fldChar w:fldCharType="end"/>
      </w:r>
      <w:bookmarkEnd w:id="1504"/>
      <w:r w:rsidRPr="00194B5B">
        <w:t xml:space="preserve"> Comparison of 90%tile 2D UE positioning errors </w:t>
      </w:r>
      <m:oMath>
        <m:sSub>
          <m:sSubPr>
            <m:ctrlPr>
              <w:rPr>
                <w:rFonts w:ascii="Cambria Math" w:eastAsia="Calibri"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90%</m:t>
            </m:r>
          </m:sub>
        </m:sSub>
      </m:oMath>
      <w:r w:rsidRPr="00194B5B">
        <w:t xml:space="preserve"> (in meters) for 2-port CIR</w:t>
      </w:r>
      <w:r>
        <w:t xml:space="preserve"> a</w:t>
      </w:r>
      <w:r w:rsidRPr="00194B5B">
        <w:t xml:space="preserve">nd PDP using different combination of sample lengths and sub-sampling sizes in the </w:t>
      </w:r>
      <w:r w:rsidRPr="00194B5B">
        <w:rPr>
          <w:lang w:eastAsia="ja-JP"/>
        </w:rPr>
        <w:t xml:space="preserve">{60%, 6m, 2m} </w:t>
      </w:r>
      <w:proofErr w:type="spellStart"/>
      <w:r w:rsidRPr="00194B5B">
        <w:rPr>
          <w:lang w:eastAsia="ja-JP"/>
        </w:rPr>
        <w:t>InF</w:t>
      </w:r>
      <w:proofErr w:type="spellEnd"/>
      <w:r w:rsidRPr="00194B5B">
        <w:rPr>
          <w:lang w:eastAsia="ja-JP"/>
        </w:rPr>
        <w:t>-DH scenario</w:t>
      </w:r>
      <w:r w:rsidRPr="00194B5B">
        <w:t xml:space="preserve">. The positioning accuracy is for the “small model” for centralized direct positioning trained with 40,000 samples </w:t>
      </w:r>
      <w:r w:rsidRPr="00E215F0">
        <w:fldChar w:fldCharType="begin"/>
      </w:r>
      <w:r w:rsidRPr="00E215F0">
        <w:instrText xml:space="preserve"> REF _Ref158730650 \r \h </w:instrText>
      </w:r>
      <w:r w:rsidRPr="00E215F0">
        <w:fldChar w:fldCharType="separate"/>
      </w:r>
      <w:r w:rsidR="00C713E4">
        <w:t>[6]</w:t>
      </w:r>
      <w:r w:rsidRPr="00E215F0">
        <w:fldChar w:fldCharType="end"/>
      </w:r>
      <w:r>
        <w:t xml:space="preserve"> and dynamic TRP selection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trp</m:t>
            </m:r>
          </m:sub>
          <m:sup>
            <m:r>
              <m:rPr>
                <m:sty m:val="bi"/>
              </m:rPr>
              <w:rPr>
                <w:rFonts w:ascii="Cambria Math" w:hAnsi="Cambria Math"/>
              </w:rPr>
              <m:t>'</m:t>
            </m:r>
          </m:sup>
        </m:sSubSup>
        <m:r>
          <m:rPr>
            <m:sty m:val="bi"/>
          </m:rPr>
          <w:rPr>
            <w:rFonts w:ascii="Cambria Math" w:hAnsi="Cambria Math"/>
          </w:rPr>
          <m:t>=</m:t>
        </m:r>
      </m:oMath>
      <w:r>
        <w:t xml:space="preserve"> 18, 9, 6 or 3.</w:t>
      </w:r>
    </w:p>
    <w:tbl>
      <w:tblPr>
        <w:tblStyle w:val="TableGrid"/>
        <w:tblW w:w="0" w:type="auto"/>
        <w:tblInd w:w="1615" w:type="dxa"/>
        <w:tblLook w:val="04A0" w:firstRow="1" w:lastRow="0" w:firstColumn="1" w:lastColumn="0" w:noHBand="0" w:noVBand="1"/>
      </w:tblPr>
      <w:tblGrid>
        <w:gridCol w:w="928"/>
        <w:gridCol w:w="751"/>
        <w:gridCol w:w="752"/>
        <w:gridCol w:w="752"/>
        <w:gridCol w:w="753"/>
        <w:gridCol w:w="753"/>
        <w:gridCol w:w="753"/>
        <w:gridCol w:w="753"/>
        <w:gridCol w:w="753"/>
      </w:tblGrid>
      <w:tr w:rsidR="001817C7" w:rsidRPr="001817C7" w14:paraId="3EC7D17E" w14:textId="77777777">
        <w:tc>
          <w:tcPr>
            <w:tcW w:w="928" w:type="dxa"/>
            <w:vMerge w:val="restart"/>
            <w:tcBorders>
              <w:left w:val="single" w:sz="4" w:space="0" w:color="auto"/>
            </w:tcBorders>
            <w:vAlign w:val="center"/>
          </w:tcPr>
          <w:p w14:paraId="7B626F79" w14:textId="77777777" w:rsidR="00300C42" w:rsidRPr="001817C7" w:rsidRDefault="00300C42">
            <w:pPr>
              <w:spacing w:before="40" w:after="40"/>
              <w:jc w:val="center"/>
              <w:rPr>
                <w:sz w:val="20"/>
                <w:szCs w:val="20"/>
              </w:rPr>
            </w:pPr>
            <w:r w:rsidRPr="001817C7">
              <w:rPr>
                <w:sz w:val="20"/>
                <w:szCs w:val="20"/>
              </w:rPr>
              <w:t xml:space="preserve">Number of real values </w:t>
            </w:r>
          </w:p>
        </w:tc>
        <w:tc>
          <w:tcPr>
            <w:tcW w:w="3008" w:type="dxa"/>
            <w:gridSpan w:val="4"/>
            <w:tcBorders>
              <w:left w:val="double" w:sz="4" w:space="0" w:color="auto"/>
              <w:bottom w:val="single" w:sz="4" w:space="0" w:color="auto"/>
              <w:right w:val="double" w:sz="4" w:space="0" w:color="auto"/>
            </w:tcBorders>
            <w:vAlign w:val="center"/>
          </w:tcPr>
          <w:p w14:paraId="0A5B78C3" w14:textId="77777777" w:rsidR="00300C42" w:rsidRPr="001817C7" w:rsidRDefault="00300C42">
            <w:pPr>
              <w:spacing w:before="40" w:after="40"/>
              <w:jc w:val="center"/>
              <w:rPr>
                <w:sz w:val="20"/>
                <w:szCs w:val="20"/>
              </w:rPr>
            </w:pPr>
            <w:r w:rsidRPr="001817C7">
              <w:rPr>
                <w:sz w:val="20"/>
                <w:szCs w:val="20"/>
              </w:rPr>
              <w:t>2-port CIR</w:t>
            </w:r>
          </w:p>
        </w:tc>
        <w:tc>
          <w:tcPr>
            <w:tcW w:w="3012" w:type="dxa"/>
            <w:gridSpan w:val="4"/>
            <w:tcBorders>
              <w:bottom w:val="single" w:sz="4" w:space="0" w:color="auto"/>
              <w:right w:val="single" w:sz="4" w:space="0" w:color="auto"/>
            </w:tcBorders>
            <w:vAlign w:val="center"/>
          </w:tcPr>
          <w:p w14:paraId="7234885C" w14:textId="77777777" w:rsidR="00300C42" w:rsidRPr="001817C7" w:rsidRDefault="00300C42">
            <w:pPr>
              <w:spacing w:before="40" w:after="40"/>
              <w:jc w:val="center"/>
              <w:rPr>
                <w:sz w:val="20"/>
                <w:szCs w:val="20"/>
              </w:rPr>
            </w:pPr>
            <w:r w:rsidRPr="001817C7">
              <w:rPr>
                <w:sz w:val="20"/>
                <w:szCs w:val="20"/>
              </w:rPr>
              <w:t>PDP</w:t>
            </w:r>
          </w:p>
        </w:tc>
      </w:tr>
      <w:tr w:rsidR="001817C7" w:rsidRPr="001817C7" w14:paraId="5869763C" w14:textId="77777777">
        <w:tc>
          <w:tcPr>
            <w:tcW w:w="928" w:type="dxa"/>
            <w:vMerge/>
            <w:tcBorders>
              <w:left w:val="single" w:sz="4" w:space="0" w:color="auto"/>
              <w:bottom w:val="double" w:sz="4" w:space="0" w:color="auto"/>
            </w:tcBorders>
          </w:tcPr>
          <w:p w14:paraId="57099391" w14:textId="77777777" w:rsidR="00300C42" w:rsidRPr="001817C7" w:rsidRDefault="00300C42">
            <w:pPr>
              <w:spacing w:before="40" w:after="40"/>
              <w:jc w:val="center"/>
              <w:rPr>
                <w:sz w:val="20"/>
                <w:szCs w:val="20"/>
              </w:rPr>
            </w:pPr>
          </w:p>
        </w:tc>
        <w:tc>
          <w:tcPr>
            <w:tcW w:w="751" w:type="dxa"/>
            <w:tcBorders>
              <w:top w:val="single" w:sz="4" w:space="0" w:color="auto"/>
              <w:left w:val="double" w:sz="4" w:space="0" w:color="auto"/>
              <w:bottom w:val="double" w:sz="4" w:space="0" w:color="auto"/>
            </w:tcBorders>
            <w:vAlign w:val="center"/>
          </w:tcPr>
          <w:p w14:paraId="256F0422"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2" w:type="dxa"/>
            <w:tcBorders>
              <w:top w:val="single" w:sz="4" w:space="0" w:color="auto"/>
              <w:bottom w:val="double" w:sz="4" w:space="0" w:color="auto"/>
            </w:tcBorders>
            <w:vAlign w:val="center"/>
          </w:tcPr>
          <w:p w14:paraId="2EFE59C1"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2" w:type="dxa"/>
            <w:tcBorders>
              <w:top w:val="single" w:sz="4" w:space="0" w:color="auto"/>
              <w:bottom w:val="double" w:sz="4" w:space="0" w:color="auto"/>
            </w:tcBorders>
            <w:vAlign w:val="center"/>
          </w:tcPr>
          <w:p w14:paraId="6EC60CF0"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bottom w:val="double" w:sz="4" w:space="0" w:color="auto"/>
              <w:right w:val="double" w:sz="4" w:space="0" w:color="auto"/>
            </w:tcBorders>
            <w:vAlign w:val="center"/>
          </w:tcPr>
          <w:p w14:paraId="3EEB4C7F"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c>
          <w:tcPr>
            <w:tcW w:w="753" w:type="dxa"/>
            <w:tcBorders>
              <w:top w:val="single" w:sz="4" w:space="0" w:color="auto"/>
              <w:bottom w:val="double" w:sz="4" w:space="0" w:color="auto"/>
              <w:right w:val="single" w:sz="4" w:space="0" w:color="auto"/>
            </w:tcBorders>
            <w:vAlign w:val="center"/>
          </w:tcPr>
          <w:p w14:paraId="63E280F9"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trp</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037AAC53" w14:textId="77777777" w:rsidR="00300C42" w:rsidRPr="001817C7" w:rsidRDefault="00B27F97">
            <w:pPr>
              <w:spacing w:before="40" w:after="40"/>
              <w:jc w:val="center"/>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143193CB" w14:textId="77777777" w:rsidR="00300C42" w:rsidRPr="001817C7" w:rsidRDefault="00B27F97">
            <w:pPr>
              <w:spacing w:before="40" w:after="40"/>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m:oMathPara>
          </w:p>
        </w:tc>
        <w:tc>
          <w:tcPr>
            <w:tcW w:w="753" w:type="dxa"/>
            <w:tcBorders>
              <w:top w:val="single" w:sz="4" w:space="0" w:color="auto"/>
              <w:left w:val="single" w:sz="4" w:space="0" w:color="auto"/>
              <w:bottom w:val="double" w:sz="4" w:space="0" w:color="auto"/>
              <w:right w:val="single" w:sz="4" w:space="0" w:color="auto"/>
            </w:tcBorders>
            <w:vAlign w:val="center"/>
          </w:tcPr>
          <w:p w14:paraId="4CFF8998" w14:textId="77777777" w:rsidR="00300C42" w:rsidRPr="001817C7" w:rsidRDefault="00B27F97">
            <w:pPr>
              <w:spacing w:before="40" w:after="40"/>
              <w:jc w:val="center"/>
            </w:pPr>
            <m:oMathPara>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90%</m:t>
                    </m:r>
                  </m:sub>
                </m:sSub>
              </m:oMath>
            </m:oMathPara>
          </w:p>
        </w:tc>
      </w:tr>
      <w:tr w:rsidR="001817C7" w:rsidRPr="001817C7" w14:paraId="3331E601" w14:textId="77777777">
        <w:tc>
          <w:tcPr>
            <w:tcW w:w="928" w:type="dxa"/>
            <w:tcBorders>
              <w:top w:val="double" w:sz="4" w:space="0" w:color="auto"/>
              <w:left w:val="single" w:sz="4" w:space="0" w:color="auto"/>
            </w:tcBorders>
            <w:vAlign w:val="center"/>
          </w:tcPr>
          <w:p w14:paraId="1474A1B6" w14:textId="77777777" w:rsidR="00300C42" w:rsidRPr="001817C7" w:rsidRDefault="00300C42">
            <w:pPr>
              <w:spacing w:before="40" w:after="40"/>
              <w:jc w:val="center"/>
              <w:rPr>
                <w:rFonts w:cs="Arial"/>
                <w:sz w:val="20"/>
                <w:szCs w:val="20"/>
              </w:rPr>
            </w:pPr>
            <w:r w:rsidRPr="001817C7">
              <w:rPr>
                <w:rFonts w:cs="Arial"/>
                <w:sz w:val="20"/>
                <w:szCs w:val="20"/>
              </w:rPr>
              <w:t>18432</w:t>
            </w:r>
          </w:p>
        </w:tc>
        <w:tc>
          <w:tcPr>
            <w:tcW w:w="751" w:type="dxa"/>
            <w:tcBorders>
              <w:top w:val="double" w:sz="4" w:space="0" w:color="auto"/>
              <w:left w:val="double" w:sz="4" w:space="0" w:color="auto"/>
            </w:tcBorders>
            <w:vAlign w:val="center"/>
          </w:tcPr>
          <w:p w14:paraId="596C7BD7" w14:textId="77777777" w:rsidR="00300C42" w:rsidRPr="001817C7" w:rsidRDefault="00300C42">
            <w:pPr>
              <w:spacing w:before="40" w:after="40"/>
              <w:jc w:val="center"/>
              <w:rPr>
                <w:rFonts w:cs="Arial"/>
                <w:sz w:val="20"/>
                <w:szCs w:val="20"/>
              </w:rPr>
            </w:pPr>
            <w:r w:rsidRPr="001817C7">
              <w:rPr>
                <w:rFonts w:cs="Arial"/>
                <w:sz w:val="20"/>
                <w:szCs w:val="20"/>
              </w:rPr>
              <w:t>18</w:t>
            </w:r>
          </w:p>
        </w:tc>
        <w:tc>
          <w:tcPr>
            <w:tcW w:w="752" w:type="dxa"/>
            <w:tcBorders>
              <w:top w:val="double" w:sz="4" w:space="0" w:color="auto"/>
            </w:tcBorders>
            <w:vAlign w:val="center"/>
          </w:tcPr>
          <w:p w14:paraId="31D7C4D8"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2" w:type="dxa"/>
            <w:tcBorders>
              <w:top w:val="double" w:sz="4" w:space="0" w:color="auto"/>
            </w:tcBorders>
            <w:vAlign w:val="center"/>
          </w:tcPr>
          <w:p w14:paraId="3DA74EDD"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top w:val="double" w:sz="4" w:space="0" w:color="auto"/>
              <w:right w:val="double" w:sz="4" w:space="0" w:color="auto"/>
            </w:tcBorders>
            <w:vAlign w:val="center"/>
          </w:tcPr>
          <w:p w14:paraId="56893732" w14:textId="77777777" w:rsidR="00300C42" w:rsidRPr="001817C7" w:rsidRDefault="00300C42">
            <w:pPr>
              <w:spacing w:before="40" w:after="40"/>
              <w:jc w:val="center"/>
              <w:rPr>
                <w:rFonts w:cs="Arial"/>
                <w:sz w:val="20"/>
                <w:szCs w:val="20"/>
              </w:rPr>
            </w:pPr>
            <w:r w:rsidRPr="001817C7">
              <w:rPr>
                <w:rFonts w:cs="Arial"/>
                <w:sz w:val="20"/>
                <w:szCs w:val="20"/>
              </w:rPr>
              <w:t>0.37</w:t>
            </w:r>
          </w:p>
        </w:tc>
        <w:tc>
          <w:tcPr>
            <w:tcW w:w="753" w:type="dxa"/>
            <w:tcBorders>
              <w:top w:val="double" w:sz="4" w:space="0" w:color="auto"/>
              <w:right w:val="single" w:sz="4" w:space="0" w:color="auto"/>
            </w:tcBorders>
            <w:vAlign w:val="center"/>
          </w:tcPr>
          <w:p w14:paraId="69175ADE"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4005F175"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3F0CE42E"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top w:val="double" w:sz="4" w:space="0" w:color="auto"/>
              <w:left w:val="single" w:sz="4" w:space="0" w:color="auto"/>
              <w:right w:val="single" w:sz="4" w:space="0" w:color="auto"/>
            </w:tcBorders>
            <w:vAlign w:val="center"/>
          </w:tcPr>
          <w:p w14:paraId="6C9A87E8" w14:textId="77777777" w:rsidR="00300C42" w:rsidRPr="001817C7" w:rsidRDefault="00300C42">
            <w:pPr>
              <w:spacing w:before="40" w:after="40"/>
              <w:jc w:val="center"/>
              <w:rPr>
                <w:rFonts w:cs="Arial"/>
                <w:sz w:val="20"/>
                <w:szCs w:val="20"/>
              </w:rPr>
            </w:pPr>
            <w:r w:rsidRPr="001817C7">
              <w:rPr>
                <w:rFonts w:cs="Arial"/>
                <w:sz w:val="20"/>
                <w:szCs w:val="20"/>
              </w:rPr>
              <w:t> </w:t>
            </w:r>
          </w:p>
        </w:tc>
      </w:tr>
      <w:tr w:rsidR="001817C7" w:rsidRPr="001817C7" w14:paraId="0767E494" w14:textId="77777777">
        <w:tc>
          <w:tcPr>
            <w:tcW w:w="928" w:type="dxa"/>
            <w:tcBorders>
              <w:left w:val="single" w:sz="4" w:space="0" w:color="auto"/>
            </w:tcBorders>
            <w:vAlign w:val="center"/>
          </w:tcPr>
          <w:p w14:paraId="2687FA1C" w14:textId="77777777" w:rsidR="00300C42" w:rsidRPr="001817C7" w:rsidRDefault="00300C42">
            <w:pPr>
              <w:spacing w:before="40" w:after="40"/>
              <w:jc w:val="center"/>
              <w:rPr>
                <w:rFonts w:cs="Arial"/>
                <w:sz w:val="20"/>
                <w:szCs w:val="20"/>
              </w:rPr>
            </w:pPr>
            <w:r w:rsidRPr="001817C7">
              <w:rPr>
                <w:rFonts w:cs="Arial"/>
                <w:sz w:val="20"/>
                <w:szCs w:val="20"/>
              </w:rPr>
              <w:t>9216</w:t>
            </w:r>
          </w:p>
        </w:tc>
        <w:tc>
          <w:tcPr>
            <w:tcW w:w="751" w:type="dxa"/>
            <w:tcBorders>
              <w:left w:val="double" w:sz="4" w:space="0" w:color="auto"/>
            </w:tcBorders>
            <w:vAlign w:val="center"/>
          </w:tcPr>
          <w:p w14:paraId="4992C3A3"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2" w:type="dxa"/>
            <w:vAlign w:val="center"/>
          </w:tcPr>
          <w:p w14:paraId="1E681849"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2" w:type="dxa"/>
            <w:vAlign w:val="center"/>
          </w:tcPr>
          <w:p w14:paraId="1A787AB8"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right w:val="double" w:sz="4" w:space="0" w:color="auto"/>
            </w:tcBorders>
            <w:vAlign w:val="center"/>
          </w:tcPr>
          <w:p w14:paraId="1B08A24A" w14:textId="77777777" w:rsidR="00300C42" w:rsidRPr="001817C7" w:rsidRDefault="00300C42">
            <w:pPr>
              <w:spacing w:before="40" w:after="40"/>
              <w:jc w:val="center"/>
              <w:rPr>
                <w:rFonts w:cs="Arial"/>
                <w:sz w:val="20"/>
                <w:szCs w:val="20"/>
              </w:rPr>
            </w:pPr>
            <w:r w:rsidRPr="001817C7">
              <w:rPr>
                <w:rFonts w:cs="Arial"/>
                <w:sz w:val="20"/>
                <w:szCs w:val="20"/>
              </w:rPr>
              <w:t>0.95</w:t>
            </w:r>
          </w:p>
        </w:tc>
        <w:tc>
          <w:tcPr>
            <w:tcW w:w="753" w:type="dxa"/>
            <w:tcBorders>
              <w:right w:val="single" w:sz="4" w:space="0" w:color="auto"/>
            </w:tcBorders>
            <w:vAlign w:val="center"/>
          </w:tcPr>
          <w:p w14:paraId="3546A243"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71CBB2B6"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2E93F02C"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7C718BCB" w14:textId="77777777" w:rsidR="00300C42" w:rsidRPr="001817C7" w:rsidRDefault="00300C42">
            <w:pPr>
              <w:spacing w:before="40" w:after="40"/>
              <w:jc w:val="center"/>
              <w:rPr>
                <w:rFonts w:cs="Arial"/>
                <w:sz w:val="20"/>
                <w:szCs w:val="20"/>
              </w:rPr>
            </w:pPr>
            <w:r w:rsidRPr="001817C7">
              <w:rPr>
                <w:rFonts w:cs="Arial"/>
                <w:sz w:val="20"/>
                <w:szCs w:val="20"/>
              </w:rPr>
              <w:t> </w:t>
            </w:r>
          </w:p>
        </w:tc>
      </w:tr>
      <w:tr w:rsidR="001817C7" w:rsidRPr="001817C7" w14:paraId="3A8E0A27" w14:textId="77777777">
        <w:tc>
          <w:tcPr>
            <w:tcW w:w="928" w:type="dxa"/>
            <w:tcBorders>
              <w:left w:val="single" w:sz="4" w:space="0" w:color="auto"/>
            </w:tcBorders>
            <w:vAlign w:val="center"/>
          </w:tcPr>
          <w:p w14:paraId="2614C6B0" w14:textId="77777777" w:rsidR="00300C42" w:rsidRPr="001817C7" w:rsidRDefault="00300C42">
            <w:pPr>
              <w:spacing w:before="40" w:after="40"/>
              <w:jc w:val="center"/>
              <w:rPr>
                <w:rFonts w:cs="Arial"/>
                <w:sz w:val="20"/>
                <w:szCs w:val="20"/>
              </w:rPr>
            </w:pPr>
            <w:r w:rsidRPr="001817C7">
              <w:rPr>
                <w:rFonts w:cs="Arial"/>
                <w:sz w:val="20"/>
                <w:szCs w:val="20"/>
              </w:rPr>
              <w:t>6144</w:t>
            </w:r>
          </w:p>
        </w:tc>
        <w:tc>
          <w:tcPr>
            <w:tcW w:w="751" w:type="dxa"/>
            <w:tcBorders>
              <w:left w:val="double" w:sz="4" w:space="0" w:color="auto"/>
            </w:tcBorders>
            <w:vAlign w:val="center"/>
          </w:tcPr>
          <w:p w14:paraId="0617211D" w14:textId="77777777" w:rsidR="00300C42" w:rsidRPr="001817C7" w:rsidRDefault="00300C42">
            <w:pPr>
              <w:spacing w:before="40" w:after="40"/>
              <w:jc w:val="center"/>
              <w:rPr>
                <w:rFonts w:cs="Arial"/>
                <w:sz w:val="20"/>
                <w:szCs w:val="20"/>
              </w:rPr>
            </w:pPr>
            <w:r w:rsidRPr="001817C7">
              <w:rPr>
                <w:rFonts w:cs="Arial"/>
                <w:sz w:val="20"/>
                <w:szCs w:val="20"/>
              </w:rPr>
              <w:t>6</w:t>
            </w:r>
          </w:p>
        </w:tc>
        <w:tc>
          <w:tcPr>
            <w:tcW w:w="752" w:type="dxa"/>
            <w:vAlign w:val="center"/>
          </w:tcPr>
          <w:p w14:paraId="405DFA7A"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2" w:type="dxa"/>
            <w:vAlign w:val="center"/>
          </w:tcPr>
          <w:p w14:paraId="705EE2D9"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right w:val="double" w:sz="4" w:space="0" w:color="auto"/>
            </w:tcBorders>
            <w:vAlign w:val="center"/>
          </w:tcPr>
          <w:p w14:paraId="03319872" w14:textId="77777777" w:rsidR="00300C42" w:rsidRPr="001817C7" w:rsidRDefault="00300C42">
            <w:pPr>
              <w:spacing w:before="40" w:after="40"/>
              <w:jc w:val="center"/>
              <w:rPr>
                <w:rFonts w:cs="Arial"/>
                <w:sz w:val="20"/>
                <w:szCs w:val="20"/>
              </w:rPr>
            </w:pPr>
            <w:r w:rsidRPr="001817C7">
              <w:rPr>
                <w:rFonts w:cs="Arial"/>
                <w:sz w:val="20"/>
                <w:szCs w:val="20"/>
              </w:rPr>
              <w:t>1.39</w:t>
            </w:r>
          </w:p>
        </w:tc>
        <w:tc>
          <w:tcPr>
            <w:tcW w:w="753" w:type="dxa"/>
            <w:tcBorders>
              <w:right w:val="single" w:sz="4" w:space="0" w:color="auto"/>
            </w:tcBorders>
            <w:vAlign w:val="center"/>
          </w:tcPr>
          <w:p w14:paraId="20B1F966"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66B9896F"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76DA4DD3"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2FE88413" w14:textId="77777777" w:rsidR="00300C42" w:rsidRPr="001817C7" w:rsidRDefault="00300C42">
            <w:pPr>
              <w:spacing w:before="40" w:after="40"/>
              <w:jc w:val="center"/>
              <w:rPr>
                <w:rFonts w:cs="Arial"/>
                <w:sz w:val="20"/>
                <w:szCs w:val="20"/>
              </w:rPr>
            </w:pPr>
            <w:r w:rsidRPr="001817C7">
              <w:rPr>
                <w:rFonts w:cs="Arial"/>
                <w:sz w:val="20"/>
                <w:szCs w:val="20"/>
              </w:rPr>
              <w:t> </w:t>
            </w:r>
          </w:p>
        </w:tc>
      </w:tr>
      <w:tr w:rsidR="001817C7" w:rsidRPr="001817C7" w14:paraId="36E40EAA" w14:textId="77777777">
        <w:tc>
          <w:tcPr>
            <w:tcW w:w="928" w:type="dxa"/>
            <w:tcBorders>
              <w:left w:val="single" w:sz="4" w:space="0" w:color="auto"/>
            </w:tcBorders>
            <w:vAlign w:val="center"/>
          </w:tcPr>
          <w:p w14:paraId="065B2390" w14:textId="77777777" w:rsidR="00300C42" w:rsidRPr="001817C7" w:rsidRDefault="00300C42">
            <w:pPr>
              <w:spacing w:before="40" w:after="40"/>
              <w:jc w:val="center"/>
              <w:rPr>
                <w:rFonts w:cs="Arial"/>
                <w:sz w:val="20"/>
                <w:szCs w:val="20"/>
              </w:rPr>
            </w:pPr>
            <w:r w:rsidRPr="001817C7">
              <w:rPr>
                <w:rFonts w:cs="Arial"/>
                <w:sz w:val="20"/>
                <w:szCs w:val="20"/>
              </w:rPr>
              <w:t>4608</w:t>
            </w:r>
          </w:p>
        </w:tc>
        <w:tc>
          <w:tcPr>
            <w:tcW w:w="751" w:type="dxa"/>
            <w:tcBorders>
              <w:left w:val="double" w:sz="4" w:space="0" w:color="auto"/>
            </w:tcBorders>
            <w:vAlign w:val="center"/>
          </w:tcPr>
          <w:p w14:paraId="716FFF3C"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709F9C47"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363B36D2"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double" w:sz="4" w:space="0" w:color="auto"/>
            </w:tcBorders>
            <w:vAlign w:val="center"/>
          </w:tcPr>
          <w:p w14:paraId="18B2E6D7"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single" w:sz="4" w:space="0" w:color="auto"/>
            </w:tcBorders>
            <w:vAlign w:val="center"/>
          </w:tcPr>
          <w:p w14:paraId="224E83B3" w14:textId="77777777" w:rsidR="00300C42" w:rsidRPr="001817C7" w:rsidRDefault="00300C42">
            <w:pPr>
              <w:spacing w:before="40" w:after="40"/>
              <w:jc w:val="center"/>
              <w:rPr>
                <w:rFonts w:cs="Arial"/>
                <w:sz w:val="20"/>
                <w:szCs w:val="20"/>
              </w:rPr>
            </w:pPr>
            <w:r w:rsidRPr="001817C7">
              <w:rPr>
                <w:rFonts w:cs="Arial"/>
                <w:sz w:val="20"/>
                <w:szCs w:val="20"/>
              </w:rPr>
              <w:t>18</w:t>
            </w:r>
          </w:p>
        </w:tc>
        <w:tc>
          <w:tcPr>
            <w:tcW w:w="753" w:type="dxa"/>
            <w:tcBorders>
              <w:left w:val="single" w:sz="4" w:space="0" w:color="auto"/>
              <w:right w:val="single" w:sz="4" w:space="0" w:color="auto"/>
            </w:tcBorders>
            <w:vAlign w:val="center"/>
          </w:tcPr>
          <w:p w14:paraId="391F2958"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7B81DB19"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3FBF4EE2" w14:textId="77777777" w:rsidR="00300C42" w:rsidRPr="001817C7" w:rsidRDefault="00300C42">
            <w:pPr>
              <w:spacing w:before="40" w:after="40"/>
              <w:jc w:val="center"/>
              <w:rPr>
                <w:rFonts w:cs="Arial"/>
                <w:sz w:val="20"/>
                <w:szCs w:val="20"/>
              </w:rPr>
            </w:pPr>
            <w:r w:rsidRPr="001817C7">
              <w:rPr>
                <w:rFonts w:cs="Arial"/>
                <w:sz w:val="20"/>
                <w:szCs w:val="20"/>
              </w:rPr>
              <w:t>0.51</w:t>
            </w:r>
          </w:p>
        </w:tc>
      </w:tr>
      <w:tr w:rsidR="001817C7" w:rsidRPr="001817C7" w14:paraId="60CFBE7D" w14:textId="77777777">
        <w:tc>
          <w:tcPr>
            <w:tcW w:w="928" w:type="dxa"/>
            <w:tcBorders>
              <w:left w:val="single" w:sz="4" w:space="0" w:color="auto"/>
            </w:tcBorders>
            <w:vAlign w:val="center"/>
          </w:tcPr>
          <w:p w14:paraId="6782182F" w14:textId="77777777" w:rsidR="00300C42" w:rsidRPr="001817C7" w:rsidRDefault="00300C42">
            <w:pPr>
              <w:spacing w:before="40" w:after="40"/>
              <w:jc w:val="center"/>
              <w:rPr>
                <w:rFonts w:cs="Arial"/>
                <w:sz w:val="20"/>
                <w:szCs w:val="20"/>
              </w:rPr>
            </w:pPr>
            <w:r w:rsidRPr="001817C7">
              <w:rPr>
                <w:rFonts w:cs="Arial"/>
                <w:sz w:val="20"/>
                <w:szCs w:val="20"/>
              </w:rPr>
              <w:t>3072</w:t>
            </w:r>
          </w:p>
        </w:tc>
        <w:tc>
          <w:tcPr>
            <w:tcW w:w="751" w:type="dxa"/>
            <w:tcBorders>
              <w:left w:val="double" w:sz="4" w:space="0" w:color="auto"/>
            </w:tcBorders>
            <w:vAlign w:val="center"/>
          </w:tcPr>
          <w:p w14:paraId="04E6B68B" w14:textId="77777777" w:rsidR="00300C42" w:rsidRPr="001817C7" w:rsidRDefault="00300C42">
            <w:pPr>
              <w:spacing w:before="40" w:after="40"/>
              <w:jc w:val="center"/>
              <w:rPr>
                <w:rFonts w:cs="Arial"/>
                <w:sz w:val="20"/>
                <w:szCs w:val="20"/>
              </w:rPr>
            </w:pPr>
            <w:r w:rsidRPr="001817C7">
              <w:rPr>
                <w:rFonts w:cs="Arial"/>
                <w:sz w:val="20"/>
                <w:szCs w:val="20"/>
              </w:rPr>
              <w:t>3</w:t>
            </w:r>
          </w:p>
        </w:tc>
        <w:tc>
          <w:tcPr>
            <w:tcW w:w="752" w:type="dxa"/>
            <w:vAlign w:val="center"/>
          </w:tcPr>
          <w:p w14:paraId="21F5A274"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2" w:type="dxa"/>
            <w:vAlign w:val="center"/>
          </w:tcPr>
          <w:p w14:paraId="6765F935"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right w:val="double" w:sz="4" w:space="0" w:color="auto"/>
            </w:tcBorders>
            <w:vAlign w:val="center"/>
          </w:tcPr>
          <w:p w14:paraId="4E164184" w14:textId="77777777" w:rsidR="00300C42" w:rsidRPr="001817C7" w:rsidRDefault="00300C42">
            <w:pPr>
              <w:spacing w:before="40" w:after="40"/>
              <w:jc w:val="center"/>
              <w:rPr>
                <w:rFonts w:cs="Arial"/>
                <w:sz w:val="20"/>
                <w:szCs w:val="20"/>
              </w:rPr>
            </w:pPr>
            <w:r w:rsidRPr="001817C7">
              <w:rPr>
                <w:rFonts w:cs="Arial"/>
                <w:sz w:val="20"/>
                <w:szCs w:val="20"/>
              </w:rPr>
              <w:t>2.18</w:t>
            </w:r>
          </w:p>
        </w:tc>
        <w:tc>
          <w:tcPr>
            <w:tcW w:w="753" w:type="dxa"/>
            <w:tcBorders>
              <w:right w:val="single" w:sz="4" w:space="0" w:color="auto"/>
            </w:tcBorders>
            <w:vAlign w:val="center"/>
          </w:tcPr>
          <w:p w14:paraId="46DC47EF"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0BC073A5"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71212FEB"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left w:val="single" w:sz="4" w:space="0" w:color="auto"/>
              <w:right w:val="single" w:sz="4" w:space="0" w:color="auto"/>
            </w:tcBorders>
            <w:vAlign w:val="center"/>
          </w:tcPr>
          <w:p w14:paraId="2138464E" w14:textId="77777777" w:rsidR="00300C42" w:rsidRPr="001817C7" w:rsidRDefault="00300C42">
            <w:pPr>
              <w:spacing w:before="40" w:after="40"/>
              <w:jc w:val="center"/>
              <w:rPr>
                <w:rFonts w:cs="Arial"/>
                <w:sz w:val="20"/>
                <w:szCs w:val="20"/>
              </w:rPr>
            </w:pPr>
            <w:r w:rsidRPr="001817C7">
              <w:rPr>
                <w:rFonts w:cs="Arial"/>
                <w:sz w:val="20"/>
                <w:szCs w:val="20"/>
              </w:rPr>
              <w:t> </w:t>
            </w:r>
          </w:p>
        </w:tc>
      </w:tr>
      <w:tr w:rsidR="001817C7" w:rsidRPr="001817C7" w14:paraId="21722D78" w14:textId="77777777">
        <w:tc>
          <w:tcPr>
            <w:tcW w:w="928" w:type="dxa"/>
            <w:tcBorders>
              <w:left w:val="single" w:sz="4" w:space="0" w:color="auto"/>
            </w:tcBorders>
            <w:vAlign w:val="center"/>
          </w:tcPr>
          <w:p w14:paraId="6F1ACD43" w14:textId="77777777" w:rsidR="00300C42" w:rsidRPr="001817C7" w:rsidRDefault="00300C42">
            <w:pPr>
              <w:spacing w:before="40" w:after="40"/>
              <w:jc w:val="center"/>
              <w:rPr>
                <w:rFonts w:cs="Arial"/>
                <w:sz w:val="20"/>
                <w:szCs w:val="20"/>
              </w:rPr>
            </w:pPr>
            <w:r w:rsidRPr="001817C7">
              <w:rPr>
                <w:rFonts w:cs="Arial"/>
                <w:sz w:val="20"/>
                <w:szCs w:val="20"/>
              </w:rPr>
              <w:lastRenderedPageBreak/>
              <w:t>2304</w:t>
            </w:r>
          </w:p>
        </w:tc>
        <w:tc>
          <w:tcPr>
            <w:tcW w:w="751" w:type="dxa"/>
            <w:tcBorders>
              <w:left w:val="double" w:sz="4" w:space="0" w:color="auto"/>
            </w:tcBorders>
            <w:vAlign w:val="center"/>
          </w:tcPr>
          <w:p w14:paraId="724180B1"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55F30228"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66A69C1C"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double" w:sz="4" w:space="0" w:color="auto"/>
            </w:tcBorders>
            <w:vAlign w:val="center"/>
          </w:tcPr>
          <w:p w14:paraId="20BFC760"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single" w:sz="4" w:space="0" w:color="auto"/>
            </w:tcBorders>
            <w:vAlign w:val="center"/>
          </w:tcPr>
          <w:p w14:paraId="7850623F" w14:textId="77777777" w:rsidR="00300C42" w:rsidRPr="001817C7" w:rsidRDefault="00300C42">
            <w:pPr>
              <w:spacing w:before="40" w:after="40"/>
              <w:jc w:val="center"/>
              <w:rPr>
                <w:rFonts w:cs="Arial"/>
                <w:sz w:val="20"/>
                <w:szCs w:val="20"/>
              </w:rPr>
            </w:pPr>
            <w:r w:rsidRPr="001817C7">
              <w:rPr>
                <w:rFonts w:cs="Arial"/>
                <w:sz w:val="20"/>
                <w:szCs w:val="20"/>
              </w:rPr>
              <w:t>9</w:t>
            </w:r>
          </w:p>
        </w:tc>
        <w:tc>
          <w:tcPr>
            <w:tcW w:w="753" w:type="dxa"/>
            <w:tcBorders>
              <w:left w:val="single" w:sz="4" w:space="0" w:color="auto"/>
              <w:right w:val="single" w:sz="4" w:space="0" w:color="auto"/>
            </w:tcBorders>
            <w:vAlign w:val="center"/>
          </w:tcPr>
          <w:p w14:paraId="3ED609D1"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34436560"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1894F489" w14:textId="77777777" w:rsidR="00300C42" w:rsidRPr="001817C7" w:rsidRDefault="00300C42">
            <w:pPr>
              <w:spacing w:before="40" w:after="40"/>
              <w:jc w:val="center"/>
              <w:rPr>
                <w:rFonts w:cs="Arial"/>
                <w:sz w:val="20"/>
                <w:szCs w:val="20"/>
              </w:rPr>
            </w:pPr>
            <w:r w:rsidRPr="001817C7">
              <w:rPr>
                <w:rFonts w:cs="Arial"/>
                <w:sz w:val="20"/>
                <w:szCs w:val="20"/>
              </w:rPr>
              <w:t>1.07</w:t>
            </w:r>
          </w:p>
        </w:tc>
      </w:tr>
      <w:tr w:rsidR="001817C7" w:rsidRPr="001817C7" w14:paraId="51FB5ECF" w14:textId="77777777">
        <w:tc>
          <w:tcPr>
            <w:tcW w:w="928" w:type="dxa"/>
            <w:tcBorders>
              <w:left w:val="single" w:sz="4" w:space="0" w:color="auto"/>
            </w:tcBorders>
            <w:vAlign w:val="center"/>
          </w:tcPr>
          <w:p w14:paraId="37D3F09C" w14:textId="77777777" w:rsidR="00300C42" w:rsidRPr="001817C7" w:rsidRDefault="00300C42">
            <w:pPr>
              <w:spacing w:before="40" w:after="40"/>
              <w:jc w:val="center"/>
              <w:rPr>
                <w:rFonts w:cs="Arial"/>
                <w:sz w:val="20"/>
                <w:szCs w:val="20"/>
              </w:rPr>
            </w:pPr>
            <w:r w:rsidRPr="001817C7">
              <w:rPr>
                <w:rFonts w:cs="Arial"/>
                <w:sz w:val="20"/>
                <w:szCs w:val="20"/>
              </w:rPr>
              <w:t>1536</w:t>
            </w:r>
          </w:p>
        </w:tc>
        <w:tc>
          <w:tcPr>
            <w:tcW w:w="751" w:type="dxa"/>
            <w:tcBorders>
              <w:left w:val="double" w:sz="4" w:space="0" w:color="auto"/>
            </w:tcBorders>
            <w:vAlign w:val="center"/>
          </w:tcPr>
          <w:p w14:paraId="58C25AA0"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331B90AE"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438A33E9"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double" w:sz="4" w:space="0" w:color="auto"/>
            </w:tcBorders>
            <w:vAlign w:val="center"/>
          </w:tcPr>
          <w:p w14:paraId="27F63D2D"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single" w:sz="4" w:space="0" w:color="auto"/>
            </w:tcBorders>
            <w:vAlign w:val="center"/>
          </w:tcPr>
          <w:p w14:paraId="2C959E6C" w14:textId="77777777" w:rsidR="00300C42" w:rsidRPr="001817C7" w:rsidRDefault="00300C42">
            <w:pPr>
              <w:spacing w:before="40" w:after="40"/>
              <w:jc w:val="center"/>
              <w:rPr>
                <w:rFonts w:cs="Arial"/>
                <w:sz w:val="20"/>
                <w:szCs w:val="20"/>
              </w:rPr>
            </w:pPr>
            <w:r w:rsidRPr="001817C7">
              <w:rPr>
                <w:rFonts w:cs="Arial"/>
                <w:sz w:val="20"/>
                <w:szCs w:val="20"/>
              </w:rPr>
              <w:t>6</w:t>
            </w:r>
          </w:p>
        </w:tc>
        <w:tc>
          <w:tcPr>
            <w:tcW w:w="753" w:type="dxa"/>
            <w:tcBorders>
              <w:left w:val="single" w:sz="4" w:space="0" w:color="auto"/>
              <w:right w:val="single" w:sz="4" w:space="0" w:color="auto"/>
            </w:tcBorders>
            <w:vAlign w:val="center"/>
          </w:tcPr>
          <w:p w14:paraId="02EB5C1F"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1A39BE4C"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34462375" w14:textId="77777777" w:rsidR="00300C42" w:rsidRPr="001817C7" w:rsidRDefault="00300C42">
            <w:pPr>
              <w:spacing w:before="40" w:after="40"/>
              <w:jc w:val="center"/>
              <w:rPr>
                <w:rFonts w:cs="Arial"/>
                <w:sz w:val="20"/>
                <w:szCs w:val="20"/>
              </w:rPr>
            </w:pPr>
            <w:r w:rsidRPr="001817C7">
              <w:rPr>
                <w:rFonts w:cs="Arial"/>
                <w:sz w:val="20"/>
                <w:szCs w:val="20"/>
              </w:rPr>
              <w:t>1.55</w:t>
            </w:r>
          </w:p>
        </w:tc>
      </w:tr>
      <w:tr w:rsidR="001817C7" w:rsidRPr="001817C7" w14:paraId="72853AAC" w14:textId="77777777">
        <w:tc>
          <w:tcPr>
            <w:tcW w:w="928" w:type="dxa"/>
            <w:tcBorders>
              <w:left w:val="single" w:sz="4" w:space="0" w:color="auto"/>
            </w:tcBorders>
            <w:vAlign w:val="center"/>
          </w:tcPr>
          <w:p w14:paraId="66984226" w14:textId="77777777" w:rsidR="00300C42" w:rsidRPr="001817C7" w:rsidRDefault="00300C42">
            <w:pPr>
              <w:spacing w:before="40" w:after="40"/>
              <w:jc w:val="center"/>
              <w:rPr>
                <w:rFonts w:cs="Arial"/>
                <w:sz w:val="20"/>
                <w:szCs w:val="20"/>
              </w:rPr>
            </w:pPr>
            <w:r w:rsidRPr="001817C7">
              <w:rPr>
                <w:rFonts w:cs="Arial"/>
                <w:sz w:val="20"/>
                <w:szCs w:val="20"/>
              </w:rPr>
              <w:t>768</w:t>
            </w:r>
          </w:p>
        </w:tc>
        <w:tc>
          <w:tcPr>
            <w:tcW w:w="751" w:type="dxa"/>
            <w:tcBorders>
              <w:left w:val="double" w:sz="4" w:space="0" w:color="auto"/>
            </w:tcBorders>
            <w:vAlign w:val="center"/>
          </w:tcPr>
          <w:p w14:paraId="7A2E9AB3"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68F1AF46"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2" w:type="dxa"/>
            <w:vAlign w:val="center"/>
          </w:tcPr>
          <w:p w14:paraId="1ADE0026"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double" w:sz="4" w:space="0" w:color="auto"/>
            </w:tcBorders>
            <w:vAlign w:val="center"/>
          </w:tcPr>
          <w:p w14:paraId="51B884F9" w14:textId="77777777" w:rsidR="00300C42" w:rsidRPr="001817C7" w:rsidRDefault="00300C42">
            <w:pPr>
              <w:spacing w:before="40" w:after="40"/>
              <w:jc w:val="center"/>
              <w:rPr>
                <w:rFonts w:cs="Arial"/>
                <w:sz w:val="20"/>
                <w:szCs w:val="20"/>
              </w:rPr>
            </w:pPr>
            <w:r w:rsidRPr="001817C7">
              <w:rPr>
                <w:rFonts w:cs="Arial"/>
                <w:sz w:val="20"/>
                <w:szCs w:val="20"/>
              </w:rPr>
              <w:t> </w:t>
            </w:r>
          </w:p>
        </w:tc>
        <w:tc>
          <w:tcPr>
            <w:tcW w:w="753" w:type="dxa"/>
            <w:tcBorders>
              <w:right w:val="single" w:sz="4" w:space="0" w:color="auto"/>
            </w:tcBorders>
            <w:vAlign w:val="center"/>
          </w:tcPr>
          <w:p w14:paraId="2ED23620" w14:textId="77777777" w:rsidR="00300C42" w:rsidRPr="001817C7" w:rsidRDefault="00300C42">
            <w:pPr>
              <w:spacing w:before="40" w:after="40"/>
              <w:jc w:val="center"/>
              <w:rPr>
                <w:rFonts w:cs="Arial"/>
                <w:sz w:val="20"/>
                <w:szCs w:val="20"/>
              </w:rPr>
            </w:pPr>
            <w:r w:rsidRPr="001817C7">
              <w:rPr>
                <w:rFonts w:cs="Arial"/>
                <w:sz w:val="20"/>
                <w:szCs w:val="20"/>
              </w:rPr>
              <w:t>3</w:t>
            </w:r>
          </w:p>
        </w:tc>
        <w:tc>
          <w:tcPr>
            <w:tcW w:w="753" w:type="dxa"/>
            <w:tcBorders>
              <w:left w:val="single" w:sz="4" w:space="0" w:color="auto"/>
              <w:right w:val="single" w:sz="4" w:space="0" w:color="auto"/>
            </w:tcBorders>
            <w:vAlign w:val="center"/>
          </w:tcPr>
          <w:p w14:paraId="51733228"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4B57FBC7" w14:textId="77777777" w:rsidR="00300C42" w:rsidRPr="001817C7" w:rsidRDefault="00300C42">
            <w:pPr>
              <w:spacing w:before="40" w:after="40"/>
              <w:jc w:val="center"/>
              <w:rPr>
                <w:rFonts w:cs="Arial"/>
                <w:sz w:val="20"/>
                <w:szCs w:val="20"/>
              </w:rPr>
            </w:pPr>
            <w:r w:rsidRPr="001817C7">
              <w:rPr>
                <w:rFonts w:cs="Arial"/>
                <w:sz w:val="20"/>
                <w:szCs w:val="20"/>
              </w:rPr>
              <w:t>256</w:t>
            </w:r>
          </w:p>
        </w:tc>
        <w:tc>
          <w:tcPr>
            <w:tcW w:w="753" w:type="dxa"/>
            <w:tcBorders>
              <w:left w:val="single" w:sz="4" w:space="0" w:color="auto"/>
              <w:right w:val="single" w:sz="4" w:space="0" w:color="auto"/>
            </w:tcBorders>
            <w:vAlign w:val="center"/>
          </w:tcPr>
          <w:p w14:paraId="0962D391" w14:textId="77777777" w:rsidR="00300C42" w:rsidRPr="001817C7" w:rsidRDefault="00300C42">
            <w:pPr>
              <w:spacing w:before="40" w:after="40"/>
              <w:jc w:val="center"/>
              <w:rPr>
                <w:rFonts w:cs="Arial"/>
                <w:sz w:val="20"/>
                <w:szCs w:val="20"/>
              </w:rPr>
            </w:pPr>
            <w:r w:rsidRPr="001817C7">
              <w:rPr>
                <w:rFonts w:cs="Arial"/>
                <w:sz w:val="20"/>
                <w:szCs w:val="20"/>
              </w:rPr>
              <w:t>2.16</w:t>
            </w:r>
          </w:p>
        </w:tc>
      </w:tr>
    </w:tbl>
    <w:p w14:paraId="56D0ED9C" w14:textId="77777777" w:rsidR="00300C42" w:rsidRDefault="00300C42" w:rsidP="00300C42"/>
    <w:p w14:paraId="28386EC9" w14:textId="4ECB227B" w:rsidR="00300C42" w:rsidRPr="00194B5B" w:rsidRDefault="00300C42" w:rsidP="00300C42">
      <w:pPr>
        <w:pStyle w:val="Caption"/>
      </w:pPr>
      <w:bookmarkStart w:id="1505" w:name="_Ref163134465"/>
      <w:r w:rsidRPr="00194B5B">
        <w:t xml:space="preserve">Table </w:t>
      </w:r>
      <w:r w:rsidR="00E70DE4">
        <w:fldChar w:fldCharType="begin"/>
      </w:r>
      <w:r w:rsidR="00E70DE4">
        <w:instrText xml:space="preserve"> SEQ Table \* ARABIC </w:instrText>
      </w:r>
      <w:r w:rsidR="00E70DE4">
        <w:fldChar w:fldCharType="separate"/>
      </w:r>
      <w:r w:rsidR="00C713E4">
        <w:rPr>
          <w:noProof/>
        </w:rPr>
        <w:t>6</w:t>
      </w:r>
      <w:r w:rsidR="00E70DE4">
        <w:rPr>
          <w:noProof/>
        </w:rPr>
        <w:fldChar w:fldCharType="end"/>
      </w:r>
      <w:bookmarkEnd w:id="1505"/>
      <w:r w:rsidRPr="00194B5B">
        <w:t xml:space="preserve"> </w:t>
      </w:r>
      <w:r>
        <w:t xml:space="preserve">Complexity comparison for models with (1) 2-port CIR, (2) 1-port CIR, and (3) total </w:t>
      </w:r>
      <w:r w:rsidR="00F80181">
        <w:t xml:space="preserve">Rx power </w:t>
      </w:r>
      <w:r>
        <w:t>(1-port) PDP inputs</w:t>
      </w:r>
      <w:r w:rsidRPr="00194B5B">
        <w:t>.</w:t>
      </w:r>
    </w:p>
    <w:tbl>
      <w:tblPr>
        <w:tblStyle w:val="TableGrid"/>
        <w:tblW w:w="0" w:type="auto"/>
        <w:tblInd w:w="1705" w:type="dxa"/>
        <w:tblLook w:val="04A0" w:firstRow="1" w:lastRow="0" w:firstColumn="1" w:lastColumn="0" w:noHBand="0" w:noVBand="1"/>
      </w:tblPr>
      <w:tblGrid>
        <w:gridCol w:w="1134"/>
        <w:gridCol w:w="1089"/>
        <w:gridCol w:w="1027"/>
        <w:gridCol w:w="1027"/>
        <w:gridCol w:w="1140"/>
        <w:gridCol w:w="1079"/>
      </w:tblGrid>
      <w:tr w:rsidR="00300C42" w14:paraId="067C6BF7" w14:textId="77777777">
        <w:tc>
          <w:tcPr>
            <w:tcW w:w="2223" w:type="dxa"/>
            <w:gridSpan w:val="2"/>
            <w:vAlign w:val="center"/>
          </w:tcPr>
          <w:p w14:paraId="17FEEB31" w14:textId="77777777" w:rsidR="00300C42" w:rsidRPr="00510903" w:rsidRDefault="00300C42">
            <w:pPr>
              <w:spacing w:before="60" w:after="60"/>
              <w:jc w:val="center"/>
              <w:rPr>
                <w:sz w:val="20"/>
                <w:szCs w:val="20"/>
              </w:rPr>
            </w:pPr>
            <w:r w:rsidRPr="00510903">
              <w:rPr>
                <w:sz w:val="20"/>
                <w:szCs w:val="20"/>
              </w:rPr>
              <w:t>2-port CIR</w:t>
            </w:r>
          </w:p>
        </w:tc>
        <w:tc>
          <w:tcPr>
            <w:tcW w:w="2054" w:type="dxa"/>
            <w:gridSpan w:val="2"/>
            <w:vAlign w:val="center"/>
          </w:tcPr>
          <w:p w14:paraId="299165EF" w14:textId="77777777" w:rsidR="00300C42" w:rsidRPr="00510903" w:rsidRDefault="00300C42">
            <w:pPr>
              <w:spacing w:before="60" w:after="60"/>
              <w:jc w:val="center"/>
              <w:rPr>
                <w:sz w:val="20"/>
                <w:szCs w:val="20"/>
              </w:rPr>
            </w:pPr>
            <w:r w:rsidRPr="00510903">
              <w:rPr>
                <w:sz w:val="20"/>
                <w:szCs w:val="20"/>
              </w:rPr>
              <w:t>1-port CIR</w:t>
            </w:r>
          </w:p>
        </w:tc>
        <w:tc>
          <w:tcPr>
            <w:tcW w:w="2219" w:type="dxa"/>
            <w:gridSpan w:val="2"/>
            <w:vAlign w:val="center"/>
          </w:tcPr>
          <w:p w14:paraId="4A003EF7" w14:textId="5C652379" w:rsidR="00300C42" w:rsidRPr="00510903" w:rsidRDefault="00300C42">
            <w:pPr>
              <w:spacing w:before="60" w:after="60"/>
              <w:jc w:val="center"/>
              <w:rPr>
                <w:sz w:val="20"/>
                <w:szCs w:val="20"/>
              </w:rPr>
            </w:pPr>
            <w:r w:rsidRPr="00510903">
              <w:rPr>
                <w:sz w:val="20"/>
                <w:szCs w:val="20"/>
              </w:rPr>
              <w:t>(1-port</w:t>
            </w:r>
            <w:r w:rsidR="00D04AD9">
              <w:rPr>
                <w:sz w:val="20"/>
                <w:szCs w:val="20"/>
              </w:rPr>
              <w:t>/total</w:t>
            </w:r>
            <w:r w:rsidRPr="00510903">
              <w:rPr>
                <w:sz w:val="20"/>
                <w:szCs w:val="20"/>
              </w:rPr>
              <w:t>) PDP</w:t>
            </w:r>
          </w:p>
        </w:tc>
      </w:tr>
      <w:tr w:rsidR="00300C42" w14:paraId="4D5AE523" w14:textId="77777777">
        <w:tc>
          <w:tcPr>
            <w:tcW w:w="1134" w:type="dxa"/>
            <w:vAlign w:val="center"/>
          </w:tcPr>
          <w:p w14:paraId="6E469B39" w14:textId="77777777" w:rsidR="00300C42" w:rsidRPr="00510903" w:rsidRDefault="00300C42">
            <w:pPr>
              <w:spacing w:before="60" w:after="60"/>
              <w:jc w:val="center"/>
              <w:rPr>
                <w:sz w:val="20"/>
                <w:szCs w:val="20"/>
              </w:rPr>
            </w:pPr>
            <w:r w:rsidRPr="00510903">
              <w:rPr>
                <w:sz w:val="20"/>
                <w:szCs w:val="20"/>
              </w:rPr>
              <w:t># paras</w:t>
            </w:r>
          </w:p>
        </w:tc>
        <w:tc>
          <w:tcPr>
            <w:tcW w:w="1089" w:type="dxa"/>
            <w:vAlign w:val="center"/>
          </w:tcPr>
          <w:p w14:paraId="25BDD843" w14:textId="77777777" w:rsidR="00300C42" w:rsidRPr="00510903" w:rsidRDefault="00300C42">
            <w:pPr>
              <w:spacing w:before="60" w:after="60"/>
              <w:jc w:val="center"/>
              <w:rPr>
                <w:sz w:val="20"/>
                <w:szCs w:val="20"/>
              </w:rPr>
            </w:pPr>
            <w:r w:rsidRPr="00510903">
              <w:rPr>
                <w:sz w:val="20"/>
                <w:szCs w:val="20"/>
              </w:rPr>
              <w:t>FLOPs</w:t>
            </w:r>
          </w:p>
        </w:tc>
        <w:tc>
          <w:tcPr>
            <w:tcW w:w="1027" w:type="dxa"/>
            <w:vAlign w:val="center"/>
          </w:tcPr>
          <w:p w14:paraId="7F1E543C" w14:textId="77777777" w:rsidR="00300C42" w:rsidRPr="00510903" w:rsidRDefault="00300C42">
            <w:pPr>
              <w:spacing w:before="60" w:after="60"/>
              <w:jc w:val="center"/>
              <w:rPr>
                <w:sz w:val="20"/>
                <w:szCs w:val="20"/>
              </w:rPr>
            </w:pPr>
            <w:r w:rsidRPr="00510903">
              <w:rPr>
                <w:sz w:val="20"/>
                <w:szCs w:val="20"/>
              </w:rPr>
              <w:t># paras</w:t>
            </w:r>
          </w:p>
        </w:tc>
        <w:tc>
          <w:tcPr>
            <w:tcW w:w="1027" w:type="dxa"/>
            <w:vAlign w:val="center"/>
          </w:tcPr>
          <w:p w14:paraId="49927017" w14:textId="77777777" w:rsidR="00300C42" w:rsidRPr="00510903" w:rsidRDefault="00300C42">
            <w:pPr>
              <w:spacing w:before="60" w:after="60"/>
              <w:jc w:val="center"/>
              <w:rPr>
                <w:sz w:val="20"/>
                <w:szCs w:val="20"/>
              </w:rPr>
            </w:pPr>
            <w:r w:rsidRPr="00510903">
              <w:rPr>
                <w:sz w:val="20"/>
                <w:szCs w:val="20"/>
              </w:rPr>
              <w:t>FLOPs</w:t>
            </w:r>
          </w:p>
        </w:tc>
        <w:tc>
          <w:tcPr>
            <w:tcW w:w="1140" w:type="dxa"/>
            <w:vAlign w:val="center"/>
          </w:tcPr>
          <w:p w14:paraId="11E30A95" w14:textId="77777777" w:rsidR="00300C42" w:rsidRPr="00510903" w:rsidRDefault="00300C42">
            <w:pPr>
              <w:spacing w:before="60" w:after="60"/>
              <w:jc w:val="center"/>
              <w:rPr>
                <w:sz w:val="20"/>
                <w:szCs w:val="20"/>
              </w:rPr>
            </w:pPr>
            <w:r w:rsidRPr="00510903">
              <w:rPr>
                <w:sz w:val="20"/>
                <w:szCs w:val="20"/>
              </w:rPr>
              <w:t># paras</w:t>
            </w:r>
          </w:p>
        </w:tc>
        <w:tc>
          <w:tcPr>
            <w:tcW w:w="1079" w:type="dxa"/>
            <w:vAlign w:val="center"/>
          </w:tcPr>
          <w:p w14:paraId="4E19C301" w14:textId="77777777" w:rsidR="00300C42" w:rsidRPr="00510903" w:rsidRDefault="00300C42">
            <w:pPr>
              <w:spacing w:before="60" w:after="60"/>
              <w:jc w:val="center"/>
              <w:rPr>
                <w:sz w:val="20"/>
                <w:szCs w:val="20"/>
              </w:rPr>
            </w:pPr>
            <w:r w:rsidRPr="00510903">
              <w:rPr>
                <w:sz w:val="20"/>
                <w:szCs w:val="20"/>
              </w:rPr>
              <w:t>FLOPs</w:t>
            </w:r>
          </w:p>
        </w:tc>
      </w:tr>
      <w:tr w:rsidR="00300C42" w14:paraId="3230845F" w14:textId="77777777">
        <w:tc>
          <w:tcPr>
            <w:tcW w:w="1134" w:type="dxa"/>
            <w:vAlign w:val="center"/>
          </w:tcPr>
          <w:p w14:paraId="33155F82" w14:textId="77777777" w:rsidR="00300C42" w:rsidRPr="00510903" w:rsidRDefault="00300C42">
            <w:pPr>
              <w:spacing w:before="60" w:after="60"/>
              <w:jc w:val="center"/>
              <w:rPr>
                <w:sz w:val="20"/>
                <w:szCs w:val="20"/>
              </w:rPr>
            </w:pPr>
            <w:r w:rsidRPr="00510903">
              <w:rPr>
                <w:sz w:val="20"/>
                <w:szCs w:val="20"/>
              </w:rPr>
              <w:t>0.73 M</w:t>
            </w:r>
          </w:p>
        </w:tc>
        <w:tc>
          <w:tcPr>
            <w:tcW w:w="1089" w:type="dxa"/>
            <w:vAlign w:val="center"/>
          </w:tcPr>
          <w:p w14:paraId="55FDD85D" w14:textId="77777777" w:rsidR="00300C42" w:rsidRPr="00510903" w:rsidRDefault="00300C42">
            <w:pPr>
              <w:spacing w:before="60" w:after="60"/>
              <w:jc w:val="center"/>
              <w:rPr>
                <w:sz w:val="20"/>
                <w:szCs w:val="20"/>
              </w:rPr>
            </w:pPr>
            <w:r w:rsidRPr="00510903">
              <w:rPr>
                <w:sz w:val="20"/>
                <w:szCs w:val="20"/>
              </w:rPr>
              <w:t>32 M</w:t>
            </w:r>
          </w:p>
        </w:tc>
        <w:tc>
          <w:tcPr>
            <w:tcW w:w="1027" w:type="dxa"/>
          </w:tcPr>
          <w:p w14:paraId="06625556" w14:textId="77777777" w:rsidR="00300C42" w:rsidRPr="00510903" w:rsidRDefault="00300C42">
            <w:pPr>
              <w:spacing w:before="60" w:after="60"/>
              <w:jc w:val="center"/>
              <w:rPr>
                <w:sz w:val="20"/>
                <w:szCs w:val="20"/>
              </w:rPr>
            </w:pPr>
            <w:r w:rsidRPr="00510903">
              <w:rPr>
                <w:sz w:val="20"/>
                <w:szCs w:val="20"/>
              </w:rPr>
              <w:t>0.52 M</w:t>
            </w:r>
          </w:p>
        </w:tc>
        <w:tc>
          <w:tcPr>
            <w:tcW w:w="1027" w:type="dxa"/>
          </w:tcPr>
          <w:p w14:paraId="057066CA" w14:textId="77777777" w:rsidR="00300C42" w:rsidRPr="00510903" w:rsidRDefault="00300C42">
            <w:pPr>
              <w:spacing w:before="60" w:after="60"/>
              <w:jc w:val="center"/>
              <w:rPr>
                <w:sz w:val="20"/>
                <w:szCs w:val="20"/>
              </w:rPr>
            </w:pPr>
            <w:r w:rsidRPr="00510903">
              <w:rPr>
                <w:sz w:val="20"/>
                <w:szCs w:val="20"/>
              </w:rPr>
              <w:t>21 M</w:t>
            </w:r>
          </w:p>
        </w:tc>
        <w:tc>
          <w:tcPr>
            <w:tcW w:w="1140" w:type="dxa"/>
            <w:vAlign w:val="center"/>
          </w:tcPr>
          <w:p w14:paraId="4423FCBE" w14:textId="77777777" w:rsidR="00300C42" w:rsidRPr="00510903" w:rsidRDefault="00300C42">
            <w:pPr>
              <w:spacing w:before="60" w:after="60"/>
              <w:jc w:val="center"/>
              <w:rPr>
                <w:sz w:val="20"/>
                <w:szCs w:val="20"/>
              </w:rPr>
            </w:pPr>
            <w:r w:rsidRPr="00510903">
              <w:rPr>
                <w:sz w:val="20"/>
                <w:szCs w:val="20"/>
              </w:rPr>
              <w:t>0.36 M</w:t>
            </w:r>
          </w:p>
        </w:tc>
        <w:tc>
          <w:tcPr>
            <w:tcW w:w="1079" w:type="dxa"/>
            <w:vAlign w:val="center"/>
          </w:tcPr>
          <w:p w14:paraId="33A3E90E" w14:textId="77777777" w:rsidR="00300C42" w:rsidRPr="00510903" w:rsidRDefault="00300C42">
            <w:pPr>
              <w:spacing w:before="60" w:after="60"/>
              <w:jc w:val="center"/>
              <w:rPr>
                <w:sz w:val="20"/>
                <w:szCs w:val="20"/>
              </w:rPr>
            </w:pPr>
            <w:r w:rsidRPr="00510903">
              <w:rPr>
                <w:sz w:val="20"/>
                <w:szCs w:val="20"/>
              </w:rPr>
              <w:t>9 M</w:t>
            </w:r>
          </w:p>
        </w:tc>
      </w:tr>
    </w:tbl>
    <w:p w14:paraId="2B2ED97F" w14:textId="026CE697" w:rsidR="00300C42" w:rsidRPr="00E215F0" w:rsidRDefault="00300C42" w:rsidP="00300C42">
      <w:pPr>
        <w:pStyle w:val="Heading4"/>
        <w:rPr>
          <w:lang w:val="en-US"/>
        </w:rPr>
      </w:pPr>
      <w:bookmarkStart w:id="1506" w:name="_Ref165982714"/>
      <w:bookmarkStart w:id="1507" w:name="_Toc165990992"/>
      <w:bookmarkStart w:id="1508" w:name="_Ref163048709"/>
      <w:bookmarkStart w:id="1509" w:name="_Toc189845021"/>
      <w:r>
        <w:rPr>
          <w:lang w:val="en-US"/>
        </w:rPr>
        <w:t>S</w:t>
      </w:r>
      <w:r w:rsidRPr="00E215F0">
        <w:rPr>
          <w:lang w:val="en-US"/>
        </w:rPr>
        <w:t>ignaling size</w:t>
      </w:r>
      <w:r w:rsidR="00D01D0D">
        <w:rPr>
          <w:lang w:val="en-US"/>
        </w:rPr>
        <w:t>s</w:t>
      </w:r>
      <w:r w:rsidRPr="00E215F0">
        <w:rPr>
          <w:lang w:val="en-US"/>
        </w:rPr>
        <w:t xml:space="preserve"> based on </w:t>
      </w:r>
      <w:r w:rsidR="009E4CA2">
        <w:rPr>
          <w:lang w:val="en-US"/>
        </w:rPr>
        <w:t xml:space="preserve">simple </w:t>
      </w:r>
      <w:r w:rsidR="00CE69E6">
        <w:rPr>
          <w:lang w:val="en-US"/>
        </w:rPr>
        <w:t xml:space="preserve">direct sample timing </w:t>
      </w:r>
      <w:r w:rsidR="003B0187">
        <w:rPr>
          <w:lang w:val="en-US"/>
        </w:rPr>
        <w:t>bitmaps</w:t>
      </w:r>
      <w:bookmarkEnd w:id="1506"/>
      <w:bookmarkEnd w:id="1507"/>
      <w:bookmarkEnd w:id="1508"/>
      <w:bookmarkEnd w:id="1509"/>
    </w:p>
    <w:p w14:paraId="3F5A964F" w14:textId="77777777" w:rsidR="00300C42" w:rsidRPr="00E215F0" w:rsidRDefault="00300C42" w:rsidP="00300C42">
      <w:r w:rsidRPr="00E215F0">
        <w:t>The signaling of one TRP link for the DP input type consists of one part:</w:t>
      </w:r>
    </w:p>
    <w:p w14:paraId="11451EE2" w14:textId="77777777" w:rsidR="00300C42" w:rsidRPr="00E215F0" w:rsidRDefault="00300C42" w:rsidP="00D35F36">
      <w:pPr>
        <w:pStyle w:val="ListParagraph"/>
        <w:numPr>
          <w:ilvl w:val="0"/>
          <w:numId w:val="22"/>
        </w:numPr>
      </w:pPr>
      <w:r w:rsidRPr="00E215F0">
        <w:t xml:space="preserve">Part 1: a bitmap of length </w:t>
      </w:r>
      <w:proofErr w:type="spellStart"/>
      <w:r w:rsidRPr="00E215F0">
        <w:t>N</w:t>
      </w:r>
      <w:r w:rsidRPr="00DC32F9">
        <w:rPr>
          <w:vertAlign w:val="subscript"/>
        </w:rPr>
        <w:t>t</w:t>
      </w:r>
      <w:proofErr w:type="spellEnd"/>
      <w:r w:rsidRPr="00E215F0" w:rsidDel="00DB440D">
        <w:t xml:space="preserve"> </w:t>
      </w:r>
      <w:r w:rsidRPr="00E215F0">
        <w:t>to indicate locations of non-zero samples</w:t>
      </w:r>
    </w:p>
    <w:p w14:paraId="23BE70D6" w14:textId="77777777" w:rsidR="00300C42" w:rsidRPr="00E215F0" w:rsidRDefault="00300C42" w:rsidP="00D35F36">
      <w:pPr>
        <w:pStyle w:val="ListParagraph"/>
        <w:numPr>
          <w:ilvl w:val="1"/>
          <w:numId w:val="22"/>
        </w:numPr>
      </w:pPr>
      <w:r w:rsidRPr="00E215F0">
        <w:t>This part is to support sub-sampling the TD measurement samples.</w:t>
      </w:r>
    </w:p>
    <w:p w14:paraId="5BFB8613" w14:textId="77777777" w:rsidR="00300C42" w:rsidRDefault="00300C42" w:rsidP="00D35F36">
      <w:pPr>
        <w:pStyle w:val="ListParagraph"/>
        <w:numPr>
          <w:ilvl w:val="2"/>
          <w:numId w:val="22"/>
        </w:numPr>
      </w:pPr>
      <w:r w:rsidRPr="00E215F0">
        <w:t xml:space="preserve">The number of indicated non-zero samples in this bitmap is denoted by </w:t>
      </w:r>
      <w:proofErr w:type="spellStart"/>
      <w:r w:rsidRPr="00E215F0">
        <w:t>N</w:t>
      </w:r>
      <w:r w:rsidRPr="00CD59F9">
        <w:rPr>
          <w:vertAlign w:val="subscript"/>
        </w:rPr>
        <w:t>t</w:t>
      </w:r>
      <w:proofErr w:type="spellEnd"/>
      <w:r>
        <w:t>'</w:t>
      </w:r>
      <w:r w:rsidRPr="00E215F0">
        <w:t>.</w:t>
      </w:r>
    </w:p>
    <w:p w14:paraId="5B5379EA" w14:textId="77777777" w:rsidR="00300C42" w:rsidRPr="00E215F0" w:rsidRDefault="00300C42" w:rsidP="00D35F36">
      <w:pPr>
        <w:pStyle w:val="ListParagraph"/>
        <w:numPr>
          <w:ilvl w:val="1"/>
          <w:numId w:val="22"/>
        </w:numPr>
      </w:pPr>
      <w:r>
        <w:t xml:space="preserve">For PDP and CIR, if sub-sampling is not </w:t>
      </w:r>
      <w:r w:rsidRPr="00E215F0">
        <w:rPr>
          <w:rFonts w:cs="Arial"/>
        </w:rPr>
        <w:t>configured</w:t>
      </w:r>
      <w:r>
        <w:t xml:space="preserve">, then this part is not needed and </w:t>
      </w:r>
      <w:proofErr w:type="spellStart"/>
      <w:r w:rsidRPr="00E215F0">
        <w:t>N</w:t>
      </w:r>
      <w:r w:rsidRPr="00DC32F9">
        <w:rPr>
          <w:vertAlign w:val="subscript"/>
        </w:rPr>
        <w:t>t</w:t>
      </w:r>
      <w:proofErr w:type="spellEnd"/>
      <w:r>
        <w:t>'=</w:t>
      </w:r>
      <w:r w:rsidRPr="00717C86">
        <w:t xml:space="preserve"> </w:t>
      </w:r>
      <w:proofErr w:type="spellStart"/>
      <w:r w:rsidRPr="00E215F0">
        <w:t>N</w:t>
      </w:r>
      <w:r w:rsidRPr="00DC32F9">
        <w:rPr>
          <w:vertAlign w:val="subscript"/>
        </w:rPr>
        <w:t>t</w:t>
      </w:r>
      <w:proofErr w:type="spellEnd"/>
      <w:r w:rsidDel="00717C86">
        <w:t xml:space="preserve"> </w:t>
      </w:r>
      <w:r>
        <w:t>in the following.</w:t>
      </w:r>
    </w:p>
    <w:p w14:paraId="2C78FF3E" w14:textId="77777777" w:rsidR="00300C42" w:rsidRPr="00E215F0" w:rsidRDefault="00300C42" w:rsidP="00300C42">
      <w:r w:rsidRPr="00E215F0">
        <w:t xml:space="preserve">The signaling of one TRP link for the PDP input type consists of </w:t>
      </w:r>
      <w:r>
        <w:t>Part 1 as defined above and</w:t>
      </w:r>
    </w:p>
    <w:p w14:paraId="38E4C351" w14:textId="77777777" w:rsidR="00300C42" w:rsidRPr="00E215F0" w:rsidRDefault="00300C42" w:rsidP="00D35F36">
      <w:pPr>
        <w:pStyle w:val="ListParagraph"/>
        <w:numPr>
          <w:ilvl w:val="0"/>
          <w:numId w:val="22"/>
        </w:numPr>
      </w:pPr>
      <w:r w:rsidRPr="00E215F0">
        <w:t xml:space="preserve">Part 2: </w:t>
      </w:r>
      <w:proofErr w:type="spellStart"/>
      <w:r w:rsidRPr="00E215F0">
        <w:t>N</w:t>
      </w:r>
      <w:r w:rsidRPr="00DC32F9">
        <w:rPr>
          <w:vertAlign w:val="subscript"/>
        </w:rPr>
        <w:t>t</w:t>
      </w:r>
      <w:proofErr w:type="spellEnd"/>
      <w:r>
        <w:t>'</w:t>
      </w:r>
      <w:r w:rsidRPr="00E215F0">
        <w:t xml:space="preserve"> powers (or magnitudes) of non-zero samples starting from the lowest tap indices.</w:t>
      </w:r>
    </w:p>
    <w:p w14:paraId="3B25D371" w14:textId="77777777" w:rsidR="00300C42" w:rsidRPr="00E215F0" w:rsidRDefault="00300C42" w:rsidP="00300C42">
      <w:r w:rsidRPr="00E215F0">
        <w:t xml:space="preserve">The signaling of one TRP link for the CIR input type consists of </w:t>
      </w:r>
      <w:r>
        <w:t>Part 1 and Part 2 as defined above as well as</w:t>
      </w:r>
    </w:p>
    <w:p w14:paraId="352D67CC" w14:textId="77777777" w:rsidR="00300C42" w:rsidRPr="00E215F0" w:rsidRDefault="00300C42" w:rsidP="00D35F36">
      <w:pPr>
        <w:pStyle w:val="ListParagraph"/>
        <w:numPr>
          <w:ilvl w:val="0"/>
          <w:numId w:val="22"/>
        </w:numPr>
      </w:pPr>
      <w:r w:rsidRPr="00E215F0">
        <w:t xml:space="preserve">Part 3: </w:t>
      </w:r>
      <w:proofErr w:type="spellStart"/>
      <w:r w:rsidRPr="00E215F0">
        <w:t>N</w:t>
      </w:r>
      <w:r w:rsidRPr="00DC32F9">
        <w:rPr>
          <w:vertAlign w:val="subscript"/>
        </w:rPr>
        <w:t>t</w:t>
      </w:r>
      <w:proofErr w:type="spellEnd"/>
      <w:r>
        <w:t>'</w:t>
      </w:r>
      <w:r w:rsidRPr="00E215F0">
        <w:t xml:space="preserve"> phase of non-zero samples starting from the lowest tap indices.</w:t>
      </w:r>
    </w:p>
    <w:p w14:paraId="29F3DD78" w14:textId="77777777" w:rsidR="00300C42" w:rsidRPr="00E215F0" w:rsidRDefault="00300C42" w:rsidP="00300C42">
      <w:r>
        <w:t xml:space="preserve">If the signaling contains </w:t>
      </w:r>
      <w:proofErr w:type="gramStart"/>
      <w:r>
        <w:t>feedbacks</w:t>
      </w:r>
      <w:proofErr w:type="gramEnd"/>
      <w:r>
        <w:t xml:space="preserve"> for </w:t>
      </w:r>
      <w:r w:rsidRPr="00E215F0">
        <w:t>N</w:t>
      </w:r>
      <w:r w:rsidRPr="00E215F0">
        <w:rPr>
          <w:vertAlign w:val="subscript"/>
        </w:rPr>
        <w:t>TRP</w:t>
      </w:r>
      <w:r>
        <w:t xml:space="preserve"> links, the number of bits for each part is</w:t>
      </w:r>
    </w:p>
    <w:p w14:paraId="0B840EB4" w14:textId="77777777" w:rsidR="00300C42" w:rsidRPr="00E215F0" w:rsidRDefault="00300C42" w:rsidP="00D35F36">
      <w:pPr>
        <w:pStyle w:val="ListParagraph"/>
        <w:numPr>
          <w:ilvl w:val="0"/>
          <w:numId w:val="25"/>
        </w:numPr>
      </w:pPr>
      <w:r w:rsidRPr="00E215F0">
        <w:t>Part 1: N</w:t>
      </w:r>
      <w:r w:rsidRPr="00E215F0">
        <w:rPr>
          <w:vertAlign w:val="subscript"/>
        </w:rPr>
        <w:t>TRP</w:t>
      </w:r>
      <w:r w:rsidRPr="00E215F0">
        <w:t xml:space="preserve"> </w:t>
      </w:r>
      <w:r w:rsidRPr="00E215F0">
        <w:rPr>
          <w:rFonts w:cs="Arial"/>
        </w:rPr>
        <w:t>×</w:t>
      </w:r>
      <w:r w:rsidRPr="00E215F0">
        <w:t xml:space="preserve"> </w:t>
      </w:r>
      <w:proofErr w:type="spellStart"/>
      <w:r w:rsidRPr="00E215F0">
        <w:t>N</w:t>
      </w:r>
      <w:r w:rsidRPr="00DC32F9">
        <w:rPr>
          <w:vertAlign w:val="subscript"/>
        </w:rPr>
        <w:t>t</w:t>
      </w:r>
      <w:proofErr w:type="spellEnd"/>
      <w:r w:rsidRPr="00E215F0" w:rsidDel="00717C86">
        <w:t xml:space="preserve"> </w:t>
      </w:r>
      <w:r w:rsidRPr="00E215F0">
        <w:t>bits</w:t>
      </w:r>
    </w:p>
    <w:p w14:paraId="6434B527" w14:textId="77777777" w:rsidR="00300C42" w:rsidRPr="00E215F0" w:rsidRDefault="00300C42" w:rsidP="00D35F36">
      <w:pPr>
        <w:pStyle w:val="ListParagraph"/>
        <w:numPr>
          <w:ilvl w:val="0"/>
          <w:numId w:val="25"/>
        </w:numPr>
      </w:pPr>
      <w:r w:rsidRPr="00E215F0">
        <w:t>Part 2: N</w:t>
      </w:r>
      <w:r w:rsidRPr="00E215F0">
        <w:rPr>
          <w:vertAlign w:val="subscript"/>
        </w:rPr>
        <w:t>TRP</w:t>
      </w:r>
      <w:r w:rsidRPr="00E215F0">
        <w:t xml:space="preserve"> </w:t>
      </w:r>
      <w:r w:rsidRPr="00E215F0">
        <w:rPr>
          <w:rFonts w:cs="Arial"/>
        </w:rPr>
        <w:t>×</w:t>
      </w:r>
      <w:r w:rsidRPr="00E215F0">
        <w:t xml:space="preserve"> </w:t>
      </w:r>
      <w:proofErr w:type="spellStart"/>
      <w:r w:rsidRPr="00E215F0">
        <w:t>N</w:t>
      </w:r>
      <w:r w:rsidRPr="00E215F0">
        <w:rPr>
          <w:vertAlign w:val="subscript"/>
        </w:rPr>
        <w:t>port</w:t>
      </w:r>
      <w:proofErr w:type="spellEnd"/>
      <w:r w:rsidRPr="00E215F0">
        <w:t xml:space="preserve"> </w:t>
      </w:r>
      <w:r w:rsidRPr="00E215F0">
        <w:rPr>
          <w:rFonts w:cs="Arial"/>
        </w:rPr>
        <w:t xml:space="preserve">× </w:t>
      </w:r>
      <w:proofErr w:type="spellStart"/>
      <w:r w:rsidRPr="00E215F0">
        <w:t>N</w:t>
      </w:r>
      <w:r w:rsidRPr="00DC32F9">
        <w:rPr>
          <w:vertAlign w:val="subscript"/>
        </w:rPr>
        <w:t>t</w:t>
      </w:r>
      <w:proofErr w:type="spellEnd"/>
      <w:r>
        <w:t>'</w:t>
      </w:r>
      <w:r w:rsidRPr="00E215F0">
        <w:rPr>
          <w:rFonts w:cs="Arial"/>
        </w:rPr>
        <w:t xml:space="preserve"> × </w:t>
      </w:r>
      <w:r w:rsidRPr="00E215F0">
        <w:t>B</w:t>
      </w:r>
      <w:r w:rsidRPr="00E215F0">
        <w:rPr>
          <w:vertAlign w:val="subscript"/>
        </w:rPr>
        <w:t>real</w:t>
      </w:r>
      <w:r w:rsidRPr="00E215F0">
        <w:t xml:space="preserve"> </w:t>
      </w:r>
      <w:r w:rsidRPr="00E215F0">
        <w:rPr>
          <w:rFonts w:cs="Arial"/>
        </w:rPr>
        <w:t>bits</w:t>
      </w:r>
    </w:p>
    <w:p w14:paraId="551687FC" w14:textId="77777777" w:rsidR="00300C42" w:rsidRPr="00E215F0" w:rsidRDefault="00300C42" w:rsidP="00D35F36">
      <w:pPr>
        <w:pStyle w:val="ListParagraph"/>
        <w:numPr>
          <w:ilvl w:val="0"/>
          <w:numId w:val="25"/>
        </w:numPr>
      </w:pPr>
      <w:r w:rsidRPr="00E215F0">
        <w:t>Part 3: N</w:t>
      </w:r>
      <w:r w:rsidRPr="00E215F0">
        <w:rPr>
          <w:vertAlign w:val="subscript"/>
        </w:rPr>
        <w:t>TRP</w:t>
      </w:r>
      <w:r w:rsidRPr="00E215F0">
        <w:t xml:space="preserve"> </w:t>
      </w:r>
      <w:r w:rsidRPr="00E215F0">
        <w:rPr>
          <w:rFonts w:cs="Arial"/>
        </w:rPr>
        <w:t>×</w:t>
      </w:r>
      <w:r w:rsidRPr="00E215F0">
        <w:t xml:space="preserve"> </w:t>
      </w:r>
      <w:proofErr w:type="spellStart"/>
      <w:r w:rsidRPr="00E215F0">
        <w:t>N</w:t>
      </w:r>
      <w:r w:rsidRPr="00E215F0">
        <w:rPr>
          <w:vertAlign w:val="subscript"/>
        </w:rPr>
        <w:t>port</w:t>
      </w:r>
      <w:proofErr w:type="spellEnd"/>
      <w:r w:rsidRPr="00E215F0">
        <w:t xml:space="preserve"> </w:t>
      </w:r>
      <w:r w:rsidRPr="00E215F0">
        <w:rPr>
          <w:rFonts w:cs="Arial"/>
        </w:rPr>
        <w:t xml:space="preserve">× </w:t>
      </w:r>
      <w:proofErr w:type="spellStart"/>
      <w:r w:rsidRPr="00E215F0">
        <w:t>N</w:t>
      </w:r>
      <w:r w:rsidRPr="00DC32F9">
        <w:rPr>
          <w:vertAlign w:val="subscript"/>
        </w:rPr>
        <w:t>t</w:t>
      </w:r>
      <w:proofErr w:type="spellEnd"/>
      <w:r>
        <w:t>'</w:t>
      </w:r>
      <w:r w:rsidRPr="00E215F0">
        <w:rPr>
          <w:rFonts w:cs="Arial"/>
        </w:rPr>
        <w:t xml:space="preserve"> × </w:t>
      </w:r>
      <w:r w:rsidRPr="00E215F0">
        <w:t>B</w:t>
      </w:r>
      <w:r w:rsidRPr="00E215F0">
        <w:rPr>
          <w:vertAlign w:val="subscript"/>
        </w:rPr>
        <w:t>real</w:t>
      </w:r>
      <w:r w:rsidRPr="00E215F0">
        <w:t xml:space="preserve"> </w:t>
      </w:r>
      <w:r w:rsidRPr="00E215F0">
        <w:rPr>
          <w:rFonts w:cs="Arial"/>
        </w:rPr>
        <w:t>bits</w:t>
      </w:r>
    </w:p>
    <w:p w14:paraId="5C6BC130" w14:textId="77777777" w:rsidR="00300C42" w:rsidRDefault="00300C42" w:rsidP="00300C42">
      <w:proofErr w:type="gramStart"/>
      <w:r>
        <w:t>where</w:t>
      </w:r>
      <w:proofErr w:type="gramEnd"/>
      <w:r>
        <w:t xml:space="preserve"> </w:t>
      </w:r>
    </w:p>
    <w:p w14:paraId="2CDF24D5" w14:textId="77777777" w:rsidR="00300C42" w:rsidRPr="00E215F0" w:rsidRDefault="00300C42" w:rsidP="00D35F36">
      <w:pPr>
        <w:pStyle w:val="ListParagraph"/>
        <w:numPr>
          <w:ilvl w:val="0"/>
          <w:numId w:val="24"/>
        </w:numPr>
      </w:pPr>
      <w:r w:rsidRPr="00E215F0">
        <w:t>N</w:t>
      </w:r>
      <w:r w:rsidRPr="00E215F0">
        <w:rPr>
          <w:vertAlign w:val="subscript"/>
        </w:rPr>
        <w:t>TRP</w:t>
      </w:r>
      <w:r w:rsidRPr="00E215F0">
        <w:t xml:space="preserve"> = 18 or dynamic TRP selection to 9, 6, 3 TRPs</w:t>
      </w:r>
    </w:p>
    <w:p w14:paraId="0794C36B" w14:textId="77777777" w:rsidR="00300C42" w:rsidRPr="00E215F0" w:rsidRDefault="00300C42" w:rsidP="00D35F36">
      <w:pPr>
        <w:pStyle w:val="ListParagraph"/>
        <w:numPr>
          <w:ilvl w:val="0"/>
          <w:numId w:val="24"/>
        </w:numPr>
      </w:pPr>
      <w:proofErr w:type="spellStart"/>
      <w:r w:rsidRPr="00E215F0">
        <w:t>N</w:t>
      </w:r>
      <w:r w:rsidRPr="00E215F0">
        <w:rPr>
          <w:vertAlign w:val="subscript"/>
        </w:rPr>
        <w:t>port</w:t>
      </w:r>
      <w:proofErr w:type="spellEnd"/>
      <w:r w:rsidRPr="00E215F0">
        <w:t xml:space="preserve"> = 2 for </w:t>
      </w:r>
      <w:r>
        <w:t xml:space="preserve">2-port </w:t>
      </w:r>
      <w:r w:rsidRPr="00E215F0">
        <w:t xml:space="preserve">CIR and </w:t>
      </w:r>
      <w:proofErr w:type="spellStart"/>
      <w:r w:rsidRPr="00E215F0">
        <w:t>N</w:t>
      </w:r>
      <w:r w:rsidRPr="00E215F0">
        <w:rPr>
          <w:vertAlign w:val="subscript"/>
        </w:rPr>
        <w:t>port</w:t>
      </w:r>
      <w:proofErr w:type="spellEnd"/>
      <w:r w:rsidRPr="00E215F0">
        <w:t xml:space="preserve"> = 1 for PDP</w:t>
      </w:r>
      <w:r>
        <w:t xml:space="preserve"> and 1</w:t>
      </w:r>
      <w:r w:rsidRPr="0028564E">
        <w:rPr>
          <w:vertAlign w:val="superscript"/>
        </w:rPr>
        <w:t>st</w:t>
      </w:r>
      <w:r>
        <w:t xml:space="preserve"> PC CIR</w:t>
      </w:r>
    </w:p>
    <w:p w14:paraId="711990A6" w14:textId="77777777" w:rsidR="00300C42" w:rsidRPr="00E215F0" w:rsidRDefault="00300C42" w:rsidP="00D35F36">
      <w:pPr>
        <w:pStyle w:val="ListParagraph"/>
        <w:numPr>
          <w:ilvl w:val="0"/>
          <w:numId w:val="25"/>
        </w:numPr>
      </w:pPr>
      <w:r w:rsidRPr="00E215F0">
        <w:t>B</w:t>
      </w:r>
      <w:r w:rsidRPr="00E215F0">
        <w:rPr>
          <w:vertAlign w:val="subscript"/>
        </w:rPr>
        <w:t>real</w:t>
      </w:r>
      <w:r w:rsidRPr="00E215F0">
        <w:t xml:space="preserve"> = 8 </w:t>
      </w:r>
      <w:r>
        <w:t>bits</w:t>
      </w:r>
    </w:p>
    <w:p w14:paraId="7CCF13A8" w14:textId="6EE6F553" w:rsidR="00300C42" w:rsidRPr="00E215F0" w:rsidRDefault="00300C42" w:rsidP="00300C42">
      <w:r w:rsidRPr="00E215F0">
        <w:t xml:space="preserve">That is, for one positioning request, the total numbers of feedback bits </w:t>
      </w:r>
      <w:r w:rsidR="00897377">
        <w:t>for reporting measurement</w:t>
      </w:r>
      <w:r w:rsidRPr="00E215F0">
        <w:t xml:space="preserve"> are</w:t>
      </w:r>
    </w:p>
    <w:p w14:paraId="2F320ED7" w14:textId="77777777" w:rsidR="00300C42" w:rsidRPr="00E215F0" w:rsidRDefault="00300C42" w:rsidP="00D35F36">
      <w:pPr>
        <w:pStyle w:val="ListParagraph"/>
        <w:numPr>
          <w:ilvl w:val="0"/>
          <w:numId w:val="26"/>
        </w:numPr>
        <w:tabs>
          <w:tab w:val="left" w:pos="1260"/>
        </w:tabs>
      </w:pPr>
      <w:r w:rsidRPr="00E215F0">
        <w:t>DP</w:t>
      </w:r>
    </w:p>
    <w:p w14:paraId="2E701CDB" w14:textId="77777777" w:rsidR="00300C42" w:rsidRDefault="00300C42" w:rsidP="00D35F36">
      <w:pPr>
        <w:pStyle w:val="ListParagraph"/>
        <w:numPr>
          <w:ilvl w:val="1"/>
          <w:numId w:val="26"/>
        </w:numPr>
        <w:tabs>
          <w:tab w:val="left" w:pos="1260"/>
        </w:tabs>
      </w:pPr>
      <w:r w:rsidRPr="00E215F0">
        <w:t>N</w:t>
      </w:r>
      <w:r w:rsidRPr="00E215F0">
        <w:rPr>
          <w:vertAlign w:val="subscript"/>
        </w:rPr>
        <w:t>TRP</w:t>
      </w:r>
      <w:r w:rsidRPr="00E215F0">
        <w:t xml:space="preserve"> </w:t>
      </w:r>
      <w:r w:rsidRPr="00E215F0">
        <w:rPr>
          <w:rFonts w:cs="Arial"/>
        </w:rPr>
        <w:t>×</w:t>
      </w:r>
      <w:r w:rsidRPr="00E215F0">
        <w:t xml:space="preserve"> </w:t>
      </w:r>
      <w:proofErr w:type="spellStart"/>
      <w:r w:rsidRPr="00E215F0">
        <w:t>N</w:t>
      </w:r>
      <w:r w:rsidRPr="00DC32F9">
        <w:rPr>
          <w:vertAlign w:val="subscript"/>
        </w:rPr>
        <w:t>t</w:t>
      </w:r>
      <w:proofErr w:type="spellEnd"/>
      <w:r w:rsidRPr="00E215F0">
        <w:t xml:space="preserve"> bits</w:t>
      </w:r>
    </w:p>
    <w:p w14:paraId="1E0FD3BB" w14:textId="77777777" w:rsidR="00300C42" w:rsidRPr="00015788" w:rsidRDefault="00300C42" w:rsidP="00D35F36">
      <w:pPr>
        <w:pStyle w:val="ListParagraph"/>
        <w:numPr>
          <w:ilvl w:val="1"/>
          <w:numId w:val="26"/>
        </w:numPr>
        <w:tabs>
          <w:tab w:val="left" w:pos="1260"/>
        </w:tabs>
      </w:pPr>
      <w:r w:rsidRPr="00015788">
        <w:t>Optional: N</w:t>
      </w:r>
      <w:r w:rsidRPr="00015788">
        <w:rPr>
          <w:vertAlign w:val="subscript"/>
        </w:rPr>
        <w:t>TRP</w:t>
      </w:r>
      <w:r w:rsidRPr="00015788">
        <w:t xml:space="preserve"> </w:t>
      </w:r>
      <w:r w:rsidRPr="00015788">
        <w:rPr>
          <w:rFonts w:cs="Arial"/>
        </w:rPr>
        <w:t>×</w:t>
      </w:r>
      <w:r w:rsidRPr="00015788">
        <w:t xml:space="preserve"> </w:t>
      </w:r>
      <w:r>
        <w:t>(</w:t>
      </w:r>
      <w:proofErr w:type="spellStart"/>
      <w:r w:rsidRPr="00E215F0">
        <w:t>N</w:t>
      </w:r>
      <w:r w:rsidRPr="00DC32F9">
        <w:rPr>
          <w:vertAlign w:val="subscript"/>
        </w:rPr>
        <w:t>t</w:t>
      </w:r>
      <w:proofErr w:type="spellEnd"/>
      <w:r w:rsidRPr="00015788" w:rsidDel="00717C86">
        <w:t xml:space="preserve"> </w:t>
      </w:r>
      <w:r w:rsidRPr="00015788">
        <w:t>+ B</w:t>
      </w:r>
      <w:r w:rsidRPr="00015788">
        <w:rPr>
          <w:vertAlign w:val="subscript"/>
        </w:rPr>
        <w:t>real</w:t>
      </w:r>
      <w:r>
        <w:t xml:space="preserve">) </w:t>
      </w:r>
      <w:r w:rsidRPr="00015788">
        <w:t>bits (including the RS RSRP for the TRP link</w:t>
      </w:r>
      <w:r>
        <w:t>s)</w:t>
      </w:r>
    </w:p>
    <w:p w14:paraId="603A5C10" w14:textId="77777777" w:rsidR="00300C42" w:rsidRPr="00E215F0" w:rsidRDefault="00300C42" w:rsidP="00D35F36">
      <w:pPr>
        <w:pStyle w:val="ListParagraph"/>
        <w:numPr>
          <w:ilvl w:val="0"/>
          <w:numId w:val="26"/>
        </w:numPr>
        <w:tabs>
          <w:tab w:val="left" w:pos="1260"/>
        </w:tabs>
      </w:pPr>
      <w:r w:rsidRPr="00E215F0">
        <w:lastRenderedPageBreak/>
        <w:t>PDP</w:t>
      </w:r>
    </w:p>
    <w:p w14:paraId="39EAB551" w14:textId="77777777" w:rsidR="00300C42" w:rsidRPr="00E215F0" w:rsidRDefault="00300C42" w:rsidP="00D35F36">
      <w:pPr>
        <w:pStyle w:val="ListParagraph"/>
        <w:numPr>
          <w:ilvl w:val="1"/>
          <w:numId w:val="26"/>
        </w:numPr>
        <w:tabs>
          <w:tab w:val="left" w:pos="1260"/>
        </w:tabs>
      </w:pPr>
      <w:r w:rsidRPr="00E215F0">
        <w:t>N</w:t>
      </w:r>
      <w:r w:rsidRPr="00E215F0">
        <w:rPr>
          <w:vertAlign w:val="subscript"/>
        </w:rPr>
        <w:t>TRP</w:t>
      </w:r>
      <w:r w:rsidRPr="00E215F0">
        <w:rPr>
          <w:rFonts w:cs="Arial"/>
        </w:rPr>
        <w:t xml:space="preserve"> × </w:t>
      </w:r>
      <w:proofErr w:type="spellStart"/>
      <w:r w:rsidRPr="00E215F0">
        <w:t>N</w:t>
      </w:r>
      <w:r w:rsidRPr="00DC32F9">
        <w:rPr>
          <w:vertAlign w:val="subscript"/>
        </w:rPr>
        <w:t>t</w:t>
      </w:r>
      <w:proofErr w:type="spellEnd"/>
      <w:r w:rsidRPr="00E215F0" w:rsidDel="00717C86">
        <w:rPr>
          <w:rFonts w:cs="Arial"/>
        </w:rPr>
        <w:t xml:space="preserve"> </w:t>
      </w:r>
      <w:r w:rsidRPr="00E215F0">
        <w:rPr>
          <w:rFonts w:cs="Arial"/>
        </w:rPr>
        <w:t xml:space="preserve">× </w:t>
      </w:r>
      <w:r w:rsidRPr="00E215F0">
        <w:t>B</w:t>
      </w:r>
      <w:r w:rsidRPr="00E215F0">
        <w:rPr>
          <w:vertAlign w:val="subscript"/>
        </w:rPr>
        <w:t>real</w:t>
      </w:r>
      <w:r w:rsidRPr="00E215F0">
        <w:t xml:space="preserve"> </w:t>
      </w:r>
      <w:r w:rsidRPr="00E215F0">
        <w:rPr>
          <w:rFonts w:cs="Arial"/>
        </w:rPr>
        <w:t>bits if sub-sampling is not configured</w:t>
      </w:r>
    </w:p>
    <w:p w14:paraId="7C3AC6A7" w14:textId="77777777" w:rsidR="00300C42" w:rsidRPr="00E215F0" w:rsidRDefault="00300C42" w:rsidP="00D35F36">
      <w:pPr>
        <w:pStyle w:val="ListParagraph"/>
        <w:numPr>
          <w:ilvl w:val="1"/>
          <w:numId w:val="26"/>
        </w:numPr>
        <w:tabs>
          <w:tab w:val="left" w:pos="1260"/>
        </w:tabs>
      </w:pPr>
      <w:r w:rsidRPr="00E215F0">
        <w:t>N</w:t>
      </w:r>
      <w:r w:rsidRPr="00E215F0">
        <w:rPr>
          <w:vertAlign w:val="subscript"/>
        </w:rPr>
        <w:t>TRP</w:t>
      </w:r>
      <w:r w:rsidRPr="00E215F0">
        <w:t xml:space="preserve"> </w:t>
      </w:r>
      <w:r w:rsidRPr="00E215F0">
        <w:rPr>
          <w:rFonts w:cs="Arial"/>
        </w:rPr>
        <w:t>×</w:t>
      </w:r>
      <w:r w:rsidRPr="00E215F0">
        <w:t xml:space="preserve"> </w:t>
      </w:r>
      <w:r>
        <w:t>(</w:t>
      </w:r>
      <w:proofErr w:type="spellStart"/>
      <w:r w:rsidRPr="00E215F0">
        <w:t>N</w:t>
      </w:r>
      <w:r w:rsidRPr="00DC32F9">
        <w:rPr>
          <w:vertAlign w:val="subscript"/>
        </w:rPr>
        <w:t>t</w:t>
      </w:r>
      <w:proofErr w:type="spellEnd"/>
      <w:r w:rsidRPr="00E215F0" w:rsidDel="00717C86">
        <w:t xml:space="preserve"> </w:t>
      </w:r>
      <w:r w:rsidRPr="00E215F0">
        <w:rPr>
          <w:rFonts w:cs="Arial"/>
        </w:rPr>
        <w:t xml:space="preserve">+ </w:t>
      </w:r>
      <w:proofErr w:type="spellStart"/>
      <w:r w:rsidRPr="00E215F0">
        <w:t>N</w:t>
      </w:r>
      <w:r w:rsidRPr="00DC32F9">
        <w:rPr>
          <w:vertAlign w:val="subscript"/>
        </w:rPr>
        <w:t>t</w:t>
      </w:r>
      <w:proofErr w:type="spellEnd"/>
      <w:r>
        <w:t>'</w:t>
      </w:r>
      <w:r w:rsidRPr="00E215F0">
        <w:rPr>
          <w:rFonts w:cs="Arial"/>
        </w:rPr>
        <w:t xml:space="preserve"> × </w:t>
      </w:r>
      <w:r w:rsidRPr="00E215F0">
        <w:t>B</w:t>
      </w:r>
      <w:r w:rsidRPr="00E215F0">
        <w:rPr>
          <w:vertAlign w:val="subscript"/>
        </w:rPr>
        <w:t>real</w:t>
      </w:r>
      <w:r>
        <w:t xml:space="preserve">) </w:t>
      </w:r>
      <w:r w:rsidRPr="00E215F0">
        <w:rPr>
          <w:rFonts w:cs="Arial"/>
        </w:rPr>
        <w:t>bits if sub-sampling is configured</w:t>
      </w:r>
    </w:p>
    <w:p w14:paraId="75E3F9E3" w14:textId="77777777" w:rsidR="00300C42" w:rsidRPr="00E215F0" w:rsidRDefault="00300C42" w:rsidP="00D35F36">
      <w:pPr>
        <w:pStyle w:val="ListParagraph"/>
        <w:numPr>
          <w:ilvl w:val="0"/>
          <w:numId w:val="26"/>
        </w:numPr>
        <w:tabs>
          <w:tab w:val="left" w:pos="1260"/>
        </w:tabs>
      </w:pPr>
      <w:r>
        <w:t xml:space="preserve">2-port </w:t>
      </w:r>
      <w:r w:rsidRPr="00E215F0">
        <w:t>CIR</w:t>
      </w:r>
    </w:p>
    <w:p w14:paraId="45F6782B" w14:textId="77777777" w:rsidR="00300C42" w:rsidRPr="00E215F0" w:rsidRDefault="00300C42" w:rsidP="00D35F36">
      <w:pPr>
        <w:pStyle w:val="ListParagraph"/>
        <w:numPr>
          <w:ilvl w:val="1"/>
          <w:numId w:val="26"/>
        </w:numPr>
        <w:tabs>
          <w:tab w:val="left" w:pos="1260"/>
        </w:tabs>
      </w:pPr>
      <w:r w:rsidRPr="00E215F0">
        <w:t>N</w:t>
      </w:r>
      <w:r w:rsidRPr="00E215F0">
        <w:rPr>
          <w:vertAlign w:val="subscript"/>
        </w:rPr>
        <w:t>TRP</w:t>
      </w:r>
      <w:r w:rsidRPr="00E215F0">
        <w:rPr>
          <w:rFonts w:cs="Arial"/>
        </w:rPr>
        <w:t xml:space="preserve"> × </w:t>
      </w:r>
      <w:r w:rsidRPr="00E215F0">
        <w:t xml:space="preserve">4 </w:t>
      </w:r>
      <w:r w:rsidRPr="00E215F0">
        <w:rPr>
          <w:rFonts w:cs="Arial"/>
        </w:rPr>
        <w:t xml:space="preserve">× </w:t>
      </w:r>
      <w:proofErr w:type="spellStart"/>
      <w:r w:rsidRPr="00E215F0">
        <w:t>N</w:t>
      </w:r>
      <w:r w:rsidRPr="00DC32F9">
        <w:rPr>
          <w:vertAlign w:val="subscript"/>
        </w:rPr>
        <w:t>t</w:t>
      </w:r>
      <w:proofErr w:type="spellEnd"/>
      <w:r w:rsidRPr="00E215F0" w:rsidDel="00717C86">
        <w:rPr>
          <w:rFonts w:cs="Arial"/>
        </w:rPr>
        <w:t xml:space="preserve"> </w:t>
      </w:r>
      <w:r w:rsidRPr="00E215F0">
        <w:rPr>
          <w:rFonts w:cs="Arial"/>
        </w:rPr>
        <w:t xml:space="preserve">× </w:t>
      </w:r>
      <w:r w:rsidRPr="00E215F0">
        <w:t>B</w:t>
      </w:r>
      <w:r w:rsidRPr="00E215F0">
        <w:rPr>
          <w:vertAlign w:val="subscript"/>
        </w:rPr>
        <w:t>real</w:t>
      </w:r>
      <w:r w:rsidRPr="00E215F0">
        <w:t xml:space="preserve"> </w:t>
      </w:r>
      <w:r w:rsidRPr="00E215F0">
        <w:rPr>
          <w:rFonts w:cs="Arial"/>
        </w:rPr>
        <w:t>bits if sub-sampling is not configured</w:t>
      </w:r>
    </w:p>
    <w:p w14:paraId="1B6CE975" w14:textId="77777777" w:rsidR="00300C42" w:rsidRPr="00C2502A" w:rsidRDefault="00300C42" w:rsidP="00D35F36">
      <w:pPr>
        <w:pStyle w:val="ListParagraph"/>
        <w:numPr>
          <w:ilvl w:val="1"/>
          <w:numId w:val="26"/>
        </w:numPr>
        <w:tabs>
          <w:tab w:val="left" w:pos="1260"/>
        </w:tabs>
      </w:pPr>
      <w:r w:rsidRPr="00E215F0">
        <w:t>N</w:t>
      </w:r>
      <w:r w:rsidRPr="00E215F0">
        <w:rPr>
          <w:vertAlign w:val="subscript"/>
        </w:rPr>
        <w:t>TRP</w:t>
      </w:r>
      <w:r w:rsidRPr="00E215F0">
        <w:t xml:space="preserve"> </w:t>
      </w:r>
      <w:r w:rsidRPr="00E215F0">
        <w:rPr>
          <w:rFonts w:cs="Arial"/>
        </w:rPr>
        <w:t>×</w:t>
      </w:r>
      <w:r w:rsidRPr="00E215F0">
        <w:t xml:space="preserve"> </w:t>
      </w:r>
      <w:r>
        <w:t>(</w:t>
      </w:r>
      <w:proofErr w:type="spellStart"/>
      <w:r w:rsidRPr="00E215F0">
        <w:t>N</w:t>
      </w:r>
      <w:r w:rsidRPr="00DC32F9">
        <w:rPr>
          <w:vertAlign w:val="subscript"/>
        </w:rPr>
        <w:t>t</w:t>
      </w:r>
      <w:proofErr w:type="spellEnd"/>
      <w:r w:rsidRPr="00E215F0" w:rsidDel="00717C86">
        <w:t xml:space="preserve"> </w:t>
      </w:r>
      <w:r w:rsidRPr="00E215F0">
        <w:rPr>
          <w:rFonts w:cs="Arial"/>
        </w:rPr>
        <w:t xml:space="preserve">+ </w:t>
      </w:r>
      <w:r w:rsidRPr="00E215F0">
        <w:t xml:space="preserve">4 </w:t>
      </w:r>
      <w:r w:rsidRPr="00E215F0">
        <w:rPr>
          <w:rFonts w:cs="Arial"/>
        </w:rPr>
        <w:t xml:space="preserve">× </w:t>
      </w:r>
      <w:proofErr w:type="spellStart"/>
      <w:r w:rsidRPr="00E215F0">
        <w:t>N</w:t>
      </w:r>
      <w:r w:rsidRPr="00DC32F9">
        <w:rPr>
          <w:vertAlign w:val="subscript"/>
        </w:rPr>
        <w:t>t</w:t>
      </w:r>
      <w:proofErr w:type="spellEnd"/>
      <w:r>
        <w:t>'</w:t>
      </w:r>
      <w:r w:rsidRPr="00E215F0">
        <w:rPr>
          <w:rFonts w:cs="Arial"/>
        </w:rPr>
        <w:t xml:space="preserve"> × </w:t>
      </w:r>
      <w:r w:rsidRPr="00E215F0">
        <w:t>B</w:t>
      </w:r>
      <w:r w:rsidRPr="00E215F0">
        <w:rPr>
          <w:vertAlign w:val="subscript"/>
        </w:rPr>
        <w:t>real</w:t>
      </w:r>
      <w:r>
        <w:t xml:space="preserve">) </w:t>
      </w:r>
      <w:r w:rsidRPr="00E215F0">
        <w:rPr>
          <w:rFonts w:cs="Arial"/>
        </w:rPr>
        <w:t>bits if sub-sampling is configured</w:t>
      </w:r>
    </w:p>
    <w:p w14:paraId="3C44ED32" w14:textId="77777777" w:rsidR="00300C42" w:rsidRDefault="00300C42" w:rsidP="00D35F36">
      <w:pPr>
        <w:pStyle w:val="ListParagraph"/>
        <w:numPr>
          <w:ilvl w:val="1"/>
          <w:numId w:val="26"/>
        </w:numPr>
        <w:tabs>
          <w:tab w:val="left" w:pos="1260"/>
        </w:tabs>
      </w:pPr>
      <w:r>
        <w:t>Note: factor 4 is used above since CIR uses 2-port and complex values</w:t>
      </w:r>
    </w:p>
    <w:p w14:paraId="3B4C59C7" w14:textId="77777777" w:rsidR="00300C42" w:rsidRPr="00E215F0" w:rsidRDefault="00300C42" w:rsidP="00D35F36">
      <w:pPr>
        <w:pStyle w:val="ListParagraph"/>
        <w:numPr>
          <w:ilvl w:val="0"/>
          <w:numId w:val="26"/>
        </w:numPr>
        <w:tabs>
          <w:tab w:val="left" w:pos="1260"/>
        </w:tabs>
      </w:pPr>
      <w:r>
        <w:t>1</w:t>
      </w:r>
      <w:r w:rsidRPr="006777DD">
        <w:rPr>
          <w:vertAlign w:val="superscript"/>
        </w:rPr>
        <w:t>st</w:t>
      </w:r>
      <w:r>
        <w:t xml:space="preserve"> PC </w:t>
      </w:r>
      <w:r w:rsidRPr="00E215F0">
        <w:t>CIR</w:t>
      </w:r>
    </w:p>
    <w:p w14:paraId="7B1CED1F" w14:textId="77777777" w:rsidR="00300C42" w:rsidRPr="00E215F0" w:rsidRDefault="00300C42" w:rsidP="00D35F36">
      <w:pPr>
        <w:pStyle w:val="ListParagraph"/>
        <w:numPr>
          <w:ilvl w:val="1"/>
          <w:numId w:val="26"/>
        </w:numPr>
        <w:tabs>
          <w:tab w:val="left" w:pos="1260"/>
        </w:tabs>
      </w:pPr>
      <w:r w:rsidRPr="00E215F0">
        <w:t>N</w:t>
      </w:r>
      <w:r w:rsidRPr="00E215F0">
        <w:rPr>
          <w:vertAlign w:val="subscript"/>
        </w:rPr>
        <w:t>TRP</w:t>
      </w:r>
      <w:r w:rsidRPr="00E215F0">
        <w:rPr>
          <w:rFonts w:cs="Arial"/>
        </w:rPr>
        <w:t xml:space="preserve"> × </w:t>
      </w:r>
      <w:r>
        <w:rPr>
          <w:rFonts w:cs="Arial"/>
        </w:rPr>
        <w:t>2</w:t>
      </w:r>
      <w:r w:rsidRPr="00E215F0">
        <w:t xml:space="preserve"> </w:t>
      </w:r>
      <w:r w:rsidRPr="00E215F0">
        <w:rPr>
          <w:rFonts w:cs="Arial"/>
        </w:rPr>
        <w:t xml:space="preserve">× </w:t>
      </w:r>
      <w:proofErr w:type="spellStart"/>
      <w:r w:rsidRPr="00E215F0">
        <w:t>N</w:t>
      </w:r>
      <w:r w:rsidRPr="00DC32F9">
        <w:rPr>
          <w:vertAlign w:val="subscript"/>
        </w:rPr>
        <w:t>t</w:t>
      </w:r>
      <w:proofErr w:type="spellEnd"/>
      <w:r w:rsidRPr="00E215F0" w:rsidDel="00717C86">
        <w:rPr>
          <w:rFonts w:cs="Arial"/>
        </w:rPr>
        <w:t xml:space="preserve"> </w:t>
      </w:r>
      <w:r w:rsidRPr="00E215F0">
        <w:rPr>
          <w:rFonts w:cs="Arial"/>
        </w:rPr>
        <w:t xml:space="preserve">× </w:t>
      </w:r>
      <w:r w:rsidRPr="00E215F0">
        <w:t>B</w:t>
      </w:r>
      <w:r w:rsidRPr="00E215F0">
        <w:rPr>
          <w:vertAlign w:val="subscript"/>
        </w:rPr>
        <w:t>real</w:t>
      </w:r>
      <w:r w:rsidRPr="00E215F0">
        <w:t xml:space="preserve"> </w:t>
      </w:r>
      <w:r w:rsidRPr="00E215F0">
        <w:rPr>
          <w:rFonts w:cs="Arial"/>
        </w:rPr>
        <w:t>bits if sub-sampling is not configured</w:t>
      </w:r>
    </w:p>
    <w:p w14:paraId="1FC1C98E" w14:textId="77777777" w:rsidR="00300C42" w:rsidRPr="00C2502A" w:rsidRDefault="00300C42" w:rsidP="00D35F36">
      <w:pPr>
        <w:pStyle w:val="ListParagraph"/>
        <w:numPr>
          <w:ilvl w:val="1"/>
          <w:numId w:val="26"/>
        </w:numPr>
        <w:tabs>
          <w:tab w:val="left" w:pos="1260"/>
        </w:tabs>
      </w:pPr>
      <w:r w:rsidRPr="00E215F0">
        <w:t>N</w:t>
      </w:r>
      <w:r w:rsidRPr="00E215F0">
        <w:rPr>
          <w:vertAlign w:val="subscript"/>
        </w:rPr>
        <w:t>TRP</w:t>
      </w:r>
      <w:r w:rsidRPr="00E215F0">
        <w:t xml:space="preserve"> </w:t>
      </w:r>
      <w:r w:rsidRPr="00E215F0">
        <w:rPr>
          <w:rFonts w:cs="Arial"/>
        </w:rPr>
        <w:t>×</w:t>
      </w:r>
      <w:r w:rsidRPr="00E215F0">
        <w:t xml:space="preserve"> </w:t>
      </w:r>
      <w:r>
        <w:t>(</w:t>
      </w:r>
      <w:proofErr w:type="spellStart"/>
      <w:r w:rsidRPr="00E215F0">
        <w:t>N</w:t>
      </w:r>
      <w:r w:rsidRPr="00DC32F9">
        <w:rPr>
          <w:vertAlign w:val="subscript"/>
        </w:rPr>
        <w:t>t</w:t>
      </w:r>
      <w:proofErr w:type="spellEnd"/>
      <w:r w:rsidRPr="00E215F0" w:rsidDel="00717C86">
        <w:t xml:space="preserve"> </w:t>
      </w:r>
      <w:r w:rsidRPr="00E215F0">
        <w:rPr>
          <w:rFonts w:cs="Arial"/>
        </w:rPr>
        <w:t xml:space="preserve">+ </w:t>
      </w:r>
      <w:r>
        <w:rPr>
          <w:rFonts w:cs="Arial"/>
        </w:rPr>
        <w:t>2</w:t>
      </w:r>
      <w:r w:rsidRPr="00E215F0">
        <w:t xml:space="preserve"> </w:t>
      </w:r>
      <w:r w:rsidRPr="00E215F0">
        <w:rPr>
          <w:rFonts w:cs="Arial"/>
        </w:rPr>
        <w:t xml:space="preserve">× </w:t>
      </w:r>
      <w:proofErr w:type="spellStart"/>
      <w:r w:rsidRPr="00E215F0">
        <w:t>N</w:t>
      </w:r>
      <w:r w:rsidRPr="00DC32F9">
        <w:rPr>
          <w:vertAlign w:val="subscript"/>
        </w:rPr>
        <w:t>t</w:t>
      </w:r>
      <w:proofErr w:type="spellEnd"/>
      <w:r>
        <w:t>'</w:t>
      </w:r>
      <w:r w:rsidRPr="00E215F0">
        <w:rPr>
          <w:rFonts w:cs="Arial"/>
        </w:rPr>
        <w:t xml:space="preserve"> × </w:t>
      </w:r>
      <w:r w:rsidRPr="00E215F0">
        <w:t>B</w:t>
      </w:r>
      <w:r w:rsidRPr="00E215F0">
        <w:rPr>
          <w:vertAlign w:val="subscript"/>
        </w:rPr>
        <w:t>real</w:t>
      </w:r>
      <w:r>
        <w:t xml:space="preserve">) </w:t>
      </w:r>
      <w:r w:rsidRPr="00E215F0">
        <w:rPr>
          <w:rFonts w:cs="Arial"/>
        </w:rPr>
        <w:t>bits if sub-sampling is configured</w:t>
      </w:r>
    </w:p>
    <w:p w14:paraId="685E19D6" w14:textId="77777777" w:rsidR="00300C42" w:rsidRPr="006777DD" w:rsidRDefault="00300C42" w:rsidP="00D35F36">
      <w:pPr>
        <w:pStyle w:val="ListParagraph"/>
        <w:numPr>
          <w:ilvl w:val="1"/>
          <w:numId w:val="26"/>
        </w:numPr>
        <w:tabs>
          <w:tab w:val="left" w:pos="1260"/>
        </w:tabs>
      </w:pPr>
      <w:r w:rsidRPr="006777DD">
        <w:t>Note: factor 2 is used above since CIR uses complex values</w:t>
      </w:r>
    </w:p>
    <w:p w14:paraId="7D120AFE" w14:textId="571F63A1" w:rsidR="00300C42" w:rsidRPr="00E215F0" w:rsidRDefault="00300C42" w:rsidP="00300C42">
      <w:r>
        <w:t xml:space="preserve">In </w:t>
      </w:r>
      <w:r w:rsidR="00E70DE4">
        <w:fldChar w:fldCharType="begin"/>
      </w:r>
      <w:r w:rsidR="00E70DE4">
        <w:instrText xml:space="preserve"> REF _Ref163134718 </w:instrText>
      </w:r>
      <w:r w:rsidR="00E70DE4">
        <w:fldChar w:fldCharType="separate"/>
      </w:r>
      <w:r w:rsidR="00C713E4" w:rsidRPr="00E215F0">
        <w:t xml:space="preserve">Figure </w:t>
      </w:r>
      <w:r w:rsidR="00C713E4">
        <w:rPr>
          <w:noProof/>
        </w:rPr>
        <w:t>1</w:t>
      </w:r>
      <w:r w:rsidR="00E70DE4">
        <w:rPr>
          <w:noProof/>
        </w:rPr>
        <w:fldChar w:fldCharType="end"/>
      </w:r>
      <w:r>
        <w:t xml:space="preserve">, we show the scatter plot of feedback sizes </w:t>
      </w:r>
      <w:r w:rsidR="00897377">
        <w:t xml:space="preserve">(i.e., number of bits to report measurements) </w:t>
      </w:r>
      <w:r>
        <w:t xml:space="preserve">and the achieved 90%tile 2D UE positioning errors for different AI/ML model input types with the following different combinations of lengths, sub-sampling sizes and TRP down-selection </w:t>
      </w:r>
      <w:r w:rsidRPr="00E215F0">
        <w:fldChar w:fldCharType="begin"/>
      </w:r>
      <w:r w:rsidRPr="00E215F0">
        <w:instrText xml:space="preserve"> REF _Ref158730650 \r \h </w:instrText>
      </w:r>
      <w:r w:rsidRPr="00E215F0">
        <w:fldChar w:fldCharType="separate"/>
      </w:r>
      <w:r w:rsidR="00C713E4">
        <w:t>[6]</w:t>
      </w:r>
      <w:r w:rsidRPr="00E215F0">
        <w:fldChar w:fldCharType="end"/>
      </w:r>
      <w:r>
        <w:t>:</w:t>
      </w:r>
    </w:p>
    <w:p w14:paraId="383CB3D3" w14:textId="77777777" w:rsidR="00300C42" w:rsidRPr="00E215F0" w:rsidRDefault="00300C42" w:rsidP="00D35F36">
      <w:pPr>
        <w:pStyle w:val="ListParagraph"/>
        <w:numPr>
          <w:ilvl w:val="0"/>
          <w:numId w:val="23"/>
        </w:numPr>
      </w:pPr>
      <w:r>
        <w:t>CIR/PDP</w:t>
      </w:r>
    </w:p>
    <w:p w14:paraId="0BCB81BE" w14:textId="77777777" w:rsidR="00300C42" w:rsidRPr="00E215F0" w:rsidRDefault="00300C42" w:rsidP="00D35F36">
      <w:pPr>
        <w:pStyle w:val="ListParagraph"/>
        <w:numPr>
          <w:ilvl w:val="1"/>
          <w:numId w:val="23"/>
        </w:numPr>
      </w:pPr>
      <w:r>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 xml:space="preserve">= </m:t>
        </m:r>
      </m:oMath>
      <w:r>
        <w:t>256, 128, 64, 32 taps without sub-sampling</w:t>
      </w:r>
    </w:p>
    <w:p w14:paraId="193D1291" w14:textId="77777777" w:rsidR="00300C42" w:rsidRPr="00E215F0" w:rsidRDefault="00B27F97"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t xml:space="preserve"> 256-sample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 xml:space="preserve">= </m:t>
        </m:r>
      </m:oMath>
      <w:r w:rsidR="00300C42">
        <w:t>128, 64, 32, 16, 9 sub-samples</w:t>
      </w:r>
    </w:p>
    <w:p w14:paraId="56FE1586" w14:textId="77777777" w:rsidR="00300C42" w:rsidRPr="00E215F0" w:rsidRDefault="00B27F97"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t xml:space="preserve"> 128-sample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t xml:space="preserve"> 64, 32, 16, 9 sub-samples</w:t>
      </w:r>
    </w:p>
    <w:p w14:paraId="6C8C8F24" w14:textId="77777777" w:rsidR="00300C42" w:rsidRPr="00E215F0" w:rsidRDefault="00B27F97" w:rsidP="00D35F36">
      <w:pPr>
        <w:pStyle w:val="ListParagraph"/>
        <w:numPr>
          <w:ilvl w:val="1"/>
          <w:numId w:val="23"/>
        </w:numPr>
      </w:pP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00300C42">
        <w:t xml:space="preserve"> 64-sample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sidR="00300C42">
        <w:t xml:space="preserve"> 32, 16, 9 sub-samples</w:t>
      </w:r>
    </w:p>
    <w:p w14:paraId="675C53A2" w14:textId="77777777" w:rsidR="00300C42" w:rsidRPr="00E215F0" w:rsidRDefault="00300C42" w:rsidP="00D35F36">
      <w:pPr>
        <w:pStyle w:val="ListParagraph"/>
        <w:numPr>
          <w:ilvl w:val="0"/>
          <w:numId w:val="23"/>
        </w:numPr>
      </w:pPr>
      <w:r>
        <w:t>DP</w:t>
      </w:r>
    </w:p>
    <w:p w14:paraId="5C015BEB" w14:textId="77777777" w:rsidR="00300C42" w:rsidRDefault="00300C42" w:rsidP="00D35F36">
      <w:pPr>
        <w:pStyle w:val="ListParagraph"/>
        <w:numPr>
          <w:ilvl w:val="1"/>
          <w:numId w:val="23"/>
        </w:numPr>
      </w:pPr>
      <w:r>
        <w:t xml:space="preserve">Truncation to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t xml:space="preserve">256, 128, 64 taps with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oMath>
      <w:r>
        <w:t xml:space="preserve"> non-zero samples</w:t>
      </w:r>
    </w:p>
    <w:p w14:paraId="3B30400E" w14:textId="77777777" w:rsidR="00300C42" w:rsidRPr="00E215F0" w:rsidRDefault="00300C42" w:rsidP="00D35F36">
      <w:pPr>
        <w:pStyle w:val="ListParagraph"/>
        <w:numPr>
          <w:ilvl w:val="1"/>
          <w:numId w:val="23"/>
        </w:numPr>
      </w:pPr>
      <w:r>
        <w:t>With magnitude 1 or optionally with RS RSRP</w:t>
      </w:r>
    </w:p>
    <w:p w14:paraId="45163253" w14:textId="77777777" w:rsidR="00300C42" w:rsidRDefault="00300C42" w:rsidP="00D35F36">
      <w:pPr>
        <w:pStyle w:val="ListParagraph"/>
        <w:numPr>
          <w:ilvl w:val="0"/>
          <w:numId w:val="23"/>
        </w:numPr>
      </w:pPr>
      <w:r>
        <w:t xml:space="preserve">Dynamic TRP selection to 9, 6, 3 TRPs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m:t>
            </m:r>
          </m:sup>
        </m:sSubSup>
        <m:r>
          <m:rPr>
            <m:sty m:val="p"/>
          </m:rPr>
          <w:rPr>
            <w:rFonts w:ascii="Cambria Math"/>
          </w:rPr>
          <m:t xml:space="preserve">= </m:t>
        </m:r>
      </m:oMath>
      <w:r>
        <w:t>256.</w:t>
      </w:r>
    </w:p>
    <w:p w14:paraId="7F9580CD" w14:textId="77777777" w:rsidR="00300C42" w:rsidRDefault="00300C42" w:rsidP="00300C42"/>
    <w:p w14:paraId="257B32D5" w14:textId="77777777" w:rsidR="00300C42" w:rsidRPr="00E215F0" w:rsidRDefault="00300C42" w:rsidP="00300C42">
      <w:r w:rsidRPr="00E215F0">
        <w:t xml:space="preserve">From the </w:t>
      </w:r>
      <w:r>
        <w:t>figure</w:t>
      </w:r>
      <w:r w:rsidRPr="00E215F0">
        <w:t>, we make the following observations:</w:t>
      </w:r>
    </w:p>
    <w:p w14:paraId="0259E0B0" w14:textId="77777777" w:rsidR="00300C42" w:rsidRPr="00A67F60" w:rsidRDefault="00300C42" w:rsidP="00D35F36">
      <w:pPr>
        <w:pStyle w:val="ListParagraph"/>
        <w:numPr>
          <w:ilvl w:val="0"/>
          <w:numId w:val="30"/>
        </w:numPr>
      </w:pPr>
      <w:r w:rsidRPr="00E215F0">
        <w:t>For small or moderate signaling sizes, PDP samples can achieve better positioning accuracy than 2-port CIR samples at the same or smaller signaling sizes. Using PDP samples, a 90%tile 2D positioning error of 0.52 m can be achieved.</w:t>
      </w:r>
    </w:p>
    <w:p w14:paraId="4D0D621B" w14:textId="77777777" w:rsidR="00300C42" w:rsidRDefault="00300C42" w:rsidP="00D35F36">
      <w:pPr>
        <w:pStyle w:val="ListParagraph"/>
        <w:numPr>
          <w:ilvl w:val="0"/>
          <w:numId w:val="30"/>
        </w:numPr>
      </w:pPr>
      <w:r w:rsidRPr="00E215F0">
        <w:t xml:space="preserve">The higher positioning accuracy achieved by 2-port CIR is only possible with very large signaling sizes. </w:t>
      </w:r>
    </w:p>
    <w:p w14:paraId="1579790F" w14:textId="77777777" w:rsidR="00300C42" w:rsidRPr="00A67F60" w:rsidRDefault="00300C42" w:rsidP="00D35F36">
      <w:pPr>
        <w:pStyle w:val="ListParagraph"/>
        <w:numPr>
          <w:ilvl w:val="0"/>
          <w:numId w:val="30"/>
        </w:numPr>
      </w:pPr>
      <w:r>
        <w:t xml:space="preserve">For most given </w:t>
      </w:r>
      <w:r w:rsidRPr="00194B5B">
        <w:t>90%tile 2D UE positioning error</w:t>
      </w:r>
      <w:r>
        <w:t xml:space="preserve"> requirements, the DP samples </w:t>
      </w:r>
      <w:proofErr w:type="gramStart"/>
      <w:r>
        <w:t>requires</w:t>
      </w:r>
      <w:proofErr w:type="gramEnd"/>
      <w:r>
        <w:t xml:space="preserve"> the smallest signaling sizes.</w:t>
      </w:r>
    </w:p>
    <w:p w14:paraId="7025F75C" w14:textId="77777777" w:rsidR="00300C42" w:rsidRDefault="00300C42" w:rsidP="00300C42">
      <w:pPr>
        <w:jc w:val="center"/>
      </w:pPr>
      <w:r w:rsidRPr="0011394E">
        <w:rPr>
          <w:noProof/>
        </w:rPr>
        <w:lastRenderedPageBreak/>
        <w:drawing>
          <wp:inline distT="0" distB="0" distL="0" distR="0" wp14:anchorId="0FDB7514" wp14:editId="71273011">
            <wp:extent cx="5327650" cy="39954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7650" cy="3995420"/>
                    </a:xfrm>
                    <a:prstGeom prst="rect">
                      <a:avLst/>
                    </a:prstGeom>
                    <a:noFill/>
                    <a:ln>
                      <a:noFill/>
                    </a:ln>
                  </pic:spPr>
                </pic:pic>
              </a:graphicData>
            </a:graphic>
          </wp:inline>
        </w:drawing>
      </w:r>
    </w:p>
    <w:p w14:paraId="02FBB6C2" w14:textId="69CC823B" w:rsidR="009066E6" w:rsidRDefault="00300C42" w:rsidP="002A4E1A">
      <w:pPr>
        <w:pStyle w:val="Caption"/>
      </w:pPr>
      <w:bookmarkStart w:id="1510" w:name="_Ref163134718"/>
      <w:r w:rsidRPr="00E215F0">
        <w:t xml:space="preserve">Figure </w:t>
      </w:r>
      <w:r w:rsidR="00E70DE4">
        <w:fldChar w:fldCharType="begin"/>
      </w:r>
      <w:r w:rsidR="00E70DE4">
        <w:instrText xml:space="preserve"> SEQ Figure \* ARABIC </w:instrText>
      </w:r>
      <w:r w:rsidR="00E70DE4">
        <w:fldChar w:fldCharType="separate"/>
      </w:r>
      <w:r w:rsidR="00C713E4">
        <w:rPr>
          <w:noProof/>
        </w:rPr>
        <w:t>1</w:t>
      </w:r>
      <w:r w:rsidR="00E70DE4">
        <w:rPr>
          <w:noProof/>
        </w:rPr>
        <w:fldChar w:fldCharType="end"/>
      </w:r>
      <w:bookmarkEnd w:id="1510"/>
      <w:r w:rsidRPr="00E215F0">
        <w:t xml:space="preserve"> </w:t>
      </w:r>
      <w:r>
        <w:t xml:space="preserve">Scatter plot of feedback sizes and the achieved 90%tile 2D UE positioning errors </w:t>
      </w:r>
      <w:r w:rsidRPr="00E215F0">
        <w:t xml:space="preserve">in the </w:t>
      </w:r>
      <w:r w:rsidRPr="00E215F0">
        <w:rPr>
          <w:lang w:eastAsia="ja-JP"/>
        </w:rPr>
        <w:t xml:space="preserve">{60%, 6m, 2m} </w:t>
      </w:r>
      <w:proofErr w:type="spellStart"/>
      <w:r w:rsidRPr="00E215F0">
        <w:rPr>
          <w:lang w:eastAsia="ja-JP"/>
        </w:rPr>
        <w:t>InF</w:t>
      </w:r>
      <w:proofErr w:type="spellEnd"/>
      <w:r w:rsidRPr="00E215F0">
        <w:rPr>
          <w:lang w:eastAsia="ja-JP"/>
        </w:rPr>
        <w:t>-DH scenario</w:t>
      </w:r>
      <w:r>
        <w:t xml:space="preserve"> for different AI/ML model input types with different combinations of lengths, sub-sampling sizes and TRP down-selection using the regular sampling grid signaling approach.</w:t>
      </w:r>
      <w:r w:rsidRPr="00D64679">
        <w:t xml:space="preserve"> </w:t>
      </w:r>
      <w:r w:rsidRPr="00E215F0">
        <w:t xml:space="preserve">The positioning accuracy is for the “small model” for centralized direct positioning trained with 40,000 samples </w:t>
      </w:r>
      <w:r w:rsidRPr="00E215F0">
        <w:fldChar w:fldCharType="begin"/>
      </w:r>
      <w:r w:rsidRPr="00E215F0">
        <w:instrText xml:space="preserve"> REF _Ref158730650 \r \h </w:instrText>
      </w:r>
      <w:r w:rsidRPr="00E215F0">
        <w:fldChar w:fldCharType="separate"/>
      </w:r>
      <w:r w:rsidR="00C713E4">
        <w:t>[6]</w:t>
      </w:r>
      <w:r w:rsidRPr="00E215F0">
        <w:fldChar w:fldCharType="end"/>
      </w:r>
      <w:r w:rsidRPr="00E215F0">
        <w:t>.</w:t>
      </w:r>
    </w:p>
    <w:p w14:paraId="4F104AC5" w14:textId="77777777" w:rsidR="000640D8" w:rsidRPr="00E215F0" w:rsidRDefault="000640D8" w:rsidP="000640D8">
      <w:pPr>
        <w:pStyle w:val="Heading2"/>
        <w:rPr>
          <w:lang w:val="en-US"/>
        </w:rPr>
      </w:pPr>
      <w:bookmarkStart w:id="1511" w:name="_Toc158978326"/>
      <w:bookmarkStart w:id="1512" w:name="_Toc158978371"/>
      <w:bookmarkStart w:id="1513" w:name="_Toc159073353"/>
      <w:bookmarkStart w:id="1514" w:name="_Toc187677955"/>
      <w:bookmarkStart w:id="1515" w:name="_Toc189042826"/>
      <w:bookmarkStart w:id="1516" w:name="_Toc187677956"/>
      <w:bookmarkStart w:id="1517" w:name="_Toc189042827"/>
      <w:bookmarkStart w:id="1518" w:name="_Toc187677957"/>
      <w:bookmarkStart w:id="1519" w:name="_Toc189042828"/>
      <w:bookmarkStart w:id="1520" w:name="_Toc187677962"/>
      <w:bookmarkStart w:id="1521" w:name="_Toc189042833"/>
      <w:bookmarkStart w:id="1522" w:name="_Toc187677963"/>
      <w:bookmarkStart w:id="1523" w:name="_Toc189042834"/>
      <w:bookmarkStart w:id="1524" w:name="_Toc187677964"/>
      <w:bookmarkStart w:id="1525" w:name="_Toc189042835"/>
      <w:bookmarkStart w:id="1526" w:name="_Toc187677965"/>
      <w:bookmarkStart w:id="1527" w:name="_Toc189042836"/>
      <w:bookmarkStart w:id="1528" w:name="_Toc187677966"/>
      <w:bookmarkStart w:id="1529" w:name="_Toc189042837"/>
      <w:bookmarkStart w:id="1530" w:name="_Toc187677967"/>
      <w:bookmarkStart w:id="1531" w:name="_Toc189042838"/>
      <w:bookmarkStart w:id="1532" w:name="_Toc187677968"/>
      <w:bookmarkStart w:id="1533" w:name="_Toc189042839"/>
      <w:bookmarkStart w:id="1534" w:name="_Toc178705168"/>
      <w:bookmarkStart w:id="1535" w:name="_Toc178706070"/>
      <w:bookmarkStart w:id="1536" w:name="_Toc178709048"/>
      <w:bookmarkStart w:id="1537" w:name="_Toc178772770"/>
      <w:bookmarkStart w:id="1538" w:name="_Toc178705175"/>
      <w:bookmarkStart w:id="1539" w:name="_Toc178706077"/>
      <w:bookmarkStart w:id="1540" w:name="_Toc178709055"/>
      <w:bookmarkStart w:id="1541" w:name="_Toc178772777"/>
      <w:bookmarkStart w:id="1542" w:name="_Toc178705176"/>
      <w:bookmarkStart w:id="1543" w:name="_Toc178706078"/>
      <w:bookmarkStart w:id="1544" w:name="_Toc178709056"/>
      <w:bookmarkStart w:id="1545" w:name="_Toc178772778"/>
      <w:bookmarkStart w:id="1546" w:name="_Toc178705177"/>
      <w:bookmarkStart w:id="1547" w:name="_Toc178706079"/>
      <w:bookmarkStart w:id="1548" w:name="_Toc178709057"/>
      <w:bookmarkStart w:id="1549" w:name="_Toc178772779"/>
      <w:bookmarkStart w:id="1550" w:name="_Toc178705178"/>
      <w:bookmarkStart w:id="1551" w:name="_Toc178706080"/>
      <w:bookmarkStart w:id="1552" w:name="_Toc178709058"/>
      <w:bookmarkStart w:id="1553" w:name="_Toc178772780"/>
      <w:bookmarkStart w:id="1554" w:name="_Toc178705179"/>
      <w:bookmarkStart w:id="1555" w:name="_Toc178706081"/>
      <w:bookmarkStart w:id="1556" w:name="_Toc178709059"/>
      <w:bookmarkStart w:id="1557" w:name="_Toc178772781"/>
      <w:bookmarkStart w:id="1558" w:name="_Toc178705180"/>
      <w:bookmarkStart w:id="1559" w:name="_Toc178706082"/>
      <w:bookmarkStart w:id="1560" w:name="_Toc178709060"/>
      <w:bookmarkStart w:id="1561" w:name="_Toc178772782"/>
      <w:bookmarkStart w:id="1562" w:name="_Toc178705181"/>
      <w:bookmarkStart w:id="1563" w:name="_Toc178706083"/>
      <w:bookmarkStart w:id="1564" w:name="_Toc178709061"/>
      <w:bookmarkStart w:id="1565" w:name="_Toc178772783"/>
      <w:bookmarkStart w:id="1566" w:name="_Toc173850929"/>
      <w:bookmarkStart w:id="1567" w:name="_Toc173940681"/>
      <w:bookmarkStart w:id="1568" w:name="_Toc173850930"/>
      <w:bookmarkStart w:id="1569" w:name="_Toc173940682"/>
      <w:bookmarkStart w:id="1570" w:name="_Toc178705182"/>
      <w:bookmarkStart w:id="1571" w:name="_Toc178706084"/>
      <w:bookmarkStart w:id="1572" w:name="_Toc178709062"/>
      <w:bookmarkStart w:id="1573" w:name="_Toc178772784"/>
      <w:bookmarkStart w:id="1574" w:name="_Toc178705183"/>
      <w:bookmarkStart w:id="1575" w:name="_Toc178706085"/>
      <w:bookmarkStart w:id="1576" w:name="_Toc178709063"/>
      <w:bookmarkStart w:id="1577" w:name="_Toc178772785"/>
      <w:bookmarkStart w:id="1578" w:name="_Toc178705184"/>
      <w:bookmarkStart w:id="1579" w:name="_Toc178706086"/>
      <w:bookmarkStart w:id="1580" w:name="_Toc178709064"/>
      <w:bookmarkStart w:id="1581" w:name="_Toc178772786"/>
      <w:bookmarkStart w:id="1582" w:name="_Toc178705185"/>
      <w:bookmarkStart w:id="1583" w:name="_Toc178706087"/>
      <w:bookmarkStart w:id="1584" w:name="_Toc178709065"/>
      <w:bookmarkStart w:id="1585" w:name="_Toc178772787"/>
      <w:bookmarkStart w:id="1586" w:name="_Toc178705186"/>
      <w:bookmarkStart w:id="1587" w:name="_Toc178706088"/>
      <w:bookmarkStart w:id="1588" w:name="_Toc178709066"/>
      <w:bookmarkStart w:id="1589" w:name="_Toc178772788"/>
      <w:bookmarkStart w:id="1590" w:name="_Toc178705187"/>
      <w:bookmarkStart w:id="1591" w:name="_Toc178706089"/>
      <w:bookmarkStart w:id="1592" w:name="_Toc178709067"/>
      <w:bookmarkStart w:id="1593" w:name="_Toc178772789"/>
      <w:bookmarkStart w:id="1594" w:name="_Toc178705188"/>
      <w:bookmarkStart w:id="1595" w:name="_Toc178706090"/>
      <w:bookmarkStart w:id="1596" w:name="_Toc178709068"/>
      <w:bookmarkStart w:id="1597" w:name="_Toc178772790"/>
      <w:bookmarkStart w:id="1598" w:name="_Toc178705189"/>
      <w:bookmarkStart w:id="1599" w:name="_Toc178706091"/>
      <w:bookmarkStart w:id="1600" w:name="_Toc178709069"/>
      <w:bookmarkStart w:id="1601" w:name="_Toc178772791"/>
      <w:bookmarkStart w:id="1602" w:name="_Toc178705190"/>
      <w:bookmarkStart w:id="1603" w:name="_Toc178706092"/>
      <w:bookmarkStart w:id="1604" w:name="_Toc178709070"/>
      <w:bookmarkStart w:id="1605" w:name="_Toc178772792"/>
      <w:bookmarkStart w:id="1606" w:name="_Toc178705191"/>
      <w:bookmarkStart w:id="1607" w:name="_Toc178706093"/>
      <w:bookmarkStart w:id="1608" w:name="_Toc178709071"/>
      <w:bookmarkStart w:id="1609" w:name="_Toc178772793"/>
      <w:bookmarkStart w:id="1610" w:name="_Toc178705192"/>
      <w:bookmarkStart w:id="1611" w:name="_Toc178706094"/>
      <w:bookmarkStart w:id="1612" w:name="_Toc178709072"/>
      <w:bookmarkStart w:id="1613" w:name="_Toc178772794"/>
      <w:bookmarkStart w:id="1614" w:name="_Toc178705193"/>
      <w:bookmarkStart w:id="1615" w:name="_Toc178706095"/>
      <w:bookmarkStart w:id="1616" w:name="_Toc178709073"/>
      <w:bookmarkStart w:id="1617" w:name="_Toc178772795"/>
      <w:bookmarkStart w:id="1618" w:name="_Toc178705194"/>
      <w:bookmarkStart w:id="1619" w:name="_Toc178706096"/>
      <w:bookmarkStart w:id="1620" w:name="_Toc178709074"/>
      <w:bookmarkStart w:id="1621" w:name="_Toc178772796"/>
      <w:bookmarkStart w:id="1622" w:name="_Toc178705195"/>
      <w:bookmarkStart w:id="1623" w:name="_Toc178706097"/>
      <w:bookmarkStart w:id="1624" w:name="_Toc178709075"/>
      <w:bookmarkStart w:id="1625" w:name="_Toc178772797"/>
      <w:bookmarkStart w:id="1626" w:name="_Toc178705205"/>
      <w:bookmarkStart w:id="1627" w:name="_Toc178706107"/>
      <w:bookmarkStart w:id="1628" w:name="_Toc178709085"/>
      <w:bookmarkStart w:id="1629" w:name="_Toc178772807"/>
      <w:bookmarkStart w:id="1630" w:name="_Toc178705206"/>
      <w:bookmarkStart w:id="1631" w:name="_Toc178706108"/>
      <w:bookmarkStart w:id="1632" w:name="_Toc178709086"/>
      <w:bookmarkStart w:id="1633" w:name="_Toc178772808"/>
      <w:bookmarkStart w:id="1634" w:name="_Toc178705207"/>
      <w:bookmarkStart w:id="1635" w:name="_Toc178706109"/>
      <w:bookmarkStart w:id="1636" w:name="_Toc178709087"/>
      <w:bookmarkStart w:id="1637" w:name="_Toc178772809"/>
      <w:bookmarkStart w:id="1638" w:name="_Toc178705208"/>
      <w:bookmarkStart w:id="1639" w:name="_Toc178706110"/>
      <w:bookmarkStart w:id="1640" w:name="_Toc178709088"/>
      <w:bookmarkStart w:id="1641" w:name="_Toc178772810"/>
      <w:bookmarkStart w:id="1642" w:name="_Toc178705209"/>
      <w:bookmarkStart w:id="1643" w:name="_Toc178706111"/>
      <w:bookmarkStart w:id="1644" w:name="_Toc178709089"/>
      <w:bookmarkStart w:id="1645" w:name="_Toc178772811"/>
      <w:bookmarkStart w:id="1646" w:name="_Toc178705210"/>
      <w:bookmarkStart w:id="1647" w:name="_Toc178706112"/>
      <w:bookmarkStart w:id="1648" w:name="_Toc178709090"/>
      <w:bookmarkStart w:id="1649" w:name="_Toc178772812"/>
      <w:bookmarkStart w:id="1650" w:name="_Toc178705211"/>
      <w:bookmarkStart w:id="1651" w:name="_Toc178706113"/>
      <w:bookmarkStart w:id="1652" w:name="_Toc178709091"/>
      <w:bookmarkStart w:id="1653" w:name="_Toc178772813"/>
      <w:bookmarkStart w:id="1654" w:name="_Toc178705212"/>
      <w:bookmarkStart w:id="1655" w:name="_Toc178706114"/>
      <w:bookmarkStart w:id="1656" w:name="_Toc178709092"/>
      <w:bookmarkStart w:id="1657" w:name="_Toc178772814"/>
      <w:bookmarkStart w:id="1658" w:name="_Toc178705213"/>
      <w:bookmarkStart w:id="1659" w:name="_Toc178706115"/>
      <w:bookmarkStart w:id="1660" w:name="_Toc178709093"/>
      <w:bookmarkStart w:id="1661" w:name="_Toc178772815"/>
      <w:bookmarkStart w:id="1662" w:name="_Toc178705214"/>
      <w:bookmarkStart w:id="1663" w:name="_Toc178706116"/>
      <w:bookmarkStart w:id="1664" w:name="_Toc178709094"/>
      <w:bookmarkStart w:id="1665" w:name="_Toc178772816"/>
      <w:bookmarkStart w:id="1666" w:name="_Toc178705215"/>
      <w:bookmarkStart w:id="1667" w:name="_Toc178706117"/>
      <w:bookmarkStart w:id="1668" w:name="_Toc178709095"/>
      <w:bookmarkStart w:id="1669" w:name="_Toc178772817"/>
      <w:bookmarkStart w:id="1670" w:name="_Toc178705216"/>
      <w:bookmarkStart w:id="1671" w:name="_Toc178706118"/>
      <w:bookmarkStart w:id="1672" w:name="_Toc178709096"/>
      <w:bookmarkStart w:id="1673" w:name="_Toc178772818"/>
      <w:bookmarkStart w:id="1674" w:name="_Toc178705217"/>
      <w:bookmarkStart w:id="1675" w:name="_Toc178706119"/>
      <w:bookmarkStart w:id="1676" w:name="_Toc178709097"/>
      <w:bookmarkStart w:id="1677" w:name="_Toc178772819"/>
      <w:bookmarkStart w:id="1678" w:name="_Toc178705218"/>
      <w:bookmarkStart w:id="1679" w:name="_Toc178706120"/>
      <w:bookmarkStart w:id="1680" w:name="_Toc178709098"/>
      <w:bookmarkStart w:id="1681" w:name="_Toc178772820"/>
      <w:bookmarkStart w:id="1682" w:name="_Toc178705219"/>
      <w:bookmarkStart w:id="1683" w:name="_Toc178706121"/>
      <w:bookmarkStart w:id="1684" w:name="_Toc178709099"/>
      <w:bookmarkStart w:id="1685" w:name="_Toc178772821"/>
      <w:bookmarkStart w:id="1686" w:name="_Toc178705220"/>
      <w:bookmarkStart w:id="1687" w:name="_Toc178706122"/>
      <w:bookmarkStart w:id="1688" w:name="_Toc178709100"/>
      <w:bookmarkStart w:id="1689" w:name="_Toc178772822"/>
      <w:bookmarkStart w:id="1690" w:name="_Toc178705221"/>
      <w:bookmarkStart w:id="1691" w:name="_Toc178706123"/>
      <w:bookmarkStart w:id="1692" w:name="_Toc178709101"/>
      <w:bookmarkStart w:id="1693" w:name="_Toc178772823"/>
      <w:bookmarkStart w:id="1694" w:name="_Toc178705222"/>
      <w:bookmarkStart w:id="1695" w:name="_Toc178706124"/>
      <w:bookmarkStart w:id="1696" w:name="_Toc178709102"/>
      <w:bookmarkStart w:id="1697" w:name="_Toc178772824"/>
      <w:bookmarkStart w:id="1698" w:name="_Toc178705223"/>
      <w:bookmarkStart w:id="1699" w:name="_Toc178706125"/>
      <w:bookmarkStart w:id="1700" w:name="_Toc178709103"/>
      <w:bookmarkStart w:id="1701" w:name="_Toc178772825"/>
      <w:bookmarkStart w:id="1702" w:name="_Toc178705224"/>
      <w:bookmarkStart w:id="1703" w:name="_Toc178706126"/>
      <w:bookmarkStart w:id="1704" w:name="_Toc178709104"/>
      <w:bookmarkStart w:id="1705" w:name="_Toc178772826"/>
      <w:bookmarkStart w:id="1706" w:name="_Toc178705236"/>
      <w:bookmarkStart w:id="1707" w:name="_Toc178706138"/>
      <w:bookmarkStart w:id="1708" w:name="_Toc178709116"/>
      <w:bookmarkStart w:id="1709" w:name="_Toc178772838"/>
      <w:bookmarkStart w:id="1710" w:name="_Toc178705246"/>
      <w:bookmarkStart w:id="1711" w:name="_Toc178706148"/>
      <w:bookmarkStart w:id="1712" w:name="_Toc178709126"/>
      <w:bookmarkStart w:id="1713" w:name="_Toc178772848"/>
      <w:bookmarkStart w:id="1714" w:name="_Toc178705247"/>
      <w:bookmarkStart w:id="1715" w:name="_Toc178706149"/>
      <w:bookmarkStart w:id="1716" w:name="_Toc178709127"/>
      <w:bookmarkStart w:id="1717" w:name="_Toc178772849"/>
      <w:bookmarkStart w:id="1718" w:name="_Toc178705248"/>
      <w:bookmarkStart w:id="1719" w:name="_Toc178706150"/>
      <w:bookmarkStart w:id="1720" w:name="_Toc178709128"/>
      <w:bookmarkStart w:id="1721" w:name="_Toc178772850"/>
      <w:bookmarkStart w:id="1722" w:name="_Toc178705249"/>
      <w:bookmarkStart w:id="1723" w:name="_Toc178706151"/>
      <w:bookmarkStart w:id="1724" w:name="_Toc178709129"/>
      <w:bookmarkStart w:id="1725" w:name="_Toc178772851"/>
      <w:bookmarkStart w:id="1726" w:name="_Toc178705250"/>
      <w:bookmarkStart w:id="1727" w:name="_Toc178706152"/>
      <w:bookmarkStart w:id="1728" w:name="_Toc178709130"/>
      <w:bookmarkStart w:id="1729" w:name="_Toc178772852"/>
      <w:bookmarkStart w:id="1730" w:name="_Toc178705251"/>
      <w:bookmarkStart w:id="1731" w:name="_Toc178706153"/>
      <w:bookmarkStart w:id="1732" w:name="_Toc178709131"/>
      <w:bookmarkStart w:id="1733" w:name="_Toc178772853"/>
      <w:bookmarkStart w:id="1734" w:name="_Toc178705252"/>
      <w:bookmarkStart w:id="1735" w:name="_Toc178706154"/>
      <w:bookmarkStart w:id="1736" w:name="_Toc178709132"/>
      <w:bookmarkStart w:id="1737" w:name="_Toc178772854"/>
      <w:bookmarkStart w:id="1738" w:name="_Toc178705253"/>
      <w:bookmarkStart w:id="1739" w:name="_Toc178706155"/>
      <w:bookmarkStart w:id="1740" w:name="_Toc178709133"/>
      <w:bookmarkStart w:id="1741" w:name="_Toc178772855"/>
      <w:bookmarkStart w:id="1742" w:name="_Toc178705254"/>
      <w:bookmarkStart w:id="1743" w:name="_Toc178706156"/>
      <w:bookmarkStart w:id="1744" w:name="_Toc178709134"/>
      <w:bookmarkStart w:id="1745" w:name="_Toc178772856"/>
      <w:bookmarkStart w:id="1746" w:name="_Toc178705271"/>
      <w:bookmarkStart w:id="1747" w:name="_Toc178706173"/>
      <w:bookmarkStart w:id="1748" w:name="_Toc178709151"/>
      <w:bookmarkStart w:id="1749" w:name="_Toc178772873"/>
      <w:bookmarkStart w:id="1750" w:name="_Toc178705272"/>
      <w:bookmarkStart w:id="1751" w:name="_Toc178706174"/>
      <w:bookmarkStart w:id="1752" w:name="_Toc178709152"/>
      <w:bookmarkStart w:id="1753" w:name="_Toc178772874"/>
      <w:bookmarkStart w:id="1754" w:name="_Toc178705273"/>
      <w:bookmarkStart w:id="1755" w:name="_Toc178706175"/>
      <w:bookmarkStart w:id="1756" w:name="_Toc178709153"/>
      <w:bookmarkStart w:id="1757" w:name="_Toc178772875"/>
      <w:bookmarkStart w:id="1758" w:name="_Toc178705274"/>
      <w:bookmarkStart w:id="1759" w:name="_Toc178706176"/>
      <w:bookmarkStart w:id="1760" w:name="_Toc178709154"/>
      <w:bookmarkStart w:id="1761" w:name="_Toc178772876"/>
      <w:bookmarkStart w:id="1762" w:name="_Toc178705275"/>
      <w:bookmarkStart w:id="1763" w:name="_Toc178706177"/>
      <w:bookmarkStart w:id="1764" w:name="_Toc178709155"/>
      <w:bookmarkStart w:id="1765" w:name="_Toc178772877"/>
      <w:bookmarkStart w:id="1766" w:name="_Toc178705276"/>
      <w:bookmarkStart w:id="1767" w:name="_Toc178706178"/>
      <w:bookmarkStart w:id="1768" w:name="_Toc178709156"/>
      <w:bookmarkStart w:id="1769" w:name="_Toc178772878"/>
      <w:bookmarkStart w:id="1770" w:name="_Toc178705277"/>
      <w:bookmarkStart w:id="1771" w:name="_Toc178706179"/>
      <w:bookmarkStart w:id="1772" w:name="_Toc178709157"/>
      <w:bookmarkStart w:id="1773" w:name="_Toc178772879"/>
      <w:bookmarkStart w:id="1774" w:name="_Toc178705278"/>
      <w:bookmarkStart w:id="1775" w:name="_Toc178706180"/>
      <w:bookmarkStart w:id="1776" w:name="_Toc178709158"/>
      <w:bookmarkStart w:id="1777" w:name="_Toc178772880"/>
      <w:bookmarkStart w:id="1778" w:name="_Toc178705279"/>
      <w:bookmarkStart w:id="1779" w:name="_Toc178706181"/>
      <w:bookmarkStart w:id="1780" w:name="_Toc178709159"/>
      <w:bookmarkStart w:id="1781" w:name="_Toc178772881"/>
      <w:bookmarkStart w:id="1782" w:name="_Toc178705280"/>
      <w:bookmarkStart w:id="1783" w:name="_Toc178706182"/>
      <w:bookmarkStart w:id="1784" w:name="_Toc178709160"/>
      <w:bookmarkStart w:id="1785" w:name="_Toc178772882"/>
      <w:bookmarkStart w:id="1786" w:name="_Toc178705296"/>
      <w:bookmarkStart w:id="1787" w:name="_Toc178706198"/>
      <w:bookmarkStart w:id="1788" w:name="_Toc178709176"/>
      <w:bookmarkStart w:id="1789" w:name="_Toc178772898"/>
      <w:bookmarkStart w:id="1790" w:name="_Toc178705297"/>
      <w:bookmarkStart w:id="1791" w:name="_Toc178706199"/>
      <w:bookmarkStart w:id="1792" w:name="_Toc178709177"/>
      <w:bookmarkStart w:id="1793" w:name="_Toc178772899"/>
      <w:bookmarkStart w:id="1794" w:name="_Toc178705298"/>
      <w:bookmarkStart w:id="1795" w:name="_Toc178706200"/>
      <w:bookmarkStart w:id="1796" w:name="_Toc178709178"/>
      <w:bookmarkStart w:id="1797" w:name="_Toc178772900"/>
      <w:bookmarkStart w:id="1798" w:name="_Toc178705299"/>
      <w:bookmarkStart w:id="1799" w:name="_Toc178706201"/>
      <w:bookmarkStart w:id="1800" w:name="_Toc178709179"/>
      <w:bookmarkStart w:id="1801" w:name="_Toc178772901"/>
      <w:bookmarkStart w:id="1802" w:name="_Toc178705300"/>
      <w:bookmarkStart w:id="1803" w:name="_Toc178706202"/>
      <w:bookmarkStart w:id="1804" w:name="_Toc178709180"/>
      <w:bookmarkStart w:id="1805" w:name="_Toc178772902"/>
      <w:bookmarkStart w:id="1806" w:name="_Toc178705301"/>
      <w:bookmarkStart w:id="1807" w:name="_Toc178706203"/>
      <w:bookmarkStart w:id="1808" w:name="_Toc178709181"/>
      <w:bookmarkStart w:id="1809" w:name="_Toc178772903"/>
      <w:bookmarkStart w:id="1810" w:name="_Toc178705302"/>
      <w:bookmarkStart w:id="1811" w:name="_Toc178706204"/>
      <w:bookmarkStart w:id="1812" w:name="_Toc178709182"/>
      <w:bookmarkStart w:id="1813" w:name="_Toc178772904"/>
      <w:bookmarkStart w:id="1814" w:name="_Toc178705303"/>
      <w:bookmarkStart w:id="1815" w:name="_Toc178706205"/>
      <w:bookmarkStart w:id="1816" w:name="_Toc178709183"/>
      <w:bookmarkStart w:id="1817" w:name="_Toc178772905"/>
      <w:bookmarkStart w:id="1818" w:name="_Toc178705304"/>
      <w:bookmarkStart w:id="1819" w:name="_Toc178706206"/>
      <w:bookmarkStart w:id="1820" w:name="_Toc178709184"/>
      <w:bookmarkStart w:id="1821" w:name="_Toc178772906"/>
      <w:bookmarkStart w:id="1822" w:name="_Toc178705305"/>
      <w:bookmarkStart w:id="1823" w:name="_Toc178706207"/>
      <w:bookmarkStart w:id="1824" w:name="_Toc178709185"/>
      <w:bookmarkStart w:id="1825" w:name="_Toc178772907"/>
      <w:bookmarkStart w:id="1826" w:name="_Toc178705306"/>
      <w:bookmarkStart w:id="1827" w:name="_Toc178706208"/>
      <w:bookmarkStart w:id="1828" w:name="_Toc178709186"/>
      <w:bookmarkStart w:id="1829" w:name="_Toc178772908"/>
      <w:bookmarkStart w:id="1830" w:name="_Toc178705307"/>
      <w:bookmarkStart w:id="1831" w:name="_Toc178706209"/>
      <w:bookmarkStart w:id="1832" w:name="_Toc178709187"/>
      <w:bookmarkStart w:id="1833" w:name="_Toc178772909"/>
      <w:bookmarkStart w:id="1834" w:name="_Toc178705308"/>
      <w:bookmarkStart w:id="1835" w:name="_Toc178706210"/>
      <w:bookmarkStart w:id="1836" w:name="_Toc178709188"/>
      <w:bookmarkStart w:id="1837" w:name="_Toc178772910"/>
      <w:bookmarkStart w:id="1838" w:name="_Toc178705329"/>
      <w:bookmarkStart w:id="1839" w:name="_Toc178706231"/>
      <w:bookmarkStart w:id="1840" w:name="_Toc178709209"/>
      <w:bookmarkStart w:id="1841" w:name="_Toc178772931"/>
      <w:bookmarkStart w:id="1842" w:name="_Toc178705330"/>
      <w:bookmarkStart w:id="1843" w:name="_Toc178706232"/>
      <w:bookmarkStart w:id="1844" w:name="_Toc178709210"/>
      <w:bookmarkStart w:id="1845" w:name="_Toc178772932"/>
      <w:bookmarkStart w:id="1846" w:name="_Toc178705331"/>
      <w:bookmarkStart w:id="1847" w:name="_Toc178706233"/>
      <w:bookmarkStart w:id="1848" w:name="_Toc178709211"/>
      <w:bookmarkStart w:id="1849" w:name="_Toc178772933"/>
      <w:bookmarkStart w:id="1850" w:name="_Toc173850935"/>
      <w:bookmarkStart w:id="1851" w:name="_Toc173940687"/>
      <w:bookmarkStart w:id="1852" w:name="_Toc173850936"/>
      <w:bookmarkStart w:id="1853" w:name="_Toc173940688"/>
      <w:bookmarkStart w:id="1854" w:name="_Toc173850937"/>
      <w:bookmarkStart w:id="1855" w:name="_Toc173940689"/>
      <w:bookmarkStart w:id="1856" w:name="_Toc173850949"/>
      <w:bookmarkStart w:id="1857" w:name="_Toc173940701"/>
      <w:bookmarkStart w:id="1858" w:name="_Toc173850950"/>
      <w:bookmarkStart w:id="1859" w:name="_Toc173940702"/>
      <w:bookmarkStart w:id="1860" w:name="_Toc173850951"/>
      <w:bookmarkStart w:id="1861" w:name="_Toc173940703"/>
      <w:bookmarkStart w:id="1862" w:name="_Toc173850952"/>
      <w:bookmarkStart w:id="1863" w:name="_Toc173940704"/>
      <w:bookmarkStart w:id="1864" w:name="_Toc173850953"/>
      <w:bookmarkStart w:id="1865" w:name="_Toc173940705"/>
      <w:bookmarkStart w:id="1866" w:name="_Toc173850954"/>
      <w:bookmarkStart w:id="1867" w:name="_Toc173940706"/>
      <w:bookmarkStart w:id="1868" w:name="_Toc173850955"/>
      <w:bookmarkStart w:id="1869" w:name="_Toc173940707"/>
      <w:bookmarkStart w:id="1870" w:name="_Toc173850956"/>
      <w:bookmarkStart w:id="1871" w:name="_Toc173940708"/>
      <w:bookmarkStart w:id="1872" w:name="_Toc173850957"/>
      <w:bookmarkStart w:id="1873" w:name="_Toc173940709"/>
      <w:bookmarkStart w:id="1874" w:name="_Toc173850958"/>
      <w:bookmarkStart w:id="1875" w:name="_Toc173940710"/>
      <w:bookmarkStart w:id="1876" w:name="_Toc173850959"/>
      <w:bookmarkStart w:id="1877" w:name="_Toc173940711"/>
      <w:bookmarkStart w:id="1878" w:name="_Toc173850960"/>
      <w:bookmarkStart w:id="1879" w:name="_Toc173940712"/>
      <w:bookmarkStart w:id="1880" w:name="_Toc173850961"/>
      <w:bookmarkStart w:id="1881" w:name="_Toc173940713"/>
      <w:bookmarkStart w:id="1882" w:name="_Toc173850962"/>
      <w:bookmarkStart w:id="1883" w:name="_Toc173940714"/>
      <w:bookmarkStart w:id="1884" w:name="_Toc173850963"/>
      <w:bookmarkStart w:id="1885" w:name="_Toc173940715"/>
      <w:bookmarkStart w:id="1886" w:name="_Toc173850964"/>
      <w:bookmarkStart w:id="1887" w:name="_Toc173940716"/>
      <w:bookmarkStart w:id="1888" w:name="_Toc173850965"/>
      <w:bookmarkStart w:id="1889" w:name="_Toc173940717"/>
      <w:bookmarkStart w:id="1890" w:name="_Toc173850966"/>
      <w:bookmarkStart w:id="1891" w:name="_Toc173940718"/>
      <w:bookmarkStart w:id="1892" w:name="_Toc173850967"/>
      <w:bookmarkStart w:id="1893" w:name="_Toc173940719"/>
      <w:bookmarkStart w:id="1894" w:name="_Toc173850968"/>
      <w:bookmarkStart w:id="1895" w:name="_Toc173940720"/>
      <w:bookmarkStart w:id="1896" w:name="_Toc173850969"/>
      <w:bookmarkStart w:id="1897" w:name="_Toc173940721"/>
      <w:bookmarkStart w:id="1898" w:name="_Toc173850970"/>
      <w:bookmarkStart w:id="1899" w:name="_Toc173940722"/>
      <w:bookmarkStart w:id="1900" w:name="_Toc173850971"/>
      <w:bookmarkStart w:id="1901" w:name="_Toc173940723"/>
      <w:bookmarkStart w:id="1902" w:name="_Toc173850972"/>
      <w:bookmarkStart w:id="1903" w:name="_Toc173940724"/>
      <w:bookmarkStart w:id="1904" w:name="_Toc173850973"/>
      <w:bookmarkStart w:id="1905" w:name="_Toc173940725"/>
      <w:bookmarkStart w:id="1906" w:name="_Toc173850974"/>
      <w:bookmarkStart w:id="1907" w:name="_Toc173940726"/>
      <w:bookmarkStart w:id="1908" w:name="_Toc173850975"/>
      <w:bookmarkStart w:id="1909" w:name="_Toc173940727"/>
      <w:bookmarkStart w:id="1910" w:name="_Toc173850976"/>
      <w:bookmarkStart w:id="1911" w:name="_Toc173940728"/>
      <w:bookmarkStart w:id="1912" w:name="_Toc173850977"/>
      <w:bookmarkStart w:id="1913" w:name="_Toc173940729"/>
      <w:bookmarkStart w:id="1914" w:name="_Toc173850978"/>
      <w:bookmarkStart w:id="1915" w:name="_Toc173940730"/>
      <w:bookmarkStart w:id="1916" w:name="_Toc173850979"/>
      <w:bookmarkStart w:id="1917" w:name="_Toc173940731"/>
      <w:bookmarkStart w:id="1918" w:name="_Toc173850980"/>
      <w:bookmarkStart w:id="1919" w:name="_Toc173940732"/>
      <w:bookmarkStart w:id="1920" w:name="_Toc173850981"/>
      <w:bookmarkStart w:id="1921" w:name="_Toc173940733"/>
      <w:bookmarkStart w:id="1922" w:name="_Toc173850982"/>
      <w:bookmarkStart w:id="1923" w:name="_Toc173940734"/>
      <w:bookmarkStart w:id="1924" w:name="_Toc173850983"/>
      <w:bookmarkStart w:id="1925" w:name="_Toc173940735"/>
      <w:bookmarkStart w:id="1926" w:name="_Toc158978328"/>
      <w:bookmarkStart w:id="1927" w:name="_Toc173850984"/>
      <w:bookmarkStart w:id="1928" w:name="_Toc173940736"/>
      <w:bookmarkStart w:id="1929" w:name="_Toc173850985"/>
      <w:bookmarkStart w:id="1930" w:name="_Toc173940737"/>
      <w:bookmarkStart w:id="1931" w:name="_Toc173850986"/>
      <w:bookmarkStart w:id="1932" w:name="_Toc173940738"/>
      <w:bookmarkStart w:id="1933" w:name="_Toc173850987"/>
      <w:bookmarkStart w:id="1934" w:name="_Toc173940739"/>
      <w:bookmarkStart w:id="1935" w:name="_Toc173850988"/>
      <w:bookmarkStart w:id="1936" w:name="_Toc173940740"/>
      <w:bookmarkStart w:id="1937" w:name="_Toc173850989"/>
      <w:bookmarkStart w:id="1938" w:name="_Toc173940741"/>
      <w:bookmarkStart w:id="1939" w:name="_Toc173850990"/>
      <w:bookmarkStart w:id="1940" w:name="_Toc173940742"/>
      <w:bookmarkStart w:id="1941" w:name="_Toc173850991"/>
      <w:bookmarkStart w:id="1942" w:name="_Toc173940743"/>
      <w:bookmarkStart w:id="1943" w:name="_Toc173851011"/>
      <w:bookmarkStart w:id="1944" w:name="_Toc173940763"/>
      <w:bookmarkStart w:id="1945" w:name="_Toc173851012"/>
      <w:bookmarkStart w:id="1946" w:name="_Toc173940764"/>
      <w:bookmarkStart w:id="1947" w:name="_Toc173851013"/>
      <w:bookmarkStart w:id="1948" w:name="_Toc173940765"/>
      <w:bookmarkStart w:id="1949" w:name="_Toc173851014"/>
      <w:bookmarkStart w:id="1950" w:name="_Toc173940766"/>
      <w:bookmarkStart w:id="1951" w:name="_Toc173851015"/>
      <w:bookmarkStart w:id="1952" w:name="_Toc173940767"/>
      <w:bookmarkStart w:id="1953" w:name="_Toc173851016"/>
      <w:bookmarkStart w:id="1954" w:name="_Toc173940768"/>
      <w:bookmarkStart w:id="1955" w:name="_Toc173851017"/>
      <w:bookmarkStart w:id="1956" w:name="_Toc173940769"/>
      <w:bookmarkStart w:id="1957" w:name="_Toc173851018"/>
      <w:bookmarkStart w:id="1958" w:name="_Toc173940770"/>
      <w:bookmarkStart w:id="1959" w:name="_Toc173851019"/>
      <w:bookmarkStart w:id="1960" w:name="_Toc173940771"/>
      <w:bookmarkStart w:id="1961" w:name="_Toc173851020"/>
      <w:bookmarkStart w:id="1962" w:name="_Toc173940772"/>
      <w:bookmarkStart w:id="1963" w:name="_Toc173851021"/>
      <w:bookmarkStart w:id="1964" w:name="_Toc173940773"/>
      <w:bookmarkStart w:id="1965" w:name="_Toc173851022"/>
      <w:bookmarkStart w:id="1966" w:name="_Toc173940774"/>
      <w:bookmarkStart w:id="1967" w:name="_Toc173851023"/>
      <w:bookmarkStart w:id="1968" w:name="_Toc173940775"/>
      <w:bookmarkStart w:id="1969" w:name="_Toc165991000"/>
      <w:bookmarkStart w:id="1970" w:name="_Toc189845022"/>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r w:rsidRPr="00194B5B">
        <w:rPr>
          <w:lang w:val="en-US"/>
        </w:rPr>
        <w:t>I</w:t>
      </w:r>
      <w:r w:rsidRPr="00E215F0">
        <w:rPr>
          <w:lang w:val="en-US"/>
        </w:rPr>
        <w:t xml:space="preserve">mpact of AI/ML model location for </w:t>
      </w:r>
      <w:r>
        <w:rPr>
          <w:lang w:val="en-US"/>
        </w:rPr>
        <w:t>C</w:t>
      </w:r>
      <w:r w:rsidRPr="00E215F0">
        <w:rPr>
          <w:lang w:val="en-US"/>
        </w:rPr>
        <w:t>ase 3a</w:t>
      </w:r>
      <w:bookmarkEnd w:id="1969"/>
      <w:bookmarkEnd w:id="1970"/>
    </w:p>
    <w:p w14:paraId="3F113A10" w14:textId="77777777" w:rsidR="000640D8" w:rsidRDefault="000640D8" w:rsidP="000640D8">
      <w:r>
        <w:t>F</w:t>
      </w:r>
      <w:r w:rsidRPr="00DC32F9">
        <w:t xml:space="preserve">or </w:t>
      </w:r>
      <w:r>
        <w:t>C</w:t>
      </w:r>
      <w:r w:rsidRPr="00DC32F9">
        <w:t xml:space="preserve">ase 3a, the location of the AI/ML model will impact whether there is a need for a new measurement to be introduced. Between the LMF and the </w:t>
      </w:r>
      <w:proofErr w:type="spellStart"/>
      <w:r w:rsidRPr="00DC32F9">
        <w:t>gNB</w:t>
      </w:r>
      <w:proofErr w:type="spellEnd"/>
      <w:r w:rsidRPr="00DC32F9">
        <w:t xml:space="preserve">, </w:t>
      </w:r>
      <w:r>
        <w:t xml:space="preserve">the model output generated by the NG-RAN model can be forwarded using </w:t>
      </w:r>
      <w:r w:rsidRPr="00DC32F9">
        <w:t xml:space="preserve">the legacy measurement </w:t>
      </w:r>
      <w:r>
        <w:t>report format (e.g., RTOA)</w:t>
      </w:r>
      <w:r w:rsidRPr="00DC32F9">
        <w:t>. However</w:t>
      </w:r>
      <w:r>
        <w:t>,</w:t>
      </w:r>
      <w:r w:rsidRPr="00DC32F9">
        <w:t xml:space="preserve"> depending on </w:t>
      </w:r>
      <w:r w:rsidRPr="0080676A">
        <w:t>whether</w:t>
      </w:r>
      <w:r w:rsidRPr="00DC32F9">
        <w:t xml:space="preserve"> the ML model is deployed at the </w:t>
      </w:r>
      <w:proofErr w:type="spellStart"/>
      <w:r>
        <w:t>gNB</w:t>
      </w:r>
      <w:proofErr w:type="spellEnd"/>
      <w:r>
        <w:t>-</w:t>
      </w:r>
      <w:r w:rsidRPr="00DC32F9">
        <w:t xml:space="preserve">DU or the </w:t>
      </w:r>
      <w:proofErr w:type="spellStart"/>
      <w:r>
        <w:t>gNB</w:t>
      </w:r>
      <w:proofErr w:type="spellEnd"/>
      <w:r>
        <w:t>-</w:t>
      </w:r>
      <w:r w:rsidRPr="00DC32F9">
        <w:t>CU,</w:t>
      </w:r>
      <w:r>
        <w:t xml:space="preserve"> the SRS measurement entity may or may not be the same entity hosting model inference.</w:t>
      </w:r>
    </w:p>
    <w:p w14:paraId="12ED5121" w14:textId="5873BFEB" w:rsidR="000640D8" w:rsidRPr="00194B5B" w:rsidRDefault="000640D8" w:rsidP="00D35F36">
      <w:pPr>
        <w:pStyle w:val="ListParagraph"/>
        <w:numPr>
          <w:ilvl w:val="0"/>
          <w:numId w:val="26"/>
        </w:numPr>
      </w:pPr>
      <w:r>
        <w:t xml:space="preserve">If </w:t>
      </w:r>
      <w:r w:rsidRPr="00194B5B">
        <w:t xml:space="preserve">SRS measurement entity </w:t>
      </w:r>
      <w:r>
        <w:t>=</w:t>
      </w:r>
      <w:r w:rsidRPr="00194B5B">
        <w:t xml:space="preserve"> model inference entity</w:t>
      </w:r>
      <w:r>
        <w:t xml:space="preserve">, then model input does not need to be specified. This is </w:t>
      </w:r>
      <w:proofErr w:type="gramStart"/>
      <w:r>
        <w:t>similar to</w:t>
      </w:r>
      <w:proofErr w:type="gramEnd"/>
      <w:r>
        <w:t xml:space="preserve"> Case 1 and 2a.</w:t>
      </w:r>
      <w:r w:rsidRPr="00194B5B">
        <w:t xml:space="preserve"> </w:t>
      </w:r>
    </w:p>
    <w:p w14:paraId="354E263F" w14:textId="21F4A86A" w:rsidR="000640D8" w:rsidRPr="00194B5B" w:rsidRDefault="000640D8" w:rsidP="00D35F36">
      <w:pPr>
        <w:pStyle w:val="ListParagraph"/>
        <w:numPr>
          <w:ilvl w:val="0"/>
          <w:numId w:val="26"/>
        </w:numPr>
      </w:pPr>
      <w:r w:rsidRPr="00194B5B">
        <w:t xml:space="preserve">If SRS measurement entity </w:t>
      </w:r>
      <w:r>
        <w:rPr>
          <w:rFonts w:ascii="Symbol" w:eastAsia="Symbol" w:hAnsi="Symbol" w:cs="Symbol"/>
        </w:rPr>
        <w:t>¹</w:t>
      </w:r>
      <w:r w:rsidRPr="00194B5B">
        <w:t xml:space="preserve"> model inference entity,</w:t>
      </w:r>
      <w:r w:rsidRPr="00DC32F9">
        <w:t xml:space="preserve"> the input to the model</w:t>
      </w:r>
      <w:r w:rsidRPr="00194B5B">
        <w:t xml:space="preserve"> (i.e., SRS measurements)</w:t>
      </w:r>
      <w:r w:rsidRPr="00DC32F9">
        <w:t xml:space="preserve"> may need to be specified</w:t>
      </w:r>
      <w:r w:rsidRPr="00194B5B">
        <w:t xml:space="preserve"> for F1</w:t>
      </w:r>
      <w:r w:rsidR="00B71184">
        <w:t>-</w:t>
      </w:r>
      <w:r w:rsidRPr="00194B5B">
        <w:t>AP</w:t>
      </w:r>
      <w:r w:rsidRPr="00DC32F9">
        <w:t xml:space="preserve">. </w:t>
      </w:r>
    </w:p>
    <w:p w14:paraId="121E0EC3" w14:textId="77777777" w:rsidR="000640D8" w:rsidRPr="00E215F0" w:rsidRDefault="000640D8" w:rsidP="000640D8"/>
    <w:p w14:paraId="26291A72" w14:textId="17DAC16B" w:rsidR="000640D8" w:rsidRDefault="000640D8" w:rsidP="002938DE">
      <w:pPr>
        <w:pStyle w:val="Observation"/>
      </w:pPr>
      <w:bookmarkStart w:id="1971" w:name="_Toc161827825"/>
      <w:bookmarkStart w:id="1972" w:name="_Toc189845079"/>
      <w:r>
        <w:lastRenderedPageBreak/>
        <w:t>For Case 3a, the location of the AI/ML model (</w:t>
      </w:r>
      <w:r w:rsidR="009127F4">
        <w:t xml:space="preserve">e.g., </w:t>
      </w:r>
      <w:proofErr w:type="spellStart"/>
      <w:r>
        <w:t>gNB</w:t>
      </w:r>
      <w:proofErr w:type="spellEnd"/>
      <w:r>
        <w:t xml:space="preserve">-DU vs </w:t>
      </w:r>
      <w:proofErr w:type="spellStart"/>
      <w:r>
        <w:t>gNB</w:t>
      </w:r>
      <w:proofErr w:type="spellEnd"/>
      <w:r>
        <w:t>-CU) impacts the need to specify new measurements for model input.</w:t>
      </w:r>
      <w:bookmarkEnd w:id="1971"/>
      <w:bookmarkEnd w:id="1972"/>
      <w:r>
        <w:t xml:space="preserve"> </w:t>
      </w:r>
    </w:p>
    <w:p w14:paraId="61346999" w14:textId="3D78E713" w:rsidR="00186892" w:rsidRPr="008706C3" w:rsidRDefault="000640D8" w:rsidP="00E034AD">
      <w:pPr>
        <w:pStyle w:val="Proposal"/>
      </w:pPr>
      <w:bookmarkStart w:id="1973" w:name="_Toc189845117"/>
      <w:r w:rsidRPr="00DC32F9">
        <w:t xml:space="preserve">Send an LS to RAN3 to request feedback on whether the input to the AI/ML model </w:t>
      </w:r>
      <w:r w:rsidRPr="00194B5B">
        <w:t xml:space="preserve">for </w:t>
      </w:r>
      <w:r w:rsidR="00C20835">
        <w:t>case 3a</w:t>
      </w:r>
      <w:r w:rsidRPr="00194B5B">
        <w:t xml:space="preserve"> </w:t>
      </w:r>
      <w:r w:rsidR="00C95E3A">
        <w:t>need to be specified.</w:t>
      </w:r>
      <w:bookmarkEnd w:id="1973"/>
      <w:r w:rsidRPr="00194B5B">
        <w:t xml:space="preserve"> </w:t>
      </w:r>
      <w:r w:rsidR="00F91B3F">
        <w:t xml:space="preserve"> </w:t>
      </w:r>
    </w:p>
    <w:p w14:paraId="621B0E41" w14:textId="5A96523B" w:rsidR="00024894" w:rsidRPr="002004D6" w:rsidRDefault="00F83890" w:rsidP="00024894">
      <w:pPr>
        <w:pStyle w:val="Heading1"/>
        <w:rPr>
          <w:lang w:val="en-US"/>
        </w:rPr>
      </w:pPr>
      <w:bookmarkStart w:id="1974" w:name="_Toc165991001"/>
      <w:bookmarkStart w:id="1975" w:name="_Toc189845023"/>
      <w:r w:rsidRPr="002004D6">
        <w:rPr>
          <w:lang w:val="en-US"/>
        </w:rPr>
        <w:t xml:space="preserve">Model output of </w:t>
      </w:r>
      <w:r w:rsidR="00024894" w:rsidRPr="002004D6">
        <w:rPr>
          <w:lang w:val="en-US"/>
        </w:rPr>
        <w:t>AI/ML assisted positioning</w:t>
      </w:r>
      <w:bookmarkEnd w:id="1974"/>
      <w:bookmarkEnd w:id="1975"/>
    </w:p>
    <w:p w14:paraId="3F269512" w14:textId="5CEB3EDB" w:rsidR="007F3B32" w:rsidRDefault="007F3B32" w:rsidP="00D63CE2">
      <w:r>
        <w:t>The study of model input is commonly applicable to direct and assisted AI/ML positioning, and the same design choices can be made for model input regardless of the AI/ML approach. This is not the case for model output. While the model output is predefined (i.e., target UE location) for direct AI/ML positioning, the design choices of model output need to be considered carefully</w:t>
      </w:r>
      <w:r w:rsidR="00445244">
        <w:t xml:space="preserve"> for AI/ML assisted positioning</w:t>
      </w:r>
      <w:r>
        <w:t>.</w:t>
      </w:r>
    </w:p>
    <w:p w14:paraId="132358D8" w14:textId="4FB3D6FD" w:rsidR="00D63CE2" w:rsidRDefault="00FB594B" w:rsidP="00D63CE2">
      <w:r>
        <w:t>As discussed in section 1, we assume case 3a is</w:t>
      </w:r>
      <w:r w:rsidR="00D33BC6">
        <w:t xml:space="preserve"> an AI-extended UL</w:t>
      </w:r>
      <w:r w:rsidR="00954608">
        <w:t>-</w:t>
      </w:r>
      <w:r w:rsidR="00D33BC6">
        <w:t xml:space="preserve">TDOA or multi RTT positioning method, while case 2a is </w:t>
      </w:r>
      <w:r w:rsidR="00DF6D4A">
        <w:t>an AI-extended DL-TDOA or multi RTT positioning method</w:t>
      </w:r>
      <w:r w:rsidR="00D33BC6">
        <w:t xml:space="preserve">. </w:t>
      </w:r>
      <w:r w:rsidR="00D63CE2">
        <w:t xml:space="preserve">In this section, we </w:t>
      </w:r>
      <w:r w:rsidR="00D45C88">
        <w:t>discuss</w:t>
      </w:r>
      <w:r w:rsidR="00D63CE2">
        <w:t xml:space="preserve"> the different aspects specific to </w:t>
      </w:r>
      <w:r w:rsidR="00A721B0">
        <w:t>AI</w:t>
      </w:r>
      <w:r w:rsidR="00703205">
        <w:t>/</w:t>
      </w:r>
      <w:r w:rsidR="00A721B0">
        <w:t xml:space="preserve">ML assisted cases (case 2a and 3a). </w:t>
      </w:r>
      <w:r w:rsidR="007F3B32">
        <w:t>For</w:t>
      </w:r>
      <w:r w:rsidR="00A721B0">
        <w:t xml:space="preserve"> these cases, the following issues should be addressed:</w:t>
      </w:r>
    </w:p>
    <w:p w14:paraId="6F85BC6C" w14:textId="0F6F6482" w:rsidR="00A721B0" w:rsidRDefault="00581BD4" w:rsidP="00D35F36">
      <w:pPr>
        <w:pStyle w:val="ListParagraph"/>
        <w:numPr>
          <w:ilvl w:val="0"/>
          <w:numId w:val="20"/>
        </w:numPr>
      </w:pPr>
      <w:proofErr w:type="gramStart"/>
      <w:r w:rsidRPr="35DAF9E0">
        <w:t>In order to</w:t>
      </w:r>
      <w:proofErr w:type="gramEnd"/>
      <w:r w:rsidRPr="35DAF9E0">
        <w:t xml:space="preserve"> </w:t>
      </w:r>
      <w:r w:rsidR="00356160">
        <w:t>support data collection and inference</w:t>
      </w:r>
      <w:r w:rsidRPr="35DAF9E0">
        <w:t xml:space="preserve">, what </w:t>
      </w:r>
      <w:r w:rsidR="00B8769D">
        <w:t>are</w:t>
      </w:r>
      <w:r w:rsidRPr="35DAF9E0">
        <w:t xml:space="preserve"> the </w:t>
      </w:r>
      <w:r w:rsidR="00B8769D" w:rsidRPr="35DAF9E0">
        <w:t xml:space="preserve">assumed </w:t>
      </w:r>
      <w:r w:rsidRPr="35DAF9E0">
        <w:t>model output(s)</w:t>
      </w:r>
      <w:r w:rsidR="00B8769D">
        <w:t>?</w:t>
      </w:r>
    </w:p>
    <w:p w14:paraId="798CBC38" w14:textId="71FBCB51" w:rsidR="00BC380D" w:rsidRPr="00E215F0" w:rsidRDefault="00766FA3" w:rsidP="00D35F36">
      <w:pPr>
        <w:pStyle w:val="ListParagraph"/>
        <w:numPr>
          <w:ilvl w:val="0"/>
          <w:numId w:val="20"/>
        </w:numPr>
      </w:pPr>
      <w:r>
        <w:t xml:space="preserve">What </w:t>
      </w:r>
      <w:r w:rsidR="00FA59A9" w:rsidRPr="00FA59A9">
        <w:t>modifications</w:t>
      </w:r>
      <w:r>
        <w:t xml:space="preserve"> to legacy</w:t>
      </w:r>
      <w:r w:rsidRPr="00FA59A9">
        <w:t xml:space="preserve"> </w:t>
      </w:r>
      <w:r w:rsidR="007F3B32" w:rsidRPr="00FA59A9">
        <w:t>measurement</w:t>
      </w:r>
      <w:r>
        <w:t xml:space="preserve"> reporting </w:t>
      </w:r>
      <w:r w:rsidR="00FA59A9" w:rsidRPr="00FA59A9">
        <w:t>(</w:t>
      </w:r>
      <w:r>
        <w:t>to the LMF</w:t>
      </w:r>
      <w:r w:rsidR="00FA59A9" w:rsidRPr="00FA59A9">
        <w:t>)</w:t>
      </w:r>
      <w:r>
        <w:t xml:space="preserve"> are </w:t>
      </w:r>
      <w:r w:rsidR="00FA59A9" w:rsidRPr="00FA59A9">
        <w:t>necessary</w:t>
      </w:r>
      <w:r w:rsidR="007F3B32" w:rsidRPr="00FA59A9">
        <w:t xml:space="preserve"> when </w:t>
      </w:r>
      <w:r w:rsidR="00FA59A9" w:rsidRPr="00FA59A9">
        <w:t>transmitting</w:t>
      </w:r>
      <w:r w:rsidR="007F3B32" w:rsidRPr="00FA59A9">
        <w:t xml:space="preserve"> the model output to </w:t>
      </w:r>
      <w:r w:rsidR="00FA59A9" w:rsidRPr="00FA59A9">
        <w:t xml:space="preserve">the </w:t>
      </w:r>
      <w:r w:rsidR="007F3B32" w:rsidRPr="00FA59A9">
        <w:t>LMF</w:t>
      </w:r>
      <w:r w:rsidR="00FA59A9" w:rsidRPr="00FA59A9">
        <w:t>?</w:t>
      </w:r>
      <w:r w:rsidR="00F50D06">
        <w:t xml:space="preserve"> </w:t>
      </w:r>
    </w:p>
    <w:p w14:paraId="20124FD1" w14:textId="41070A36" w:rsidR="00BC380D" w:rsidRPr="00E215F0" w:rsidRDefault="00F83890" w:rsidP="00FA2FF6">
      <w:pPr>
        <w:pStyle w:val="Heading2"/>
        <w:rPr>
          <w:rFonts w:cs="Arial"/>
          <w:lang w:val="en-US"/>
        </w:rPr>
      </w:pPr>
      <w:bookmarkStart w:id="1976" w:name="_Toc165991003"/>
      <w:bookmarkStart w:id="1977" w:name="_Toc189845024"/>
      <w:r>
        <w:rPr>
          <w:rFonts w:cs="Arial"/>
          <w:lang w:val="en-US"/>
        </w:rPr>
        <w:t>D</w:t>
      </w:r>
      <w:r w:rsidR="00851CF5">
        <w:rPr>
          <w:rFonts w:cs="Arial"/>
          <w:lang w:val="en-US"/>
        </w:rPr>
        <w:t>etails</w:t>
      </w:r>
      <w:r w:rsidR="00FA2FF6" w:rsidRPr="00E215F0">
        <w:rPr>
          <w:rFonts w:cs="Arial"/>
          <w:lang w:val="en-US"/>
        </w:rPr>
        <w:t xml:space="preserve"> for </w:t>
      </w:r>
      <w:r>
        <w:rPr>
          <w:rFonts w:cs="Arial"/>
          <w:lang w:val="en-US"/>
        </w:rPr>
        <w:t xml:space="preserve">reporting </w:t>
      </w:r>
      <w:r w:rsidR="00FA2FF6" w:rsidRPr="00E215F0">
        <w:rPr>
          <w:rFonts w:cs="Arial"/>
          <w:lang w:val="en-US"/>
        </w:rPr>
        <w:t>model output of AI/ML assisted positioning</w:t>
      </w:r>
      <w:bookmarkEnd w:id="1976"/>
      <w:bookmarkEnd w:id="1977"/>
    </w:p>
    <w:p w14:paraId="2A8FB98C" w14:textId="3A54ED21" w:rsidR="00FA2FF6" w:rsidRPr="00BC380D" w:rsidRDefault="0096059D" w:rsidP="00BC380D">
      <w:r>
        <w:t>As discussed, RAN1 has agreed to support</w:t>
      </w:r>
      <w:r w:rsidR="00747C47">
        <w:t xml:space="preserve"> two </w:t>
      </w:r>
      <w:r>
        <w:t>types of</w:t>
      </w:r>
      <w:r w:rsidR="00747C47">
        <w:t xml:space="preserve"> model output: (a) LOS/NLOS indicator; (b) timing information. In the following, we investigate in </w:t>
      </w:r>
      <w:r w:rsidR="00DF54DD">
        <w:t>detail</w:t>
      </w:r>
      <w:r w:rsidR="00747C47">
        <w:t xml:space="preserve"> </w:t>
      </w:r>
      <w:r w:rsidR="00A5709D">
        <w:t>how</w:t>
      </w:r>
      <w:r w:rsidR="00747C47">
        <w:t xml:space="preserve"> they can be specified</w:t>
      </w:r>
      <w:r w:rsidR="00EF3052">
        <w:t xml:space="preserve"> in Rel-19</w:t>
      </w:r>
      <w:r w:rsidR="00747C47">
        <w:t xml:space="preserve">. </w:t>
      </w:r>
    </w:p>
    <w:p w14:paraId="12A1485F" w14:textId="02096D72" w:rsidR="002140D7" w:rsidRDefault="004A0D64" w:rsidP="002140D7">
      <w:pPr>
        <w:pStyle w:val="Heading3"/>
        <w:rPr>
          <w:lang w:val="en-US"/>
        </w:rPr>
      </w:pPr>
      <w:bookmarkStart w:id="1978" w:name="_Toc165991004"/>
      <w:bookmarkStart w:id="1979" w:name="_Ref181959984"/>
      <w:bookmarkStart w:id="1980" w:name="_Toc189845025"/>
      <w:r w:rsidRPr="000D7516">
        <w:rPr>
          <w:lang w:val="en-US"/>
        </w:rPr>
        <w:t>LOS/NLOS indicator</w:t>
      </w:r>
      <w:bookmarkEnd w:id="1978"/>
      <w:bookmarkEnd w:id="1979"/>
      <w:bookmarkEnd w:id="1980"/>
    </w:p>
    <w:p w14:paraId="7CCB9AFC" w14:textId="1C9CB927" w:rsidR="00560E55" w:rsidRDefault="00560E55" w:rsidP="00560E55">
      <w:r>
        <w:t xml:space="preserve">The following was concluded </w:t>
      </w:r>
      <w:r w:rsidR="00887F5F">
        <w:t>during RAN1#119</w:t>
      </w:r>
      <w:r w:rsidR="00C66517">
        <w:t>.</w:t>
      </w:r>
    </w:p>
    <w:tbl>
      <w:tblPr>
        <w:tblStyle w:val="TableGrid"/>
        <w:tblW w:w="0" w:type="auto"/>
        <w:tblLook w:val="04A0" w:firstRow="1" w:lastRow="0" w:firstColumn="1" w:lastColumn="0" w:noHBand="0" w:noVBand="1"/>
      </w:tblPr>
      <w:tblGrid>
        <w:gridCol w:w="9962"/>
      </w:tblGrid>
      <w:tr w:rsidR="00B5549D" w14:paraId="42793255" w14:textId="77777777" w:rsidTr="00B5549D">
        <w:tc>
          <w:tcPr>
            <w:tcW w:w="9962" w:type="dxa"/>
          </w:tcPr>
          <w:p w14:paraId="7459E659" w14:textId="77777777" w:rsidR="00B5549D" w:rsidRDefault="00B5549D" w:rsidP="00B5549D">
            <w:pPr>
              <w:rPr>
                <w:rFonts w:eastAsia="DengXian"/>
                <w:lang w:eastAsia="zh-CN"/>
              </w:rPr>
            </w:pPr>
            <w:r>
              <w:rPr>
                <w:rFonts w:eastAsia="DengXian" w:hint="eastAsia"/>
                <w:lang w:eastAsia="zh-CN"/>
              </w:rPr>
              <w:t>Conclusion</w:t>
            </w:r>
          </w:p>
          <w:p w14:paraId="37E6CFB5" w14:textId="77777777" w:rsidR="00B5549D" w:rsidRDefault="00B5549D" w:rsidP="00B5549D">
            <w:r>
              <w:t xml:space="preserve">For measurement report of AI/ML assisted positioning Case 3a, regarding the report of LOS/NLOS indicator, </w:t>
            </w:r>
          </w:p>
          <w:p w14:paraId="571457CD" w14:textId="10186328" w:rsidR="00B5549D" w:rsidRDefault="00B5549D" w:rsidP="007767DA">
            <w:pPr>
              <w:pStyle w:val="ListParagraph"/>
              <w:widowControl w:val="0"/>
              <w:numPr>
                <w:ilvl w:val="0"/>
                <w:numId w:val="95"/>
              </w:numPr>
              <w:tabs>
                <w:tab w:val="left" w:pos="284"/>
              </w:tabs>
              <w:spacing w:after="160" w:line="276" w:lineRule="auto"/>
              <w:ind w:left="284" w:hanging="284"/>
            </w:pPr>
            <w:r>
              <w:t>LOS/NLOS indicator</w:t>
            </w:r>
            <w:r>
              <w:rPr>
                <w:rFonts w:eastAsia="DengXian" w:hint="eastAsia"/>
              </w:rPr>
              <w:t xml:space="preserve"> can</w:t>
            </w:r>
            <w:r>
              <w:rPr>
                <w:rFonts w:eastAsia="DengXian"/>
              </w:rPr>
              <w:t>’</w:t>
            </w:r>
            <w:r>
              <w:rPr>
                <w:rFonts w:eastAsia="DengXian" w:hint="eastAsia"/>
              </w:rPr>
              <w:t>t be reported independently from other measurements</w:t>
            </w:r>
          </w:p>
        </w:tc>
      </w:tr>
    </w:tbl>
    <w:p w14:paraId="43583B42" w14:textId="77777777" w:rsidR="00B5549D" w:rsidRDefault="00B5549D" w:rsidP="00560E55"/>
    <w:p w14:paraId="2594B189" w14:textId="64ED0118" w:rsidR="00887F5F" w:rsidRPr="00560E55" w:rsidRDefault="00887F5F" w:rsidP="007767DA">
      <w:r>
        <w:t xml:space="preserve">We also discussed without agreeing on whether to differentiate </w:t>
      </w:r>
      <w:r w:rsidR="003D2764">
        <w:t>indication of LOS / timing reported with AI</w:t>
      </w:r>
      <w:r w:rsidR="00C66517">
        <w:t>/</w:t>
      </w:r>
      <w:r w:rsidR="003D2764">
        <w:t xml:space="preserve">ML from </w:t>
      </w:r>
      <w:r w:rsidR="00C66517">
        <w:t xml:space="preserve">legacy reporting from </w:t>
      </w:r>
      <w:r w:rsidR="003D2764">
        <w:t xml:space="preserve">previous releases. </w:t>
      </w:r>
    </w:p>
    <w:p w14:paraId="56A259DF" w14:textId="52F41F58" w:rsidR="002140D7" w:rsidRDefault="000A1148" w:rsidP="002140D7">
      <w:r w:rsidRPr="00CE21AB">
        <w:t>In this</w:t>
      </w:r>
      <w:r>
        <w:t xml:space="preserve"> section we discuss the following issues:</w:t>
      </w:r>
    </w:p>
    <w:p w14:paraId="4031B1BD" w14:textId="77777777" w:rsidR="00A83C75" w:rsidRDefault="00A32AA1" w:rsidP="00A83C75">
      <w:pPr>
        <w:pStyle w:val="ListParagraph"/>
        <w:numPr>
          <w:ilvl w:val="1"/>
          <w:numId w:val="2"/>
        </w:numPr>
        <w:rPr>
          <w:lang w:eastAsia="ja-JP"/>
        </w:rPr>
      </w:pPr>
      <w:r>
        <w:rPr>
          <w:lang w:eastAsia="ja-JP"/>
        </w:rPr>
        <w:lastRenderedPageBreak/>
        <w:t>What is the m</w:t>
      </w:r>
      <w:r w:rsidR="000A1148">
        <w:rPr>
          <w:lang w:eastAsia="ja-JP"/>
        </w:rPr>
        <w:t>eaning of the LOS/NLOS indicator when reported in case 3a</w:t>
      </w:r>
    </w:p>
    <w:p w14:paraId="48EEB984" w14:textId="79C6C97E" w:rsidR="00FE5BE6" w:rsidRPr="00CE21AB" w:rsidRDefault="00A32AA1" w:rsidP="006221FE">
      <w:pPr>
        <w:pStyle w:val="ListParagraph"/>
        <w:numPr>
          <w:ilvl w:val="1"/>
          <w:numId w:val="2"/>
        </w:numPr>
      </w:pPr>
      <w:r>
        <w:rPr>
          <w:lang w:eastAsia="ja-JP"/>
        </w:rPr>
        <w:t>Should the LMF be able to differentiate</w:t>
      </w:r>
      <w:r w:rsidR="00E40AC4">
        <w:rPr>
          <w:lang w:eastAsia="ja-JP"/>
        </w:rPr>
        <w:t xml:space="preserve"> whether</w:t>
      </w:r>
      <w:r w:rsidR="00910DE3">
        <w:rPr>
          <w:lang w:eastAsia="ja-JP"/>
        </w:rPr>
        <w:t xml:space="preserve"> the </w:t>
      </w:r>
      <w:r w:rsidR="00E40AC4">
        <w:rPr>
          <w:lang w:eastAsia="ja-JP"/>
        </w:rPr>
        <w:t>report</w:t>
      </w:r>
      <w:r w:rsidR="00573273">
        <w:rPr>
          <w:lang w:eastAsia="ja-JP"/>
        </w:rPr>
        <w:t>ed</w:t>
      </w:r>
      <w:r w:rsidR="00E40AC4">
        <w:rPr>
          <w:lang w:eastAsia="ja-JP"/>
        </w:rPr>
        <w:t xml:space="preserve"> </w:t>
      </w:r>
      <w:r w:rsidR="00910DE3">
        <w:rPr>
          <w:lang w:eastAsia="ja-JP"/>
        </w:rPr>
        <w:t xml:space="preserve">LOS/NLOS indicator </w:t>
      </w:r>
      <w:r w:rsidR="00E40AC4">
        <w:rPr>
          <w:lang w:eastAsia="ja-JP"/>
        </w:rPr>
        <w:t xml:space="preserve">is </w:t>
      </w:r>
      <w:r w:rsidR="00080CA7">
        <w:rPr>
          <w:lang w:eastAsia="ja-JP"/>
        </w:rPr>
        <w:t>based</w:t>
      </w:r>
      <w:r w:rsidR="00910DE3">
        <w:rPr>
          <w:lang w:eastAsia="ja-JP"/>
        </w:rPr>
        <w:t xml:space="preserve"> on a model </w:t>
      </w:r>
      <w:r w:rsidR="006221FE">
        <w:rPr>
          <w:lang w:eastAsia="ja-JP"/>
        </w:rPr>
        <w:t>inference</w:t>
      </w:r>
      <w:r w:rsidR="00063AFF">
        <w:rPr>
          <w:lang w:eastAsia="ja-JP"/>
        </w:rPr>
        <w:t xml:space="preserve"> </w:t>
      </w:r>
      <w:r w:rsidR="006221FE">
        <w:rPr>
          <w:lang w:eastAsia="ja-JP"/>
        </w:rPr>
        <w:t xml:space="preserve"> </w:t>
      </w:r>
    </w:p>
    <w:p w14:paraId="2460C36D" w14:textId="5A2CEC72" w:rsidR="00FA31E8" w:rsidRPr="00E16CCD" w:rsidRDefault="00FA31E8" w:rsidP="006221FE">
      <w:pPr>
        <w:pStyle w:val="Heading4"/>
        <w:rPr>
          <w:lang w:val="en-US"/>
        </w:rPr>
      </w:pPr>
      <w:bookmarkStart w:id="1981" w:name="_Toc189845026"/>
      <w:r w:rsidRPr="00E16CCD">
        <w:rPr>
          <w:lang w:val="en-US"/>
        </w:rPr>
        <w:t>Interpretation of LOS/NLOS indicator</w:t>
      </w:r>
      <w:r w:rsidR="002E63B6">
        <w:rPr>
          <w:lang w:val="en-US"/>
        </w:rPr>
        <w:t xml:space="preserve"> and associated timing information</w:t>
      </w:r>
      <w:bookmarkEnd w:id="1981"/>
    </w:p>
    <w:p w14:paraId="1D5521F9" w14:textId="0008E0D1" w:rsidR="00595109" w:rsidRDefault="00735A97" w:rsidP="004A0D64">
      <w:r w:rsidRPr="00E215F0">
        <w:t>In legacy positioning methods, the LOS indicator can take either a binary value (LOS</w:t>
      </w:r>
      <w:r w:rsidR="006036C0">
        <w:t xml:space="preserve">, </w:t>
      </w:r>
      <w:r w:rsidRPr="00E215F0">
        <w:t xml:space="preserve">NLOS) or a soft value that provides a confidence index of the LOS estimate reported by the UE or </w:t>
      </w:r>
      <w:proofErr w:type="spellStart"/>
      <w:r w:rsidRPr="00E215F0">
        <w:t>gNB</w:t>
      </w:r>
      <w:proofErr w:type="spellEnd"/>
      <w:r w:rsidRPr="00E215F0">
        <w:t xml:space="preserve">. </w:t>
      </w:r>
      <w:r w:rsidR="00790807" w:rsidRPr="00E215F0">
        <w:t xml:space="preserve">The purpose of this LOS indicator is to inform the LMF </w:t>
      </w:r>
      <w:r w:rsidR="003D41B1" w:rsidRPr="00E215F0">
        <w:t xml:space="preserve">so that measurements can be grouped according to their LOS status, and </w:t>
      </w:r>
      <w:r w:rsidR="00E90151" w:rsidRPr="00E215F0">
        <w:t xml:space="preserve">measurements which </w:t>
      </w:r>
      <w:r w:rsidR="002546C4">
        <w:t>are</w:t>
      </w:r>
      <w:r w:rsidR="002546C4" w:rsidRPr="00E215F0">
        <w:t xml:space="preserve"> </w:t>
      </w:r>
      <w:r w:rsidR="00E90151" w:rsidRPr="00E215F0">
        <w:t>non</w:t>
      </w:r>
      <w:r w:rsidR="005B45E2">
        <w:t>-</w:t>
      </w:r>
      <w:r w:rsidR="00E90151" w:rsidRPr="00E215F0">
        <w:t>line</w:t>
      </w:r>
      <w:r w:rsidR="005B45E2">
        <w:t>-</w:t>
      </w:r>
      <w:r w:rsidR="00E90151" w:rsidRPr="00E215F0">
        <w:t>of</w:t>
      </w:r>
      <w:r w:rsidR="005B45E2">
        <w:t>-</w:t>
      </w:r>
      <w:r w:rsidR="00E90151" w:rsidRPr="00E215F0">
        <w:t xml:space="preserve">sight are typically excluded from the location estimation algorithm. </w:t>
      </w:r>
      <w:r w:rsidR="008B19C0">
        <w:t xml:space="preserve">The </w:t>
      </w:r>
      <w:r w:rsidR="008B19C0" w:rsidRPr="00E215F0">
        <w:t>LOS/NLOS indicator</w:t>
      </w:r>
      <w:r w:rsidR="008B19C0">
        <w:t xml:space="preserve"> and the measurements (e.g., </w:t>
      </w:r>
      <w:r w:rsidR="009C3065">
        <w:t>RTOA</w:t>
      </w:r>
      <w:r w:rsidR="008B19C0">
        <w:t>) are all about the physical, observable propagation path of the radio link.</w:t>
      </w:r>
    </w:p>
    <w:p w14:paraId="717A3573" w14:textId="5A514AC4" w:rsidR="00511755" w:rsidRDefault="00B976CE" w:rsidP="004A0D64">
      <w:r>
        <w:t>In contrast, w</w:t>
      </w:r>
      <w:r w:rsidR="00511755">
        <w:t>hen AI/ML assisted positioning is used, two types of L</w:t>
      </w:r>
      <w:r w:rsidR="00825571">
        <w:t>O</w:t>
      </w:r>
      <w:r w:rsidR="00511755">
        <w:t xml:space="preserve">S paths are addressed by the AI/ML model </w:t>
      </w:r>
      <w:r w:rsidR="00FE3AE2">
        <w:t xml:space="preserve">considering the two </w:t>
      </w:r>
      <w:r w:rsidR="00511755">
        <w:t>types of model output:</w:t>
      </w:r>
    </w:p>
    <w:p w14:paraId="67B2F44D" w14:textId="1D57885F" w:rsidR="00682F4A" w:rsidRPr="00194B5B" w:rsidRDefault="00511755" w:rsidP="000F7548">
      <w:pPr>
        <w:pStyle w:val="ListParagraph"/>
        <w:numPr>
          <w:ilvl w:val="0"/>
          <w:numId w:val="15"/>
        </w:numPr>
      </w:pPr>
      <w:r w:rsidRPr="00113328">
        <w:t>LOS/NLOS indicator</w:t>
      </w:r>
      <w:r w:rsidR="00682F4A" w:rsidRPr="00113328">
        <w:t>.</w:t>
      </w:r>
      <w:r w:rsidRPr="00113328">
        <w:t xml:space="preserve"> </w:t>
      </w:r>
      <w:r w:rsidR="00B976CE" w:rsidRPr="00113328">
        <w:t>As in legacy report, t</w:t>
      </w:r>
      <w:r w:rsidRPr="00113328">
        <w:t xml:space="preserve">his model output </w:t>
      </w:r>
      <w:r w:rsidR="00682F4A" w:rsidRPr="00113328">
        <w:t xml:space="preserve">provides </w:t>
      </w:r>
      <w:r w:rsidR="00682F4A" w:rsidRPr="00194B5B">
        <w:rPr>
          <w:snapToGrid w:val="0"/>
        </w:rPr>
        <w:t xml:space="preserve">information on the likelihood of a </w:t>
      </w:r>
      <w:r w:rsidR="00682F4A" w:rsidRPr="00113328">
        <w:rPr>
          <w:snapToGrid w:val="0"/>
        </w:rPr>
        <w:t>l</w:t>
      </w:r>
      <w:r w:rsidR="00682F4A" w:rsidRPr="00194B5B">
        <w:rPr>
          <w:snapToGrid w:val="0"/>
        </w:rPr>
        <w:t>ine-of-</w:t>
      </w:r>
      <w:r w:rsidR="00682F4A" w:rsidRPr="00113328">
        <w:rPr>
          <w:snapToGrid w:val="0"/>
        </w:rPr>
        <w:t>s</w:t>
      </w:r>
      <w:r w:rsidR="00682F4A" w:rsidRPr="00194B5B">
        <w:rPr>
          <w:snapToGrid w:val="0"/>
        </w:rPr>
        <w:t>ight propagation path</w:t>
      </w:r>
      <w:r w:rsidR="00682F4A" w:rsidRPr="00113328">
        <w:rPr>
          <w:snapToGrid w:val="0"/>
        </w:rPr>
        <w:t>, i.e., a physical L</w:t>
      </w:r>
      <w:r w:rsidR="00F772CD">
        <w:rPr>
          <w:snapToGrid w:val="0"/>
        </w:rPr>
        <w:t>O</w:t>
      </w:r>
      <w:r w:rsidR="00682F4A" w:rsidRPr="00113328">
        <w:rPr>
          <w:snapToGrid w:val="0"/>
        </w:rPr>
        <w:t xml:space="preserve">S path. For example, for </w:t>
      </w:r>
      <w:r w:rsidR="00682F4A" w:rsidRPr="00113328">
        <w:rPr>
          <w:snapToGrid w:val="0"/>
        </w:rPr>
        <w:fldChar w:fldCharType="begin"/>
      </w:r>
      <w:r w:rsidR="00682F4A" w:rsidRPr="00113328">
        <w:rPr>
          <w:snapToGrid w:val="0"/>
        </w:rPr>
        <w:instrText xml:space="preserve"> REF _Ref158978805 </w:instrText>
      </w:r>
      <w:r w:rsidR="00113328" w:rsidRPr="00CD59F9">
        <w:rPr>
          <w:snapToGrid w:val="0"/>
        </w:rPr>
        <w:instrText xml:space="preserve"> \* MERGEFORMAT </w:instrText>
      </w:r>
      <w:r w:rsidR="00682F4A" w:rsidRPr="00113328">
        <w:rPr>
          <w:snapToGrid w:val="0"/>
        </w:rPr>
        <w:fldChar w:fldCharType="separate"/>
      </w:r>
      <w:r w:rsidR="00C713E4" w:rsidRPr="00C713E4">
        <w:t xml:space="preserve">Figure </w:t>
      </w:r>
      <w:r w:rsidR="00C713E4" w:rsidRPr="00C713E4">
        <w:t>2</w:t>
      </w:r>
      <w:r w:rsidR="00682F4A" w:rsidRPr="00113328">
        <w:rPr>
          <w:snapToGrid w:val="0"/>
        </w:rPr>
        <w:fldChar w:fldCharType="end"/>
      </w:r>
      <w:r w:rsidR="00682F4A" w:rsidRPr="00113328">
        <w:rPr>
          <w:snapToGrid w:val="0"/>
        </w:rPr>
        <w:t>(a), LOS/NLOS indicator='TRUE' (i.e., physical L</w:t>
      </w:r>
      <w:r w:rsidR="003F4914">
        <w:rPr>
          <w:snapToGrid w:val="0"/>
        </w:rPr>
        <w:t>O</w:t>
      </w:r>
      <w:r w:rsidR="00682F4A" w:rsidRPr="00113328">
        <w:rPr>
          <w:snapToGrid w:val="0"/>
        </w:rPr>
        <w:t xml:space="preserve">S path exists); for </w:t>
      </w:r>
      <w:r w:rsidR="00682F4A" w:rsidRPr="00113328">
        <w:rPr>
          <w:snapToGrid w:val="0"/>
        </w:rPr>
        <w:fldChar w:fldCharType="begin"/>
      </w:r>
      <w:r w:rsidR="00682F4A" w:rsidRPr="00113328">
        <w:rPr>
          <w:snapToGrid w:val="0"/>
        </w:rPr>
        <w:instrText xml:space="preserve"> REF _Ref158978805 </w:instrText>
      </w:r>
      <w:r w:rsidR="00113328" w:rsidRPr="00CD59F9">
        <w:rPr>
          <w:snapToGrid w:val="0"/>
        </w:rPr>
        <w:instrText xml:space="preserve"> \* MERGEFORMAT </w:instrText>
      </w:r>
      <w:r w:rsidR="00682F4A" w:rsidRPr="00113328">
        <w:rPr>
          <w:snapToGrid w:val="0"/>
        </w:rPr>
        <w:fldChar w:fldCharType="separate"/>
      </w:r>
      <w:r w:rsidR="00C713E4" w:rsidRPr="00C713E4">
        <w:t xml:space="preserve">Figure </w:t>
      </w:r>
      <w:r w:rsidR="00C713E4" w:rsidRPr="00C713E4">
        <w:t>2</w:t>
      </w:r>
      <w:r w:rsidR="00682F4A" w:rsidRPr="00113328">
        <w:rPr>
          <w:snapToGrid w:val="0"/>
        </w:rPr>
        <w:fldChar w:fldCharType="end"/>
      </w:r>
      <w:r w:rsidR="00682F4A" w:rsidRPr="00113328">
        <w:rPr>
          <w:snapToGrid w:val="0"/>
        </w:rPr>
        <w:t>(b), LOS/NLOS indicator='FALSE' (i.e., no physical L</w:t>
      </w:r>
      <w:r w:rsidR="009E68B4">
        <w:rPr>
          <w:snapToGrid w:val="0"/>
        </w:rPr>
        <w:t>O</w:t>
      </w:r>
      <w:r w:rsidR="00682F4A" w:rsidRPr="00113328">
        <w:rPr>
          <w:snapToGrid w:val="0"/>
        </w:rPr>
        <w:t>S path).</w:t>
      </w:r>
    </w:p>
    <w:p w14:paraId="478285CF" w14:textId="14124612" w:rsidR="00EE517A" w:rsidRPr="00194B5B" w:rsidRDefault="00EE517A" w:rsidP="000F7548">
      <w:pPr>
        <w:pStyle w:val="ListParagraph"/>
        <w:numPr>
          <w:ilvl w:val="1"/>
          <w:numId w:val="15"/>
        </w:numPr>
      </w:pPr>
      <w:r w:rsidRPr="00113328">
        <w:rPr>
          <w:snapToGrid w:val="0"/>
        </w:rPr>
        <w:t>Thus: the meaning of LOS/NLOS indicator is unchanged when AI/ML is introduced</w:t>
      </w:r>
      <w:r w:rsidR="000A426A">
        <w:rPr>
          <w:snapToGrid w:val="0"/>
        </w:rPr>
        <w:t xml:space="preserve"> to generate it</w:t>
      </w:r>
      <w:r w:rsidRPr="00113328">
        <w:rPr>
          <w:snapToGrid w:val="0"/>
        </w:rPr>
        <w:t>.</w:t>
      </w:r>
    </w:p>
    <w:p w14:paraId="062D16F5" w14:textId="5DA64AC5" w:rsidR="00511755" w:rsidRPr="00194B5B" w:rsidRDefault="00682F4A" w:rsidP="000F7548">
      <w:pPr>
        <w:pStyle w:val="ListParagraph"/>
        <w:numPr>
          <w:ilvl w:val="0"/>
          <w:numId w:val="15"/>
        </w:numPr>
      </w:pPr>
      <w:r w:rsidRPr="00113328">
        <w:rPr>
          <w:snapToGrid w:val="0"/>
        </w:rPr>
        <w:t xml:space="preserve">Time information (e.g., RTOA). The timing information generated by the model </w:t>
      </w:r>
      <w:r w:rsidR="00B2465F">
        <w:rPr>
          <w:snapToGrid w:val="0"/>
        </w:rPr>
        <w:t xml:space="preserve">depends on the model design. </w:t>
      </w:r>
      <w:r w:rsidR="00B74365">
        <w:rPr>
          <w:snapToGrid w:val="0"/>
        </w:rPr>
        <w:t xml:space="preserve">For some models, the output TOA </w:t>
      </w:r>
      <w:proofErr w:type="gramStart"/>
      <w:r w:rsidR="00B74365">
        <w:rPr>
          <w:snapToGrid w:val="0"/>
        </w:rPr>
        <w:t xml:space="preserve">is </w:t>
      </w:r>
      <w:r w:rsidRPr="00113328">
        <w:rPr>
          <w:snapToGrid w:val="0"/>
        </w:rPr>
        <w:t xml:space="preserve"> the</w:t>
      </w:r>
      <w:proofErr w:type="gramEnd"/>
      <w:r w:rsidRPr="00113328">
        <w:rPr>
          <w:snapToGrid w:val="0"/>
        </w:rPr>
        <w:t xml:space="preserve"> direct path between TRP and UE, regardless of LOS/NLOS status of the physical link. For example, for </w:t>
      </w:r>
      <w:r w:rsidRPr="00113328">
        <w:rPr>
          <w:snapToGrid w:val="0"/>
        </w:rPr>
        <w:fldChar w:fldCharType="begin"/>
      </w:r>
      <w:r w:rsidRPr="00113328">
        <w:rPr>
          <w:snapToGrid w:val="0"/>
        </w:rPr>
        <w:instrText xml:space="preserve"> REF _Ref158978805 </w:instrText>
      </w:r>
      <w:r w:rsidR="00113328" w:rsidRPr="00CD59F9">
        <w:rPr>
          <w:snapToGrid w:val="0"/>
        </w:rPr>
        <w:instrText xml:space="preserve"> \* MERGEFORMAT </w:instrText>
      </w:r>
      <w:r w:rsidRPr="00113328">
        <w:rPr>
          <w:snapToGrid w:val="0"/>
        </w:rPr>
        <w:fldChar w:fldCharType="separate"/>
      </w:r>
      <w:r w:rsidR="00C713E4" w:rsidRPr="00C713E4">
        <w:t xml:space="preserve">Figure </w:t>
      </w:r>
      <w:r w:rsidR="00C713E4" w:rsidRPr="00C713E4">
        <w:t>2</w:t>
      </w:r>
      <w:r w:rsidRPr="00113328">
        <w:rPr>
          <w:snapToGrid w:val="0"/>
        </w:rPr>
        <w:fldChar w:fldCharType="end"/>
      </w:r>
      <w:r w:rsidRPr="00113328">
        <w:rPr>
          <w:snapToGrid w:val="0"/>
        </w:rPr>
        <w:t>(a), the timing information is for the physical L</w:t>
      </w:r>
      <w:r w:rsidR="00E140A0">
        <w:rPr>
          <w:snapToGrid w:val="0"/>
        </w:rPr>
        <w:t>O</w:t>
      </w:r>
      <w:r w:rsidRPr="00113328">
        <w:rPr>
          <w:snapToGrid w:val="0"/>
        </w:rPr>
        <w:t>S path</w:t>
      </w:r>
      <w:r w:rsidR="000D3E58">
        <w:rPr>
          <w:snapToGrid w:val="0"/>
        </w:rPr>
        <w:t xml:space="preserve"> (=virtual L</w:t>
      </w:r>
      <w:r w:rsidR="00E140A0">
        <w:rPr>
          <w:snapToGrid w:val="0"/>
        </w:rPr>
        <w:t>O</w:t>
      </w:r>
      <w:r w:rsidR="000D3E58">
        <w:rPr>
          <w:snapToGrid w:val="0"/>
        </w:rPr>
        <w:t>S path)</w:t>
      </w:r>
      <w:r w:rsidRPr="00113328">
        <w:rPr>
          <w:snapToGrid w:val="0"/>
        </w:rPr>
        <w:t xml:space="preserve">; for </w:t>
      </w:r>
      <w:r w:rsidRPr="00113328">
        <w:rPr>
          <w:snapToGrid w:val="0"/>
        </w:rPr>
        <w:fldChar w:fldCharType="begin"/>
      </w:r>
      <w:r w:rsidRPr="00113328">
        <w:rPr>
          <w:snapToGrid w:val="0"/>
        </w:rPr>
        <w:instrText xml:space="preserve"> REF _Ref158978805 </w:instrText>
      </w:r>
      <w:r w:rsidR="00113328" w:rsidRPr="00CD59F9">
        <w:rPr>
          <w:snapToGrid w:val="0"/>
        </w:rPr>
        <w:instrText xml:space="preserve"> \* MERGEFORMAT </w:instrText>
      </w:r>
      <w:r w:rsidRPr="00113328">
        <w:rPr>
          <w:snapToGrid w:val="0"/>
        </w:rPr>
        <w:fldChar w:fldCharType="separate"/>
      </w:r>
      <w:r w:rsidR="00C713E4" w:rsidRPr="00C713E4">
        <w:t xml:space="preserve">Figure </w:t>
      </w:r>
      <w:r w:rsidR="00C713E4" w:rsidRPr="00C713E4">
        <w:t>2</w:t>
      </w:r>
      <w:r w:rsidRPr="00113328">
        <w:rPr>
          <w:snapToGrid w:val="0"/>
        </w:rPr>
        <w:fldChar w:fldCharType="end"/>
      </w:r>
      <w:r w:rsidRPr="00113328">
        <w:rPr>
          <w:snapToGrid w:val="0"/>
        </w:rPr>
        <w:t>(b), the timing information is for the virtual L</w:t>
      </w:r>
      <w:r w:rsidR="005A318A">
        <w:rPr>
          <w:snapToGrid w:val="0"/>
        </w:rPr>
        <w:t>O</w:t>
      </w:r>
      <w:r w:rsidRPr="00113328">
        <w:rPr>
          <w:snapToGrid w:val="0"/>
        </w:rPr>
        <w:t>S path.</w:t>
      </w:r>
      <w:r w:rsidR="00EE517A" w:rsidRPr="00113328">
        <w:rPr>
          <w:snapToGrid w:val="0"/>
        </w:rPr>
        <w:t xml:space="preserve"> </w:t>
      </w:r>
      <w:r w:rsidR="003A0DB3">
        <w:rPr>
          <w:snapToGrid w:val="0"/>
        </w:rPr>
        <w:t>However, these “virtual LOS” models are typically very large</w:t>
      </w:r>
      <w:r w:rsidR="00FB4810">
        <w:rPr>
          <w:snapToGrid w:val="0"/>
        </w:rPr>
        <w:t xml:space="preserve">. Another, comparatively simpler model could produce the legacy </w:t>
      </w:r>
      <w:r w:rsidR="00100385">
        <w:rPr>
          <w:snapToGrid w:val="0"/>
        </w:rPr>
        <w:t>“physical LOS” type TOA.</w:t>
      </w:r>
    </w:p>
    <w:p w14:paraId="2EB5C476" w14:textId="07D6D05A" w:rsidR="00EE517A" w:rsidRPr="00194B5B" w:rsidRDefault="00EE517A" w:rsidP="000F7548">
      <w:pPr>
        <w:pStyle w:val="ListParagraph"/>
        <w:numPr>
          <w:ilvl w:val="1"/>
          <w:numId w:val="15"/>
        </w:numPr>
      </w:pPr>
      <w:r w:rsidRPr="00CD59F9">
        <w:rPr>
          <w:snapToGrid w:val="0"/>
        </w:rPr>
        <w:t>Thus: the meaning of timing info</w:t>
      </w:r>
      <w:r w:rsidR="00470267">
        <w:rPr>
          <w:snapToGrid w:val="0"/>
        </w:rPr>
        <w:t>rmation</w:t>
      </w:r>
      <w:r w:rsidRPr="00CD59F9">
        <w:rPr>
          <w:snapToGrid w:val="0"/>
        </w:rPr>
        <w:t xml:space="preserve"> is </w:t>
      </w:r>
      <w:r w:rsidR="00100385">
        <w:rPr>
          <w:snapToGrid w:val="0"/>
        </w:rPr>
        <w:t>conditioned to the model implementation</w:t>
      </w:r>
      <w:r w:rsidR="00100385" w:rsidRPr="00CD59F9">
        <w:rPr>
          <w:snapToGrid w:val="0"/>
        </w:rPr>
        <w:t xml:space="preserve"> </w:t>
      </w:r>
      <w:r w:rsidRPr="00CD59F9">
        <w:rPr>
          <w:snapToGrid w:val="0"/>
        </w:rPr>
        <w:t>when AI/ML is introduced</w:t>
      </w:r>
      <w:r w:rsidR="00470267">
        <w:rPr>
          <w:snapToGrid w:val="0"/>
        </w:rPr>
        <w:t xml:space="preserve"> to generate it</w:t>
      </w:r>
      <w:r w:rsidRPr="00CD59F9">
        <w:rPr>
          <w:snapToGrid w:val="0"/>
        </w:rPr>
        <w:t>. In legacy report, the timing</w:t>
      </w:r>
      <w:r>
        <w:rPr>
          <w:snapToGrid w:val="0"/>
        </w:rPr>
        <w:t xml:space="preserve"> information is for the observed physical path arrival. In AI/ML report, the timing information </w:t>
      </w:r>
      <w:r w:rsidR="00100385">
        <w:rPr>
          <w:snapToGrid w:val="0"/>
        </w:rPr>
        <w:t xml:space="preserve">can be </w:t>
      </w:r>
      <w:r>
        <w:rPr>
          <w:snapToGrid w:val="0"/>
        </w:rPr>
        <w:t>for the direct path (i.e., virtual L</w:t>
      </w:r>
      <w:r w:rsidR="0007593C">
        <w:rPr>
          <w:snapToGrid w:val="0"/>
        </w:rPr>
        <w:t>O</w:t>
      </w:r>
      <w:r>
        <w:rPr>
          <w:snapToGrid w:val="0"/>
        </w:rPr>
        <w:t>S path).</w:t>
      </w:r>
    </w:p>
    <w:p w14:paraId="1D435E2E" w14:textId="780C2CB2" w:rsidR="00511755" w:rsidRDefault="00BC6783" w:rsidP="004A0D64">
      <w:r>
        <w:t>I</w:t>
      </w:r>
      <w:r w:rsidR="000D3E58">
        <w:t>n summary, i</w:t>
      </w:r>
      <w:r>
        <w:t>t can be understood that the LOS/NLOS indicator address</w:t>
      </w:r>
      <w:r w:rsidR="00374389">
        <w:t>es</w:t>
      </w:r>
      <w:r>
        <w:t xml:space="preserve"> the physical L</w:t>
      </w:r>
      <w:r w:rsidR="00CC0AB1">
        <w:t>O</w:t>
      </w:r>
      <w:r>
        <w:t xml:space="preserve">S path, while </w:t>
      </w:r>
      <w:r w:rsidR="00FE3AE2">
        <w:rPr>
          <w:snapToGrid w:val="0"/>
        </w:rPr>
        <w:t>t</w:t>
      </w:r>
      <w:r>
        <w:rPr>
          <w:snapToGrid w:val="0"/>
        </w:rPr>
        <w:t xml:space="preserve">ime information (e.g., RTOA) </w:t>
      </w:r>
      <w:r w:rsidR="00100385">
        <w:rPr>
          <w:snapToGrid w:val="0"/>
        </w:rPr>
        <w:t xml:space="preserve">may </w:t>
      </w:r>
      <w:r>
        <w:rPr>
          <w:snapToGrid w:val="0"/>
        </w:rPr>
        <w:t>address the virtual L</w:t>
      </w:r>
      <w:r w:rsidR="002E5298">
        <w:rPr>
          <w:snapToGrid w:val="0"/>
        </w:rPr>
        <w:t>O</w:t>
      </w:r>
      <w:r>
        <w:rPr>
          <w:snapToGrid w:val="0"/>
        </w:rPr>
        <w:t>S path</w:t>
      </w:r>
      <w:r w:rsidR="00E22682">
        <w:rPr>
          <w:snapToGrid w:val="0"/>
        </w:rPr>
        <w:t>. H</w:t>
      </w:r>
      <w:r w:rsidR="00EE517A">
        <w:rPr>
          <w:snapToGrid w:val="0"/>
        </w:rPr>
        <w:t>ere the virtual L</w:t>
      </w:r>
      <w:r w:rsidR="002E5298">
        <w:rPr>
          <w:snapToGrid w:val="0"/>
        </w:rPr>
        <w:t>O</w:t>
      </w:r>
      <w:r w:rsidR="00EE517A">
        <w:rPr>
          <w:snapToGrid w:val="0"/>
        </w:rPr>
        <w:t>S path is the direct path regardless of LOS/NLOS status</w:t>
      </w:r>
      <w:r>
        <w:rPr>
          <w:snapToGrid w:val="0"/>
        </w:rPr>
        <w:t>.</w:t>
      </w:r>
      <w:r w:rsidR="00681D21" w:rsidRPr="00681D21">
        <w:t xml:space="preserve"> </w:t>
      </w:r>
      <w:r w:rsidR="00681D21">
        <w:t>In legacy DL-TDOA and DL</w:t>
      </w:r>
      <w:r w:rsidR="00EC0AA5">
        <w:t>-</w:t>
      </w:r>
      <w:r w:rsidR="00681D21">
        <w:t xml:space="preserve">RTOA reports, LOS/NLOS indication is always associated with a </w:t>
      </w:r>
      <w:r w:rsidR="002F7AD7">
        <w:t xml:space="preserve">physical </w:t>
      </w:r>
      <w:r w:rsidR="00681D21">
        <w:t>TOA measurement.</w:t>
      </w:r>
      <w:r w:rsidR="00875EFC">
        <w:t xml:space="preserve"> For AI</w:t>
      </w:r>
      <w:r w:rsidR="00703205">
        <w:t>/</w:t>
      </w:r>
      <w:r w:rsidR="00875EFC">
        <w:t>ML measurements, this association cannot</w:t>
      </w:r>
      <w:r w:rsidR="002F7AD7">
        <w:t xml:space="preserve"> </w:t>
      </w:r>
      <w:r w:rsidR="00374389">
        <w:t>always be</w:t>
      </w:r>
      <w:r w:rsidR="00875EFC">
        <w:t xml:space="preserve"> </w:t>
      </w:r>
      <w:r w:rsidR="002F7AD7">
        <w:t>assumed</w:t>
      </w:r>
      <w:r w:rsidR="00875EFC">
        <w:t xml:space="preserve">, and </w:t>
      </w:r>
      <w:r w:rsidR="002F7AD7">
        <w:t xml:space="preserve">it should be possible for </w:t>
      </w:r>
      <w:r w:rsidR="00875EFC">
        <w:t xml:space="preserve">the TOA measurement </w:t>
      </w:r>
      <w:proofErr w:type="gramStart"/>
      <w:r w:rsidR="002F7AD7">
        <w:t xml:space="preserve">to  </w:t>
      </w:r>
      <w:r w:rsidR="00946004">
        <w:t>be</w:t>
      </w:r>
      <w:proofErr w:type="gramEnd"/>
      <w:r w:rsidR="00946004">
        <w:t xml:space="preserve"> decoupled from the LOS indication. </w:t>
      </w:r>
    </w:p>
    <w:p w14:paraId="35FDFA17" w14:textId="32B8263B" w:rsidR="00511755" w:rsidRDefault="00511755" w:rsidP="004A0D6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511755" w14:paraId="751647FB" w14:textId="77777777" w:rsidTr="00CD59F9">
        <w:tc>
          <w:tcPr>
            <w:tcW w:w="4981" w:type="dxa"/>
          </w:tcPr>
          <w:p w14:paraId="70BD84BA" w14:textId="53FBC0E7" w:rsidR="00511755" w:rsidRDefault="00FE3AE2" w:rsidP="00CD59F9">
            <w:pPr>
              <w:jc w:val="center"/>
            </w:pPr>
            <w:r>
              <w:rPr>
                <w:noProof/>
              </w:rPr>
              <w:lastRenderedPageBreak/>
              <w:drawing>
                <wp:inline distT="0" distB="0" distL="0" distR="0" wp14:anchorId="21F2418E" wp14:editId="5EFDC71F">
                  <wp:extent cx="2139696" cy="21579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c>
          <w:tcPr>
            <w:tcW w:w="4981" w:type="dxa"/>
          </w:tcPr>
          <w:p w14:paraId="3199D1E7" w14:textId="6CAAF247" w:rsidR="00511755" w:rsidRPr="00511755" w:rsidRDefault="00FE3AE2" w:rsidP="00CD59F9">
            <w:pPr>
              <w:jc w:val="center"/>
            </w:pPr>
            <w:r>
              <w:rPr>
                <w:noProof/>
              </w:rPr>
              <w:drawing>
                <wp:inline distT="0" distB="0" distL="0" distR="0" wp14:anchorId="73AC1513" wp14:editId="73313210">
                  <wp:extent cx="2139696"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9696" cy="2157984"/>
                          </a:xfrm>
                          <a:prstGeom prst="rect">
                            <a:avLst/>
                          </a:prstGeom>
                          <a:noFill/>
                        </pic:spPr>
                      </pic:pic>
                    </a:graphicData>
                  </a:graphic>
                </wp:inline>
              </w:drawing>
            </w:r>
          </w:p>
        </w:tc>
      </w:tr>
      <w:tr w:rsidR="00511755" w14:paraId="554B4AF5" w14:textId="77777777" w:rsidTr="00CD59F9">
        <w:tc>
          <w:tcPr>
            <w:tcW w:w="4981" w:type="dxa"/>
          </w:tcPr>
          <w:p w14:paraId="245127B1" w14:textId="6DF95075" w:rsidR="00BC6783" w:rsidRPr="00194B5B" w:rsidRDefault="00511755" w:rsidP="00D35F36">
            <w:pPr>
              <w:pStyle w:val="ListParagraph"/>
              <w:numPr>
                <w:ilvl w:val="0"/>
                <w:numId w:val="36"/>
              </w:numPr>
              <w:jc w:val="center"/>
            </w:pPr>
            <w:r>
              <w:rPr>
                <w:noProof/>
              </w:rPr>
              <w:t>Physical LoS path</w:t>
            </w:r>
            <w:r w:rsidR="00EE517A">
              <w:rPr>
                <w:noProof/>
              </w:rPr>
              <w:t xml:space="preserve"> exist</w:t>
            </w:r>
          </w:p>
        </w:tc>
        <w:tc>
          <w:tcPr>
            <w:tcW w:w="4981" w:type="dxa"/>
          </w:tcPr>
          <w:p w14:paraId="586C7EDA" w14:textId="134F71BB" w:rsidR="00EE517A" w:rsidRPr="00194B5B" w:rsidRDefault="00EE517A" w:rsidP="00D35F36">
            <w:pPr>
              <w:pStyle w:val="ListParagraph"/>
              <w:numPr>
                <w:ilvl w:val="0"/>
                <w:numId w:val="36"/>
              </w:numPr>
              <w:jc w:val="center"/>
            </w:pPr>
            <w:r>
              <w:t xml:space="preserve">No physical </w:t>
            </w:r>
            <w:proofErr w:type="spellStart"/>
            <w:r w:rsidR="00511755">
              <w:t>LoS</w:t>
            </w:r>
            <w:proofErr w:type="spellEnd"/>
            <w:r w:rsidR="00511755">
              <w:t xml:space="preserve"> path</w:t>
            </w:r>
          </w:p>
        </w:tc>
      </w:tr>
    </w:tbl>
    <w:p w14:paraId="4A3E36F2" w14:textId="7E6908E8" w:rsidR="00511755" w:rsidRPr="00CD59F9" w:rsidRDefault="00682F4A" w:rsidP="00CD59F9">
      <w:pPr>
        <w:jc w:val="center"/>
        <w:rPr>
          <w:b/>
          <w:bCs/>
        </w:rPr>
      </w:pPr>
      <w:bookmarkStart w:id="1982" w:name="_Ref158978805"/>
      <w:r w:rsidRPr="00CD59F9">
        <w:rPr>
          <w:b/>
          <w:bCs/>
        </w:rPr>
        <w:t xml:space="preserve">Figure </w:t>
      </w:r>
      <w:r w:rsidRPr="00CD59F9">
        <w:rPr>
          <w:b/>
          <w:bCs/>
        </w:rPr>
        <w:fldChar w:fldCharType="begin"/>
      </w:r>
      <w:r w:rsidRPr="00CD59F9">
        <w:rPr>
          <w:b/>
          <w:bCs/>
        </w:rPr>
        <w:instrText xml:space="preserve"> SEQ Figure \* ARABIC </w:instrText>
      </w:r>
      <w:r w:rsidRPr="00CD59F9">
        <w:rPr>
          <w:b/>
          <w:bCs/>
        </w:rPr>
        <w:fldChar w:fldCharType="separate"/>
      </w:r>
      <w:r w:rsidR="00C713E4">
        <w:rPr>
          <w:b/>
          <w:bCs/>
          <w:noProof/>
        </w:rPr>
        <w:t>2</w:t>
      </w:r>
      <w:r w:rsidRPr="00CD59F9">
        <w:rPr>
          <w:b/>
          <w:bCs/>
        </w:rPr>
        <w:fldChar w:fldCharType="end"/>
      </w:r>
      <w:bookmarkEnd w:id="1982"/>
      <w:r w:rsidR="00511755" w:rsidRPr="00CD59F9">
        <w:rPr>
          <w:b/>
          <w:bCs/>
        </w:rPr>
        <w:t xml:space="preserve">. Two types of </w:t>
      </w:r>
      <w:proofErr w:type="spellStart"/>
      <w:r w:rsidR="00511755" w:rsidRPr="00CD59F9">
        <w:rPr>
          <w:b/>
          <w:bCs/>
        </w:rPr>
        <w:t>LoS</w:t>
      </w:r>
      <w:proofErr w:type="spellEnd"/>
      <w:r w:rsidR="00511755" w:rsidRPr="00CD59F9">
        <w:rPr>
          <w:b/>
          <w:bCs/>
        </w:rPr>
        <w:t xml:space="preserve"> paths are addressed by the assisted AI/ML model.</w:t>
      </w:r>
    </w:p>
    <w:p w14:paraId="2DDCD8D2" w14:textId="77777777" w:rsidR="00511755" w:rsidRDefault="00511755" w:rsidP="004A0D64"/>
    <w:p w14:paraId="51535368" w14:textId="6883AA50" w:rsidR="00BC6783" w:rsidRDefault="00BC6783" w:rsidP="004A0D64">
      <w:r>
        <w:t>Thus</w:t>
      </w:r>
      <w:r w:rsidR="007434EC">
        <w:t>,</w:t>
      </w:r>
      <w:r>
        <w:t xml:space="preserve"> when </w:t>
      </w:r>
      <w:r w:rsidR="00582969" w:rsidRPr="00E215F0">
        <w:t>AI</w:t>
      </w:r>
      <w:r w:rsidR="007434EC">
        <w:t>/</w:t>
      </w:r>
      <w:r w:rsidR="00582969" w:rsidRPr="00E215F0">
        <w:t xml:space="preserve">ML </w:t>
      </w:r>
      <w:r>
        <w:t xml:space="preserve">assisted positioning is applied (Case 2a, </w:t>
      </w:r>
      <w:r w:rsidR="00293226">
        <w:t>3</w:t>
      </w:r>
      <w:r w:rsidR="00C309E5">
        <w:t>a</w:t>
      </w:r>
      <w:r>
        <w:t xml:space="preserve">), the measurement report needs to clearly indicate to LMF </w:t>
      </w:r>
      <w:r w:rsidR="00775A52">
        <w:t xml:space="preserve">whether </w:t>
      </w:r>
      <w:r>
        <w:t xml:space="preserve">the timing information </w:t>
      </w:r>
      <w:r w:rsidR="00EE517A">
        <w:t xml:space="preserve">should be interpreted in </w:t>
      </w:r>
      <w:r w:rsidR="005070F8">
        <w:t xml:space="preserve">a </w:t>
      </w:r>
      <w:r w:rsidR="00EE517A">
        <w:t>new way</w:t>
      </w:r>
      <w:r>
        <w:t xml:space="preserve">, i.e., </w:t>
      </w:r>
      <w:r w:rsidR="00EE517A">
        <w:t xml:space="preserve">LMF should not blindly reuse </w:t>
      </w:r>
      <w:r>
        <w:t xml:space="preserve">the meaning </w:t>
      </w:r>
      <w:r w:rsidR="00EE517A">
        <w:t>in</w:t>
      </w:r>
      <w:r>
        <w:t xml:space="preserve"> the legacy report. Conversely, if this is not clearly indicated, then the LMF may run the legacy positioning methods the same as before, i.e., exclude links that are marked with LOS/NLOS indicator = 'FALSE'.</w:t>
      </w:r>
      <w:r w:rsidR="00EE517A">
        <w:t xml:space="preserve"> This would completely defeat the purpose of generating </w:t>
      </w:r>
      <w:r w:rsidR="00632706">
        <w:t xml:space="preserve">virtual LOS based </w:t>
      </w:r>
      <w:r w:rsidR="00EE517A">
        <w:t>enhanced timing information by AI/ML.</w:t>
      </w:r>
      <w:r>
        <w:t xml:space="preserve"> </w:t>
      </w:r>
    </w:p>
    <w:p w14:paraId="2320A03D" w14:textId="00385288" w:rsidR="00374389" w:rsidRDefault="00F537CC" w:rsidP="00840BF0">
      <w:r>
        <w:t>T</w:t>
      </w:r>
      <w:r w:rsidR="00F43880">
        <w:t xml:space="preserve">o indicate that the timing information for </w:t>
      </w:r>
      <w:r w:rsidR="00F43880" w:rsidRPr="007B3D72">
        <w:t>case 2a/3a is</w:t>
      </w:r>
      <w:r w:rsidR="00F43880">
        <w:t xml:space="preserve"> always based on LOS TOA, regardless of the true physical LOS state of the channel, </w:t>
      </w:r>
      <w:r w:rsidR="00F41321">
        <w:t xml:space="preserve">it would be sufficient to add an indicator to the report, such as a “made with AI” flag, or a </w:t>
      </w:r>
      <w:r w:rsidR="0034037F">
        <w:t xml:space="preserve">“virtual LOS TOA” flag. </w:t>
      </w:r>
      <w:r w:rsidR="00E90EFA">
        <w:t xml:space="preserve"> Alternatively, the UE </w:t>
      </w:r>
      <w:r w:rsidR="00500691">
        <w:t xml:space="preserve">or </w:t>
      </w:r>
      <w:proofErr w:type="spellStart"/>
      <w:r w:rsidR="00500691">
        <w:t>gNB</w:t>
      </w:r>
      <w:proofErr w:type="spellEnd"/>
      <w:r w:rsidR="00500691">
        <w:t xml:space="preserve"> </w:t>
      </w:r>
      <w:r w:rsidR="00E90EFA">
        <w:t>may be “forced” to produce a</w:t>
      </w:r>
      <w:r w:rsidR="00993174">
        <w:t>n</w:t>
      </w:r>
      <w:r w:rsidR="00E90EFA">
        <w:t xml:space="preserve"> AI-based</w:t>
      </w:r>
      <w:r w:rsidR="00347C7C">
        <w:t xml:space="preserve">, </w:t>
      </w:r>
      <w:r w:rsidR="00F61709">
        <w:t xml:space="preserve">virtual line of </w:t>
      </w:r>
      <w:proofErr w:type="gramStart"/>
      <w:r w:rsidR="00F61709">
        <w:t xml:space="preserve">sight </w:t>
      </w:r>
      <w:r w:rsidR="00E90EFA">
        <w:t xml:space="preserve"> measurement</w:t>
      </w:r>
      <w:proofErr w:type="gramEnd"/>
      <w:r w:rsidR="00E90EFA">
        <w:t xml:space="preserve"> </w:t>
      </w:r>
      <w:r w:rsidR="00500691">
        <w:t xml:space="preserve">as demanded </w:t>
      </w:r>
      <w:r w:rsidR="00E90EFA">
        <w:t>in the measurement request</w:t>
      </w:r>
      <w:r w:rsidR="00500691">
        <w:t xml:space="preserve"> from LMF</w:t>
      </w:r>
      <w:r w:rsidR="00E90EFA">
        <w:t xml:space="preserve">. In that case the </w:t>
      </w:r>
      <w:r w:rsidR="00CC52CC">
        <w:t xml:space="preserve">indication is not needed. </w:t>
      </w:r>
      <w:r w:rsidR="00CE6D11">
        <w:t xml:space="preserve"> During RAN1#11</w:t>
      </w:r>
      <w:r w:rsidR="00586291">
        <w:t>8bis</w:t>
      </w:r>
      <w:r w:rsidR="00CE6D11">
        <w:t xml:space="preserve">, </w:t>
      </w:r>
      <w:r w:rsidR="00AE6CC0">
        <w:t xml:space="preserve">a common understanding was reached </w:t>
      </w:r>
      <w:r w:rsidR="006F634A">
        <w:t xml:space="preserve">that a </w:t>
      </w:r>
      <w:r w:rsidR="00BD2491">
        <w:t>differentiation</w:t>
      </w:r>
      <w:r w:rsidR="006F634A">
        <w:t xml:space="preserve"> between a </w:t>
      </w:r>
      <w:r w:rsidR="00374389">
        <w:t xml:space="preserve">Rel19 </w:t>
      </w:r>
      <w:r w:rsidR="006F634A">
        <w:t xml:space="preserve">report and a </w:t>
      </w:r>
      <w:r w:rsidR="00374389">
        <w:t xml:space="preserve">Rel18 </w:t>
      </w:r>
      <w:r w:rsidR="00576B0F">
        <w:t>(and before)</w:t>
      </w:r>
      <w:r w:rsidR="006F634A">
        <w:t xml:space="preserve"> report would be enough</w:t>
      </w:r>
      <w:r w:rsidR="00576B0F">
        <w:t xml:space="preserve">, without the need of identifying a model output </w:t>
      </w:r>
      <w:r w:rsidR="00BD2491">
        <w:t>explicitly</w:t>
      </w:r>
      <w:r w:rsidR="007F5F92">
        <w:t>, as reflected in the agreement on the report of timing informatio</w:t>
      </w:r>
      <w:r w:rsidR="00995958">
        <w:t xml:space="preserve">n. </w:t>
      </w:r>
      <w:r w:rsidR="00374389">
        <w:t xml:space="preserve">In this case, </w:t>
      </w:r>
    </w:p>
    <w:p w14:paraId="07BDD411" w14:textId="120E3238" w:rsidR="00374389" w:rsidRDefault="00374389" w:rsidP="00374389">
      <w:pPr>
        <w:pStyle w:val="ListParagraph"/>
        <w:numPr>
          <w:ilvl w:val="0"/>
          <w:numId w:val="15"/>
        </w:numPr>
      </w:pPr>
      <w:r>
        <w:t>A Rel-18 (and before) timing report provides TOA for physical path, where the TOA can be generated by legacy method or AI/ML.</w:t>
      </w:r>
    </w:p>
    <w:p w14:paraId="7E1D246C" w14:textId="6CC23CA2" w:rsidR="00374389" w:rsidRDefault="00374389" w:rsidP="009B50E3">
      <w:pPr>
        <w:pStyle w:val="ListParagraph"/>
        <w:numPr>
          <w:ilvl w:val="0"/>
          <w:numId w:val="15"/>
        </w:numPr>
      </w:pPr>
      <w:r>
        <w:t>A Rel-19 timing report provides TOA for virtual path, where the TOA is generated by AI/ML only.</w:t>
      </w:r>
    </w:p>
    <w:p w14:paraId="12E60C72" w14:textId="77777777" w:rsidR="00374389" w:rsidRDefault="00374389" w:rsidP="00840BF0"/>
    <w:p w14:paraId="5CEB067B" w14:textId="70694E19" w:rsidR="00995958" w:rsidRDefault="00995958" w:rsidP="00840BF0">
      <w:r>
        <w:t xml:space="preserve">In RAN1#119, the </w:t>
      </w:r>
      <w:r w:rsidR="00226E01">
        <w:t>issue was discussed but did not converge, with one proposal updated as follow:</w:t>
      </w:r>
    </w:p>
    <w:p w14:paraId="19B4548E" w14:textId="77777777" w:rsidR="00226E01" w:rsidRDefault="00226E01" w:rsidP="00840BF0"/>
    <w:tbl>
      <w:tblPr>
        <w:tblStyle w:val="TableGrid"/>
        <w:tblW w:w="0" w:type="auto"/>
        <w:tblLook w:val="04A0" w:firstRow="1" w:lastRow="0" w:firstColumn="1" w:lastColumn="0" w:noHBand="0" w:noVBand="1"/>
      </w:tblPr>
      <w:tblGrid>
        <w:gridCol w:w="9962"/>
      </w:tblGrid>
      <w:tr w:rsidR="00A738DF" w14:paraId="74E3092D" w14:textId="77777777" w:rsidTr="00A738DF">
        <w:tc>
          <w:tcPr>
            <w:tcW w:w="9962" w:type="dxa"/>
          </w:tcPr>
          <w:p w14:paraId="49CEE435" w14:textId="77777777" w:rsidR="00A738DF" w:rsidRDefault="00A738DF" w:rsidP="00A738DF">
            <w:pPr>
              <w:rPr>
                <w:b/>
                <w:bCs/>
                <w:u w:val="single"/>
              </w:rPr>
            </w:pPr>
            <w:r w:rsidRPr="00CB5327">
              <w:rPr>
                <w:b/>
                <w:bCs/>
                <w:u w:val="single"/>
              </w:rPr>
              <w:t>Proposal 3.1.5-1</w:t>
            </w:r>
          </w:p>
          <w:p w14:paraId="2115A0BE" w14:textId="0BC2D30C" w:rsidR="00A738DF" w:rsidRDefault="00A738DF" w:rsidP="00A738DF">
            <w:r>
              <w:lastRenderedPageBreak/>
              <w:t xml:space="preserve">For measurement report of AI/ML assisted positioning Case 3a, when timing information is reported from </w:t>
            </w:r>
            <w:proofErr w:type="spellStart"/>
            <w:r>
              <w:t>gNB</w:t>
            </w:r>
            <w:proofErr w:type="spellEnd"/>
            <w:r>
              <w:t xml:space="preserve"> to LMF, LMF </w:t>
            </w:r>
            <w:r>
              <w:rPr>
                <w:color w:val="FF0000"/>
              </w:rPr>
              <w:t>shall be able to d</w:t>
            </w:r>
            <w:r w:rsidR="003D4819">
              <w:rPr>
                <w:color w:val="FF0000"/>
              </w:rPr>
              <w:t>i</w:t>
            </w:r>
            <w:r>
              <w:rPr>
                <w:color w:val="FF0000"/>
              </w:rPr>
              <w:t xml:space="preserve">stinguish </w:t>
            </w:r>
            <w:r>
              <w:t xml:space="preserve">whether the timing information is obtained by legacy method or by </w:t>
            </w:r>
            <w:r>
              <w:rPr>
                <w:color w:val="FF0000"/>
              </w:rPr>
              <w:t>Rel-19</w:t>
            </w:r>
            <w:r>
              <w:t xml:space="preserve">. </w:t>
            </w:r>
          </w:p>
          <w:p w14:paraId="046369EB" w14:textId="200FAA5F" w:rsidR="00A738DF" w:rsidRPr="009B50E3" w:rsidRDefault="00A738DF" w:rsidP="00840BF0">
            <w:pPr>
              <w:rPr>
                <w:color w:val="FF0000"/>
              </w:rPr>
            </w:pPr>
            <w:r>
              <w:rPr>
                <w:color w:val="FF0000"/>
              </w:rPr>
              <w:t>FFS: how to ensure that LMF can distinguish</w:t>
            </w:r>
          </w:p>
        </w:tc>
      </w:tr>
    </w:tbl>
    <w:p w14:paraId="3562CF67" w14:textId="0EBF84FA" w:rsidR="00A738DF" w:rsidRDefault="0027528F" w:rsidP="00840BF0">
      <w:r>
        <w:lastRenderedPageBreak/>
        <w:t>Moreover, RAN3 also discussed the interpretation with the following understanding captured in the chair’s notes</w:t>
      </w:r>
      <w:r w:rsidR="005C29C0">
        <w:t xml:space="preserve"> at RAN3#126</w:t>
      </w:r>
      <w:r>
        <w:t>:</w:t>
      </w:r>
    </w:p>
    <w:tbl>
      <w:tblPr>
        <w:tblStyle w:val="TableGrid"/>
        <w:tblW w:w="0" w:type="auto"/>
        <w:tblLook w:val="04A0" w:firstRow="1" w:lastRow="0" w:firstColumn="1" w:lastColumn="0" w:noHBand="0" w:noVBand="1"/>
      </w:tblPr>
      <w:tblGrid>
        <w:gridCol w:w="9962"/>
      </w:tblGrid>
      <w:tr w:rsidR="0027528F" w:rsidRPr="008831AB" w14:paraId="552E3C3C" w14:textId="77777777" w:rsidTr="0027528F">
        <w:tc>
          <w:tcPr>
            <w:tcW w:w="9962" w:type="dxa"/>
          </w:tcPr>
          <w:p w14:paraId="18D81343" w14:textId="77777777" w:rsidR="0027528F" w:rsidRPr="009B50E3" w:rsidRDefault="0027528F" w:rsidP="002752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9B50E3">
              <w:rPr>
                <w:rFonts w:ascii="Helvetica Neue" w:eastAsia="MS Mincho" w:hAnsi="Helvetica Neue" w:cs="Helvetica Neue"/>
                <w:color w:val="000000"/>
                <w:kern w:val="0"/>
                <w:sz w:val="21"/>
                <w:szCs w:val="21"/>
                <w:lang w:eastAsia="en-GB"/>
                <w14:ligatures w14:val="none"/>
              </w:rPr>
              <w:t>RAN3 agreed that the mechanisms and IEs can be reused:</w:t>
            </w:r>
          </w:p>
          <w:p w14:paraId="3467B66D" w14:textId="77777777" w:rsidR="0027528F" w:rsidRPr="009B50E3" w:rsidRDefault="0027528F" w:rsidP="002752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09CE3936" w14:textId="77777777" w:rsidR="0027528F" w:rsidRPr="009B50E3" w:rsidRDefault="0027528F" w:rsidP="002752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9B50E3">
              <w:rPr>
                <w:rFonts w:ascii="Helvetica Neue" w:eastAsia="MS Mincho" w:hAnsi="Helvetica Neue" w:cs="Helvetica Neue"/>
                <w:color w:val="000000"/>
                <w:kern w:val="0"/>
                <w:sz w:val="21"/>
                <w:szCs w:val="21"/>
                <w:lang w:eastAsia="en-GB"/>
                <w14:ligatures w14:val="none"/>
              </w:rPr>
              <w:t>-</w:t>
            </w:r>
            <w:proofErr w:type="spellStart"/>
            <w:r w:rsidRPr="009B50E3">
              <w:rPr>
                <w:rFonts w:ascii="Helvetica Neue" w:eastAsia="MS Mincho" w:hAnsi="Helvetica Neue" w:cs="Helvetica Neue"/>
                <w:b/>
                <w:bCs/>
                <w:color w:val="0F6F01"/>
                <w:kern w:val="0"/>
                <w:sz w:val="21"/>
                <w:szCs w:val="21"/>
                <w:lang w:eastAsia="en-GB"/>
                <w14:ligatures w14:val="none"/>
              </w:rPr>
              <w:t>Signalling</w:t>
            </w:r>
            <w:proofErr w:type="spellEnd"/>
            <w:r w:rsidRPr="009B50E3">
              <w:rPr>
                <w:rFonts w:ascii="Helvetica Neue" w:eastAsia="MS Mincho" w:hAnsi="Helvetica Neue" w:cs="Helvetica Neue"/>
                <w:b/>
                <w:bCs/>
                <w:color w:val="0F6F01"/>
                <w:kern w:val="0"/>
                <w:sz w:val="21"/>
                <w:szCs w:val="21"/>
                <w:lang w:eastAsia="en-GB"/>
                <w14:ligatures w14:val="none"/>
              </w:rPr>
              <w:t xml:space="preserve"> of measurements as the inference output for case 3a can re-use the existing procedures for positioning measurement specified over </w:t>
            </w:r>
            <w:proofErr w:type="spellStart"/>
            <w:r w:rsidRPr="009B50E3">
              <w:rPr>
                <w:rFonts w:ascii="Helvetica Neue" w:eastAsia="MS Mincho" w:hAnsi="Helvetica Neue" w:cs="Helvetica Neue"/>
                <w:b/>
                <w:bCs/>
                <w:color w:val="0F6F01"/>
                <w:kern w:val="0"/>
                <w:sz w:val="21"/>
                <w:szCs w:val="21"/>
                <w:lang w:eastAsia="en-GB"/>
                <w14:ligatures w14:val="none"/>
              </w:rPr>
              <w:t>NRPPa</w:t>
            </w:r>
            <w:proofErr w:type="spellEnd"/>
            <w:r w:rsidRPr="009B50E3">
              <w:rPr>
                <w:rFonts w:ascii="Helvetica Neue" w:eastAsia="MS Mincho" w:hAnsi="Helvetica Neue" w:cs="Helvetica Neue"/>
                <w:b/>
                <w:bCs/>
                <w:color w:val="0F6F01"/>
                <w:kern w:val="0"/>
                <w:sz w:val="21"/>
                <w:szCs w:val="21"/>
                <w:lang w:eastAsia="en-GB"/>
                <w14:ligatures w14:val="none"/>
              </w:rPr>
              <w:t>.</w:t>
            </w:r>
          </w:p>
          <w:p w14:paraId="283D4DCE" w14:textId="77777777" w:rsidR="008831AB" w:rsidRPr="009B50E3" w:rsidRDefault="008831AB" w:rsidP="002752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287D6357" w14:textId="77777777" w:rsidR="0027528F" w:rsidRPr="009B50E3" w:rsidRDefault="0027528F" w:rsidP="002752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9B50E3">
              <w:rPr>
                <w:rFonts w:ascii="Helvetica Neue" w:eastAsia="MS Mincho" w:hAnsi="Helvetica Neue" w:cs="Helvetica Neue"/>
                <w:color w:val="149FEC"/>
                <w:kern w:val="0"/>
                <w:sz w:val="21"/>
                <w:szCs w:val="21"/>
                <w:lang w:eastAsia="en-GB"/>
                <w14:ligatures w14:val="none"/>
              </w:rPr>
              <w:t>›</w:t>
            </w:r>
            <w:r w:rsidRPr="009B50E3">
              <w:rPr>
                <w:rFonts w:ascii="Helvetica Neue" w:eastAsia="MS Mincho" w:hAnsi="Helvetica Neue" w:cs="Helvetica Neue"/>
                <w:color w:val="474747"/>
                <w:kern w:val="0"/>
                <w:sz w:val="21"/>
                <w:szCs w:val="21"/>
                <w:lang w:eastAsia="en-GB"/>
                <w14:ligatures w14:val="none"/>
              </w:rPr>
              <w:t>One open point on the procedures for the LMF to request positioning data for case 3a is the following:</w:t>
            </w:r>
          </w:p>
          <w:p w14:paraId="0CD7FDBF" w14:textId="6D58D5A6" w:rsidR="0027528F" w:rsidRPr="009B50E3" w:rsidRDefault="0027528F" w:rsidP="0027528F">
            <w:pPr>
              <w:rPr>
                <w:sz w:val="21"/>
                <w:szCs w:val="21"/>
              </w:rPr>
            </w:pPr>
            <w:r w:rsidRPr="009B50E3">
              <w:rPr>
                <w:rFonts w:ascii="Helvetica Neue" w:eastAsia="MS Mincho" w:hAnsi="Helvetica Neue" w:cs="Helvetica Neue"/>
                <w:b/>
                <w:bCs/>
                <w:color w:val="0000FF"/>
                <w:kern w:val="0"/>
                <w:sz w:val="21"/>
                <w:szCs w:val="21"/>
                <w:lang w:eastAsia="en-GB"/>
                <w14:ligatures w14:val="none"/>
              </w:rPr>
              <w:t>FFS if LMF should be aware that the reported measurements are AI/ML generated.</w:t>
            </w:r>
          </w:p>
        </w:tc>
      </w:tr>
    </w:tbl>
    <w:p w14:paraId="611050F1" w14:textId="77777777" w:rsidR="0027528F" w:rsidRDefault="0027528F" w:rsidP="00840BF0"/>
    <w:p w14:paraId="26D50E38" w14:textId="0D0EADE8" w:rsidR="00E90151" w:rsidRPr="00E215F0" w:rsidRDefault="00ED3BD1" w:rsidP="00840BF0">
      <w:r>
        <w:t xml:space="preserve">Hence, for RAN3 to progress, RAN1 should conclude on whether LMF need some awareness to distinguish </w:t>
      </w:r>
      <w:r w:rsidR="00B23E81">
        <w:t>R</w:t>
      </w:r>
      <w:r>
        <w:t>el</w:t>
      </w:r>
      <w:r w:rsidR="00B23E81">
        <w:t>-</w:t>
      </w:r>
      <w:r>
        <w:t xml:space="preserve">19 timing measurement from legacy.  </w:t>
      </w:r>
      <w:r w:rsidR="00E153EF">
        <w:t xml:space="preserve">Our view is that </w:t>
      </w:r>
      <w:r w:rsidR="00FA6A02" w:rsidRPr="00FA6A02">
        <w:t>Proposal 3.1.5-1</w:t>
      </w:r>
      <w:r w:rsidR="00FA6A02">
        <w:t xml:space="preserve"> from RAN1#119 </w:t>
      </w:r>
      <w:r w:rsidR="00BA5B19">
        <w:t xml:space="preserve">can be updated to </w:t>
      </w:r>
      <w:r w:rsidR="00FA6A02">
        <w:t>address</w:t>
      </w:r>
      <w:r w:rsidR="00B23E81">
        <w:t>es</w:t>
      </w:r>
      <w:r w:rsidR="00FA6A02">
        <w:t xml:space="preserve"> the </w:t>
      </w:r>
      <w:proofErr w:type="gramStart"/>
      <w:r w:rsidR="00FA6A02">
        <w:t>issue, and</w:t>
      </w:r>
      <w:proofErr w:type="gramEnd"/>
      <w:r w:rsidR="00FA6A02">
        <w:t xml:space="preserve"> </w:t>
      </w:r>
      <w:r w:rsidR="00E153EF">
        <w:t xml:space="preserve">allows to support </w:t>
      </w:r>
      <w:r w:rsidR="00B23E81">
        <w:t>C</w:t>
      </w:r>
      <w:r w:rsidR="00E153EF">
        <w:t xml:space="preserve">ase 3a where </w:t>
      </w:r>
      <w:r w:rsidR="00BA5B19">
        <w:t xml:space="preserve">depending on the model design choice, </w:t>
      </w:r>
      <w:r w:rsidR="00E153EF">
        <w:t xml:space="preserve">the model output can be </w:t>
      </w:r>
      <w:r w:rsidR="00BA5B19">
        <w:t>both</w:t>
      </w:r>
      <w:r w:rsidR="00E153EF">
        <w:t xml:space="preserve"> </w:t>
      </w:r>
      <w:r w:rsidR="00B23E81">
        <w:t xml:space="preserve">the timing information for </w:t>
      </w:r>
      <w:r w:rsidR="00E153EF">
        <w:t xml:space="preserve">a virtual LOS </w:t>
      </w:r>
      <w:r w:rsidR="00B23E81">
        <w:t xml:space="preserve">path, </w:t>
      </w:r>
      <w:r w:rsidR="00E153EF">
        <w:t xml:space="preserve">but can also be backward compatible with </w:t>
      </w:r>
      <w:r w:rsidR="00B23E81">
        <w:t>the timing info of R</w:t>
      </w:r>
      <w:r w:rsidR="00E153EF">
        <w:t>el18</w:t>
      </w:r>
      <w:r w:rsidR="00B23E81">
        <w:t xml:space="preserve"> physical LOS path</w:t>
      </w:r>
      <w:r w:rsidR="00E153EF">
        <w:t>.</w:t>
      </w:r>
      <w:r w:rsidR="004C372F">
        <w:t xml:space="preserve"> We propose to clarify what is implied by </w:t>
      </w:r>
      <w:r w:rsidR="00BA5B19">
        <w:t>R</w:t>
      </w:r>
      <w:r w:rsidR="004C372F">
        <w:t>el-19</w:t>
      </w:r>
      <w:r w:rsidR="00BA5B19">
        <w:t xml:space="preserve"> report</w:t>
      </w:r>
      <w:r w:rsidR="004C372F">
        <w:t xml:space="preserve">, which is that the timing information and LOS information are decoupled, and that timing information is reported for virtual </w:t>
      </w:r>
      <w:r w:rsidR="00CB5327">
        <w:t xml:space="preserve">LOS. </w:t>
      </w:r>
      <w:r w:rsidR="00840BF0">
        <w:t xml:space="preserve"> </w:t>
      </w:r>
    </w:p>
    <w:p w14:paraId="7D37F191" w14:textId="059F68B1" w:rsidR="003D34B6" w:rsidRPr="00E215F0" w:rsidRDefault="00145FDD" w:rsidP="002938DE">
      <w:pPr>
        <w:pStyle w:val="Observation"/>
      </w:pPr>
      <w:bookmarkStart w:id="1983" w:name="_Toc158978331"/>
      <w:bookmarkStart w:id="1984" w:name="_Toc161827827"/>
      <w:bookmarkStart w:id="1985" w:name="_Toc189845080"/>
      <w:r w:rsidRPr="00E215F0">
        <w:t>The LOS/NLOS indicator in legacy positioning report</w:t>
      </w:r>
      <w:r w:rsidR="00B95011" w:rsidRPr="00E215F0">
        <w:t xml:space="preserve"> is a measure of the reliability of the measurement report</w:t>
      </w:r>
      <w:bookmarkEnd w:id="1983"/>
      <w:r w:rsidR="00974994">
        <w:t>.</w:t>
      </w:r>
      <w:bookmarkEnd w:id="1984"/>
      <w:bookmarkEnd w:id="1985"/>
    </w:p>
    <w:p w14:paraId="40ACFABD" w14:textId="71CBA6EF" w:rsidR="006C77E5" w:rsidRDefault="00B95011" w:rsidP="009B50E3">
      <w:pPr>
        <w:pStyle w:val="Observation"/>
      </w:pPr>
      <w:bookmarkStart w:id="1986" w:name="_Toc158978332"/>
      <w:bookmarkStart w:id="1987" w:name="_Toc161827828"/>
      <w:bookmarkStart w:id="1988" w:name="_Toc189845081"/>
      <w:r w:rsidRPr="00E215F0">
        <w:t xml:space="preserve">AI/ML assisted positioning </w:t>
      </w:r>
      <w:r w:rsidR="00E90418" w:rsidRPr="00E215F0">
        <w:t>can provide measurement report of the NLOS channel with high confidence</w:t>
      </w:r>
      <w:bookmarkEnd w:id="1986"/>
      <w:r w:rsidR="00974994">
        <w:t>.</w:t>
      </w:r>
      <w:bookmarkStart w:id="1989" w:name="_Toc185245531"/>
      <w:bookmarkStart w:id="1990" w:name="_Toc189125098"/>
      <w:bookmarkStart w:id="1991" w:name="_Toc189835381"/>
      <w:bookmarkEnd w:id="1987"/>
      <w:bookmarkEnd w:id="1989"/>
      <w:bookmarkEnd w:id="1990"/>
      <w:bookmarkEnd w:id="1991"/>
      <w:bookmarkEnd w:id="1988"/>
    </w:p>
    <w:p w14:paraId="7EB6B717" w14:textId="57BF9553" w:rsidR="00BA5B19" w:rsidRDefault="00BA5B19" w:rsidP="00665FAE">
      <w:pPr>
        <w:pStyle w:val="Proposal"/>
      </w:pPr>
      <w:bookmarkStart w:id="1992" w:name="_Toc189845118"/>
      <w:r>
        <w:t xml:space="preserve">For measurement report of AI/ML assisted positioning Case 3a, when timing information is reported from </w:t>
      </w:r>
      <w:proofErr w:type="spellStart"/>
      <w:r>
        <w:t>gNB</w:t>
      </w:r>
      <w:proofErr w:type="spellEnd"/>
      <w:r>
        <w:t xml:space="preserve"> to LMF, the timing information is for virtual LOS link if carried in a new Rel-19 measurement report, and the timing information is for physical LOS link if carried in a legacy measurement report (Rel-18 or prior).</w:t>
      </w:r>
      <w:bookmarkEnd w:id="1992"/>
      <w:r>
        <w:t xml:space="preserve"> </w:t>
      </w:r>
    </w:p>
    <w:p w14:paraId="5438A507" w14:textId="77777777" w:rsidR="00A373D3" w:rsidRDefault="00A373D3" w:rsidP="00A373D3">
      <w:pPr>
        <w:pStyle w:val="Proposal"/>
      </w:pPr>
      <w:bookmarkStart w:id="1993" w:name="_Toc189845119"/>
      <w:r>
        <w:t>For Rel-19 measurement report, t</w:t>
      </w:r>
      <w:r w:rsidRPr="00E215F0">
        <w:t>he LOS/NLOS indicator</w:t>
      </w:r>
      <w:r>
        <w:t xml:space="preserve"> (for physical LOS link) is decoupled from the timing information reporting (for virtual LOS link).</w:t>
      </w:r>
      <w:bookmarkEnd w:id="1993"/>
    </w:p>
    <w:p w14:paraId="0F98D3FC" w14:textId="1180367B" w:rsidR="00D9351D" w:rsidRDefault="00D9351D" w:rsidP="00665FAE">
      <w:pPr>
        <w:pStyle w:val="Proposal"/>
      </w:pPr>
      <w:bookmarkStart w:id="1994" w:name="_Toc189845120"/>
      <w:r>
        <w:t>Support reporting (optionally) a LOS/NLOS indicator</w:t>
      </w:r>
      <w:r w:rsidR="00366FE5">
        <w:t xml:space="preserve"> </w:t>
      </w:r>
      <w:r w:rsidR="008D5DC4" w:rsidRPr="00242291">
        <w:t>when timing information is reported for Rel-19</w:t>
      </w:r>
      <w:r w:rsidR="008D5DC4" w:rsidRPr="00242291">
        <w:rPr>
          <w:rFonts w:eastAsia="DengXian" w:hint="eastAsia"/>
          <w:lang w:eastAsia="zh-CN"/>
        </w:rPr>
        <w:t xml:space="preserve"> </w:t>
      </w:r>
      <w:r w:rsidR="008D5DC4" w:rsidRPr="00242291">
        <w:t>AI/ML positioning Case 3a</w:t>
      </w:r>
      <w:r w:rsidR="00D27E00">
        <w:t>.</w:t>
      </w:r>
      <w:bookmarkEnd w:id="1994"/>
    </w:p>
    <w:p w14:paraId="744275A0" w14:textId="77777777" w:rsidR="004A0D64" w:rsidRDefault="004A0D64" w:rsidP="004A0D64">
      <w:bookmarkStart w:id="1995" w:name="_Toc178786081"/>
      <w:bookmarkStart w:id="1996" w:name="_Toc178929433"/>
      <w:bookmarkStart w:id="1997" w:name="_Toc178786082"/>
      <w:bookmarkStart w:id="1998" w:name="_Toc178929434"/>
      <w:bookmarkStart w:id="1999" w:name="_Toc163145247"/>
      <w:bookmarkStart w:id="2000" w:name="_Toc163145476"/>
      <w:bookmarkStart w:id="2001" w:name="_Toc163148021"/>
      <w:bookmarkStart w:id="2002" w:name="_Toc163145249"/>
      <w:bookmarkStart w:id="2003" w:name="_Toc163145478"/>
      <w:bookmarkStart w:id="2004" w:name="_Toc163148023"/>
      <w:bookmarkStart w:id="2005" w:name="_Toc163145250"/>
      <w:bookmarkStart w:id="2006" w:name="_Toc163145479"/>
      <w:bookmarkStart w:id="2007" w:name="_Toc163148024"/>
      <w:bookmarkStart w:id="2008" w:name="_Toc158978388"/>
      <w:bookmarkStart w:id="2009" w:name="_Toc159073371"/>
      <w:bookmarkStart w:id="2010" w:name="_Toc159157561"/>
      <w:bookmarkStart w:id="2011" w:name="_Toc159161192"/>
      <w:bookmarkStart w:id="2012" w:name="_Toc159172944"/>
      <w:bookmarkStart w:id="2013" w:name="_Toc158978389"/>
      <w:bookmarkStart w:id="2014" w:name="_Toc159073372"/>
      <w:bookmarkStart w:id="2015" w:name="_Toc159157562"/>
      <w:bookmarkStart w:id="2016" w:name="_Toc159161193"/>
      <w:bookmarkStart w:id="2017" w:name="_Toc159172945"/>
      <w:bookmarkStart w:id="2018" w:name="_Toc158978390"/>
      <w:bookmarkStart w:id="2019" w:name="_Toc159073373"/>
      <w:bookmarkStart w:id="2020" w:name="_Toc159157563"/>
      <w:bookmarkStart w:id="2021" w:name="_Toc159161194"/>
      <w:bookmarkStart w:id="2022" w:name="_Toc159172946"/>
      <w:bookmarkStart w:id="2023" w:name="_Toc158978391"/>
      <w:bookmarkStart w:id="2024" w:name="_Toc159073374"/>
      <w:bookmarkStart w:id="2025" w:name="_Toc159157564"/>
      <w:bookmarkStart w:id="2026" w:name="_Toc159161195"/>
      <w:bookmarkStart w:id="2027" w:name="_Toc159172947"/>
      <w:bookmarkStart w:id="2028" w:name="_Toc158978392"/>
      <w:bookmarkStart w:id="2029" w:name="_Toc159073375"/>
      <w:bookmarkStart w:id="2030" w:name="_Toc159157565"/>
      <w:bookmarkStart w:id="2031" w:name="_Toc159161196"/>
      <w:bookmarkStart w:id="2032" w:name="_Toc159172948"/>
      <w:bookmarkStart w:id="2033" w:name="_Toc173851162"/>
      <w:bookmarkStart w:id="2034" w:name="_Toc17394091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20291D67" w14:textId="75B81062" w:rsidR="00FA31E8" w:rsidRPr="00E16CCD" w:rsidRDefault="00E31316" w:rsidP="00FA31E8">
      <w:pPr>
        <w:pStyle w:val="Heading4"/>
      </w:pPr>
      <w:bookmarkStart w:id="2035" w:name="_Toc189845027"/>
      <w:r w:rsidRPr="00E16CCD">
        <w:t>Reporting of a</w:t>
      </w:r>
      <w:r w:rsidR="00FA31E8" w:rsidRPr="00E16CCD">
        <w:t xml:space="preserve"> of LOS/NLOS indicator</w:t>
      </w:r>
      <w:r w:rsidR="002E5408" w:rsidRPr="00E16CCD">
        <w:t xml:space="preserve"> based on model output</w:t>
      </w:r>
      <w:bookmarkEnd w:id="2035"/>
    </w:p>
    <w:p w14:paraId="32E3FA5C" w14:textId="2F24BE6D" w:rsidR="00CE7D24" w:rsidRDefault="00CE7D24" w:rsidP="004A0D64">
      <w:r>
        <w:t xml:space="preserve">As explained in section 4.1.1.1, the LOS information in a case 3a report must be decoupled from a timing </w:t>
      </w:r>
      <w:r w:rsidR="00B35E94">
        <w:t xml:space="preserve">measurement. </w:t>
      </w:r>
      <w:r w:rsidR="00E1595F">
        <w:t>When generated by the AI/ML model, t</w:t>
      </w:r>
      <w:r w:rsidR="00B35E94">
        <w:t xml:space="preserve">he timing measurement is always a “LOS” measurement, </w:t>
      </w:r>
      <w:proofErr w:type="gramStart"/>
      <w:r w:rsidR="0014532C">
        <w:t>that is to say a</w:t>
      </w:r>
      <w:proofErr w:type="gramEnd"/>
      <w:r w:rsidR="0014532C">
        <w:t xml:space="preserve"> time-of-flight measurement, so that the corresponding indicator would always be a “LOS”, and thus be completely meaningless to report. </w:t>
      </w:r>
      <w:r w:rsidR="007E4A06">
        <w:t xml:space="preserve">A decoupled LOS estimate, reflecting the physical nature of the channel, would however convey useful information. </w:t>
      </w:r>
      <w:r w:rsidR="002C75CA">
        <w:t xml:space="preserve"> </w:t>
      </w:r>
    </w:p>
    <w:p w14:paraId="439A8F21" w14:textId="6E60BC03" w:rsidR="00D3004D" w:rsidRDefault="001534B3" w:rsidP="004A0D64">
      <w:r>
        <w:t xml:space="preserve">The definition of the LOS indicator should in our view be left </w:t>
      </w:r>
      <w:proofErr w:type="gramStart"/>
      <w:r>
        <w:t>unchanged, and</w:t>
      </w:r>
      <w:proofErr w:type="gramEnd"/>
      <w:r>
        <w:t xml:space="preserve"> reflect the physical nature of the channel as in </w:t>
      </w:r>
      <w:r w:rsidR="009F360E">
        <w:t>Rel-</w:t>
      </w:r>
      <w:r>
        <w:t>18</w:t>
      </w:r>
      <w:r w:rsidR="009F360E">
        <w:t xml:space="preserve"> and prior</w:t>
      </w:r>
      <w:r>
        <w:t xml:space="preserve">. What remains to discuss is whether the LOS indicator should be </w:t>
      </w:r>
      <w:r w:rsidR="00EB7612">
        <w:t xml:space="preserve">identified </w:t>
      </w:r>
      <w:r w:rsidR="00873B4B">
        <w:t xml:space="preserve">based on how it was derived, e.g. based on a model output or </w:t>
      </w:r>
      <w:r w:rsidR="0070587D">
        <w:t>pre-</w:t>
      </w:r>
      <w:r w:rsidR="00550BF8">
        <w:t xml:space="preserve">Rel19 </w:t>
      </w:r>
      <w:r w:rsidR="0070587D">
        <w:t xml:space="preserve">methods (which does not say anything on how the indicator was computed). </w:t>
      </w:r>
      <w:r w:rsidR="00AF1110">
        <w:t xml:space="preserve"> RAN3 has also concluded in the same direction during the November 2024 WG meeting</w:t>
      </w:r>
      <w:r w:rsidR="00D3004D">
        <w:t>:</w:t>
      </w:r>
    </w:p>
    <w:tbl>
      <w:tblPr>
        <w:tblStyle w:val="TableGrid"/>
        <w:tblW w:w="0" w:type="auto"/>
        <w:tblLook w:val="04A0" w:firstRow="1" w:lastRow="0" w:firstColumn="1" w:lastColumn="0" w:noHBand="0" w:noVBand="1"/>
      </w:tblPr>
      <w:tblGrid>
        <w:gridCol w:w="9962"/>
      </w:tblGrid>
      <w:tr w:rsidR="00D3004D" w14:paraId="0873D8DA" w14:textId="77777777" w:rsidTr="00D3004D">
        <w:tc>
          <w:tcPr>
            <w:tcW w:w="9962" w:type="dxa"/>
          </w:tcPr>
          <w:p w14:paraId="44B3CBE1" w14:textId="13446058" w:rsidR="00D3004D" w:rsidRPr="0037208E" w:rsidRDefault="00D3004D" w:rsidP="00D300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Pr>
                <w:rFonts w:ascii="Helvetica Neue" w:eastAsia="MS Mincho" w:hAnsi="Helvetica Neue" w:cs="Helvetica Neue"/>
                <w:color w:val="000000"/>
                <w:kern w:val="0"/>
                <w:sz w:val="21"/>
                <w:szCs w:val="21"/>
                <w:lang w:eastAsia="en-GB"/>
                <w14:ligatures w14:val="none"/>
              </w:rPr>
              <w:t>RAN3#</w:t>
            </w:r>
            <w:r w:rsidR="005C29C0">
              <w:rPr>
                <w:rFonts w:ascii="Helvetica Neue" w:eastAsia="MS Mincho" w:hAnsi="Helvetica Neue" w:cs="Helvetica Neue"/>
                <w:color w:val="000000"/>
                <w:kern w:val="0"/>
                <w:sz w:val="21"/>
                <w:szCs w:val="21"/>
                <w:lang w:eastAsia="en-GB"/>
                <w14:ligatures w14:val="none"/>
              </w:rPr>
              <w:t>126</w:t>
            </w:r>
            <w:r>
              <w:rPr>
                <w:rFonts w:ascii="Helvetica Neue" w:eastAsia="MS Mincho" w:hAnsi="Helvetica Neue" w:cs="Helvetica Neue"/>
                <w:color w:val="000000"/>
                <w:kern w:val="0"/>
                <w:sz w:val="21"/>
                <w:szCs w:val="21"/>
                <w:lang w:eastAsia="en-GB"/>
                <w14:ligatures w14:val="none"/>
              </w:rPr>
              <w:t>:</w:t>
            </w:r>
          </w:p>
          <w:p w14:paraId="40A158F8" w14:textId="110BF11C" w:rsidR="00D3004D" w:rsidRPr="0037208E" w:rsidRDefault="00D3004D" w:rsidP="00D300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p>
          <w:p w14:paraId="08DF00F5" w14:textId="77777777" w:rsidR="00D3004D" w:rsidRPr="0037208E" w:rsidRDefault="00D3004D" w:rsidP="00D300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Helvetica Neue" w:eastAsia="MS Mincho" w:hAnsi="Helvetica Neue" w:cs="Helvetica Neue"/>
                <w:color w:val="000000"/>
                <w:kern w:val="0"/>
                <w:sz w:val="21"/>
                <w:szCs w:val="21"/>
                <w:lang w:eastAsia="en-GB"/>
                <w14:ligatures w14:val="none"/>
              </w:rPr>
            </w:pPr>
            <w:r w:rsidRPr="0037208E">
              <w:rPr>
                <w:rFonts w:ascii="Helvetica Neue" w:eastAsia="MS Mincho" w:hAnsi="Helvetica Neue" w:cs="Helvetica Neue"/>
                <w:color w:val="149FEC"/>
                <w:kern w:val="0"/>
                <w:sz w:val="21"/>
                <w:szCs w:val="21"/>
                <w:lang w:eastAsia="en-GB"/>
                <w14:ligatures w14:val="none"/>
              </w:rPr>
              <w:t>›</w:t>
            </w:r>
            <w:r w:rsidRPr="0037208E">
              <w:rPr>
                <w:rFonts w:ascii="Helvetica Neue" w:eastAsia="MS Mincho" w:hAnsi="Helvetica Neue" w:cs="Helvetica Neue"/>
                <w:color w:val="474747"/>
                <w:kern w:val="0"/>
                <w:sz w:val="21"/>
                <w:szCs w:val="21"/>
                <w:lang w:eastAsia="en-GB"/>
                <w14:ligatures w14:val="none"/>
              </w:rPr>
              <w:t>Concerning the IEs in the existing measurement request procedure, the following was captured reflecting the common understanding:</w:t>
            </w:r>
          </w:p>
          <w:p w14:paraId="4263C470" w14:textId="1D28DA1A" w:rsidR="00D3004D" w:rsidRDefault="00D3004D" w:rsidP="007767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pPr>
            <w:r w:rsidRPr="0037208E">
              <w:rPr>
                <w:rFonts w:ascii="Helvetica Neue" w:eastAsia="MS Mincho" w:hAnsi="Helvetica Neue" w:cs="Helvetica Neue"/>
                <w:color w:val="000000"/>
                <w:kern w:val="0"/>
                <w:sz w:val="21"/>
                <w:szCs w:val="21"/>
                <w:lang w:eastAsia="en-GB"/>
                <w14:ligatures w14:val="none"/>
              </w:rPr>
              <w:t>-</w:t>
            </w:r>
            <w:r w:rsidRPr="0037208E">
              <w:rPr>
                <w:rFonts w:ascii="Helvetica Neue" w:eastAsia="MS Mincho" w:hAnsi="Helvetica Neue" w:cs="Helvetica Neue"/>
                <w:b/>
                <w:bCs/>
                <w:color w:val="FB0007"/>
                <w:kern w:val="0"/>
                <w:sz w:val="21"/>
                <w:szCs w:val="21"/>
                <w:lang w:eastAsia="en-GB"/>
                <w14:ligatures w14:val="none"/>
              </w:rPr>
              <w:t xml:space="preserve">Common understanding is that the existing Time Stamp IE, Measurement Quality IE and </w:t>
            </w:r>
            <w:proofErr w:type="spellStart"/>
            <w:r w:rsidRPr="0037208E">
              <w:rPr>
                <w:rFonts w:ascii="Helvetica Neue" w:eastAsia="MS Mincho" w:hAnsi="Helvetica Neue" w:cs="Helvetica Neue"/>
                <w:b/>
                <w:bCs/>
                <w:color w:val="FB0007"/>
                <w:kern w:val="0"/>
                <w:sz w:val="21"/>
                <w:szCs w:val="21"/>
                <w:lang w:eastAsia="en-GB"/>
                <w14:ligatures w14:val="none"/>
              </w:rPr>
              <w:t>LoS</w:t>
            </w:r>
            <w:proofErr w:type="spellEnd"/>
            <w:r w:rsidRPr="0037208E">
              <w:rPr>
                <w:rFonts w:ascii="Helvetica Neue" w:eastAsia="MS Mincho" w:hAnsi="Helvetica Neue" w:cs="Helvetica Neue"/>
                <w:b/>
                <w:bCs/>
                <w:color w:val="FB0007"/>
                <w:kern w:val="0"/>
                <w:sz w:val="21"/>
                <w:szCs w:val="21"/>
                <w:lang w:eastAsia="en-GB"/>
                <w14:ligatures w14:val="none"/>
              </w:rPr>
              <w:t>/</w:t>
            </w:r>
            <w:proofErr w:type="spellStart"/>
            <w:r w:rsidRPr="0037208E">
              <w:rPr>
                <w:rFonts w:ascii="Helvetica Neue" w:eastAsia="MS Mincho" w:hAnsi="Helvetica Neue" w:cs="Helvetica Neue"/>
                <w:b/>
                <w:bCs/>
                <w:color w:val="FB0007"/>
                <w:kern w:val="0"/>
                <w:sz w:val="21"/>
                <w:szCs w:val="21"/>
                <w:lang w:eastAsia="en-GB"/>
                <w14:ligatures w14:val="none"/>
              </w:rPr>
              <w:t>NLoS</w:t>
            </w:r>
            <w:proofErr w:type="spellEnd"/>
            <w:r w:rsidRPr="0037208E">
              <w:rPr>
                <w:rFonts w:ascii="Helvetica Neue" w:eastAsia="MS Mincho" w:hAnsi="Helvetica Neue" w:cs="Helvetica Neue"/>
                <w:b/>
                <w:bCs/>
                <w:color w:val="FB0007"/>
                <w:kern w:val="0"/>
                <w:sz w:val="21"/>
                <w:szCs w:val="21"/>
                <w:lang w:eastAsia="en-GB"/>
                <w14:ligatures w14:val="none"/>
              </w:rPr>
              <w:t xml:space="preserve"> indicator IE in the TRP measurement result can be re-used.</w:t>
            </w:r>
          </w:p>
        </w:tc>
      </w:tr>
    </w:tbl>
    <w:p w14:paraId="2EA33BA5" w14:textId="2BC870C2" w:rsidR="001534B3" w:rsidRDefault="00AF1110" w:rsidP="004A0D64">
      <w:r>
        <w:t xml:space="preserve"> </w:t>
      </w:r>
    </w:p>
    <w:p w14:paraId="0204BBD6" w14:textId="62389D55" w:rsidR="0070587D" w:rsidRDefault="00C05EA7" w:rsidP="004A0D64">
      <w:r>
        <w:t xml:space="preserve">If RAN1 wants to support the LCM </w:t>
      </w:r>
      <w:r w:rsidR="0035282C">
        <w:t xml:space="preserve">for a </w:t>
      </w:r>
      <w:r w:rsidR="000C2086">
        <w:t xml:space="preserve">model generating </w:t>
      </w:r>
      <w:r w:rsidR="0035282C">
        <w:t>LOS NLO</w:t>
      </w:r>
      <w:r w:rsidR="00E9549B">
        <w:t xml:space="preserve">S </w:t>
      </w:r>
      <w:r w:rsidR="00755803">
        <w:t xml:space="preserve">beyond self-monitoring, </w:t>
      </w:r>
      <w:r w:rsidR="005766F2">
        <w:t>there may be a need for identifying the LOS indicator as model output</w:t>
      </w:r>
      <w:r w:rsidR="00773387">
        <w:t xml:space="preserve">, so that e.g. the LMF may feedback to the </w:t>
      </w:r>
      <w:proofErr w:type="spellStart"/>
      <w:r w:rsidR="00773387">
        <w:t>gNB</w:t>
      </w:r>
      <w:proofErr w:type="spellEnd"/>
      <w:r w:rsidR="00773387">
        <w:t xml:space="preserve"> that the LOS estimate is not correct based on other information the LMF may have. Otherwise, the motivation for identifying the LOS output</w:t>
      </w:r>
      <w:r w:rsidR="00550BF8">
        <w:t xml:space="preserve"> (legacy vs AI-generated)</w:t>
      </w:r>
      <w:r w:rsidR="00773387">
        <w:t xml:space="preserve"> is not clear</w:t>
      </w:r>
      <w:r w:rsidR="002E3DEF">
        <w:t>, since the information carried by the indicator is not changed from pre-Rel-19.</w:t>
      </w:r>
    </w:p>
    <w:p w14:paraId="099E6709" w14:textId="75850024" w:rsidR="002E3DEF" w:rsidRDefault="002E3DEF" w:rsidP="00AE73E2">
      <w:pPr>
        <w:pStyle w:val="Observation"/>
      </w:pPr>
      <w:bookmarkStart w:id="2036" w:name="_Toc189845082"/>
      <w:r>
        <w:t xml:space="preserve">The </w:t>
      </w:r>
      <w:r w:rsidR="00436D30">
        <w:t xml:space="preserve">interpretation </w:t>
      </w:r>
      <w:r w:rsidR="00823ECF">
        <w:t>of</w:t>
      </w:r>
      <w:r w:rsidR="009E26AF">
        <w:t xml:space="preserve"> a LOS indicator as </w:t>
      </w:r>
      <w:r w:rsidR="00436D30">
        <w:t>reflecting the physical nature of the channel</w:t>
      </w:r>
      <w:r w:rsidR="00694B78">
        <w:t xml:space="preserve"> should be the same in </w:t>
      </w:r>
      <w:r w:rsidR="00BA5B19">
        <w:t xml:space="preserve">Release </w:t>
      </w:r>
      <w:r w:rsidR="00694B78">
        <w:t>19 and legacy.</w:t>
      </w:r>
      <w:bookmarkEnd w:id="2036"/>
    </w:p>
    <w:p w14:paraId="1EA7279D" w14:textId="078AB526" w:rsidR="002E3DEF" w:rsidRDefault="003C6E31" w:rsidP="008B62F2">
      <w:pPr>
        <w:pStyle w:val="Observation"/>
      </w:pPr>
      <w:bookmarkStart w:id="2037" w:name="_Toc189845083"/>
      <w:r>
        <w:t xml:space="preserve">If the LMF is not involved in the model monitoring of </w:t>
      </w:r>
      <w:r w:rsidR="006F0C59">
        <w:t xml:space="preserve">the model generating the </w:t>
      </w:r>
      <w:r w:rsidR="00A3685D">
        <w:t xml:space="preserve">LOS indicator, the </w:t>
      </w:r>
      <w:r w:rsidR="009C76E7">
        <w:t>need for identifying a LOS indicator as generated by a model output is not clear</w:t>
      </w:r>
      <w:r w:rsidR="0085402B">
        <w:t>.</w:t>
      </w:r>
      <w:bookmarkStart w:id="2038" w:name="_Toc189125102"/>
      <w:bookmarkStart w:id="2039" w:name="_Toc189835385"/>
      <w:bookmarkEnd w:id="2038"/>
      <w:bookmarkEnd w:id="2039"/>
      <w:bookmarkEnd w:id="2037"/>
    </w:p>
    <w:p w14:paraId="18D318AB" w14:textId="77777777" w:rsidR="00E84B99" w:rsidRDefault="00E84B99" w:rsidP="004A0D64"/>
    <w:p w14:paraId="0D8BAB30" w14:textId="10BE0C60" w:rsidR="008A0B3B" w:rsidRPr="00E16CCD" w:rsidRDefault="00232E49" w:rsidP="008A0B3B">
      <w:pPr>
        <w:pStyle w:val="Heading4"/>
      </w:pPr>
      <w:bookmarkStart w:id="2040" w:name="_Toc189845028"/>
      <w:r w:rsidRPr="00E16CCD">
        <w:t>Summary of LOS/NLOS indicator reporting</w:t>
      </w:r>
      <w:bookmarkEnd w:id="2040"/>
    </w:p>
    <w:p w14:paraId="2013E9CB" w14:textId="74D8A6BC" w:rsidR="00E1595F" w:rsidRDefault="64E893A3" w:rsidP="004A0D64">
      <w:r>
        <w:t xml:space="preserve">In </w:t>
      </w:r>
      <w:r w:rsidR="00E70DE4">
        <w:fldChar w:fldCharType="begin"/>
      </w:r>
      <w:r w:rsidR="00E70DE4">
        <w:instrText xml:space="preserve"> REF _Ref181916917 </w:instrText>
      </w:r>
      <w:r w:rsidR="00E70DE4">
        <w:fldChar w:fldCharType="separate"/>
      </w:r>
      <w:r w:rsidR="00C713E4">
        <w:t xml:space="preserve">Table </w:t>
      </w:r>
      <w:r w:rsidR="00C713E4">
        <w:rPr>
          <w:noProof/>
        </w:rPr>
        <w:t>7</w:t>
      </w:r>
      <w:r w:rsidR="00E70DE4">
        <w:rPr>
          <w:noProof/>
        </w:rPr>
        <w:fldChar w:fldCharType="end"/>
      </w:r>
      <w:r>
        <w:t>, the possible combinations of timing measurement and LOS/NLOS indicator are listed, together with their support, if applicable.</w:t>
      </w:r>
    </w:p>
    <w:p w14:paraId="6EBDB101" w14:textId="6967A659" w:rsidR="00F07EAA" w:rsidRDefault="00F07EAA" w:rsidP="004A0D64"/>
    <w:p w14:paraId="698AD89F" w14:textId="47D7CD32" w:rsidR="00A13D47" w:rsidRPr="00CB0B0D" w:rsidRDefault="331DAB4A" w:rsidP="00CB0B0D">
      <w:pPr>
        <w:pStyle w:val="Caption"/>
        <w:jc w:val="center"/>
      </w:pPr>
      <w:bookmarkStart w:id="2041" w:name="_Ref181916917"/>
      <w:bookmarkStart w:id="2042" w:name="_Hlk181976863"/>
      <w:r>
        <w:t xml:space="preserve">Table </w:t>
      </w:r>
      <w:r w:rsidR="00E70DE4">
        <w:fldChar w:fldCharType="begin"/>
      </w:r>
      <w:r w:rsidR="00E70DE4">
        <w:instrText xml:space="preserve"> SEQ Table \* ARABIC </w:instrText>
      </w:r>
      <w:r w:rsidR="00E70DE4">
        <w:fldChar w:fldCharType="separate"/>
      </w:r>
      <w:r w:rsidR="00C713E4">
        <w:rPr>
          <w:noProof/>
        </w:rPr>
        <w:t>7</w:t>
      </w:r>
      <w:r w:rsidR="00E70DE4">
        <w:rPr>
          <w:noProof/>
        </w:rPr>
        <w:fldChar w:fldCharType="end"/>
      </w:r>
      <w:bookmarkEnd w:id="2041"/>
      <w:r>
        <w:t xml:space="preserve">. </w:t>
      </w:r>
      <w:r w:rsidR="64E893A3">
        <w:t>The possible combinations of timing measurement and LOS/NLOS indicator</w:t>
      </w:r>
      <w:bookmarkEnd w:id="2042"/>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A13D47" w14:paraId="1DABF1D2" w14:textId="77777777" w:rsidTr="00BE7289">
        <w:tc>
          <w:tcPr>
            <w:tcW w:w="1168" w:type="dxa"/>
            <w:tcBorders>
              <w:top w:val="nil"/>
              <w:left w:val="nil"/>
              <w:bottom w:val="nil"/>
              <w:right w:val="nil"/>
            </w:tcBorders>
          </w:tcPr>
          <w:p w14:paraId="67C673D3" w14:textId="77777777" w:rsidR="00A13D47" w:rsidRDefault="00A13D47" w:rsidP="00BE7289">
            <w:pPr>
              <w:rPr>
                <w:sz w:val="20"/>
                <w:szCs w:val="20"/>
              </w:rPr>
            </w:pPr>
          </w:p>
        </w:tc>
        <w:tc>
          <w:tcPr>
            <w:tcW w:w="1530" w:type="dxa"/>
            <w:tcBorders>
              <w:top w:val="nil"/>
              <w:left w:val="nil"/>
              <w:bottom w:val="nil"/>
            </w:tcBorders>
          </w:tcPr>
          <w:p w14:paraId="4356590B" w14:textId="77777777" w:rsidR="00A13D47" w:rsidRDefault="00A13D47" w:rsidP="00BE7289">
            <w:pPr>
              <w:rPr>
                <w:sz w:val="20"/>
                <w:szCs w:val="20"/>
              </w:rPr>
            </w:pPr>
          </w:p>
        </w:tc>
        <w:tc>
          <w:tcPr>
            <w:tcW w:w="6842" w:type="dxa"/>
            <w:gridSpan w:val="3"/>
          </w:tcPr>
          <w:p w14:paraId="62A2E159" w14:textId="77777777" w:rsidR="00A13D47" w:rsidRDefault="00A13D47" w:rsidP="00BE7289">
            <w:pPr>
              <w:jc w:val="center"/>
              <w:rPr>
                <w:b/>
                <w:sz w:val="20"/>
                <w:szCs w:val="20"/>
              </w:rPr>
            </w:pPr>
            <w:r>
              <w:rPr>
                <w:rFonts w:eastAsia="Calibri"/>
                <w:b/>
                <w:sz w:val="20"/>
                <w:szCs w:val="20"/>
              </w:rPr>
              <w:t>Associated measurement (e.g., timing)</w:t>
            </w:r>
          </w:p>
        </w:tc>
      </w:tr>
      <w:tr w:rsidR="00A13D47" w14:paraId="59337B1E" w14:textId="77777777" w:rsidTr="00BE7289">
        <w:tc>
          <w:tcPr>
            <w:tcW w:w="1168" w:type="dxa"/>
            <w:tcBorders>
              <w:top w:val="nil"/>
              <w:left w:val="nil"/>
              <w:right w:val="nil"/>
            </w:tcBorders>
          </w:tcPr>
          <w:p w14:paraId="6868BAA3" w14:textId="77777777" w:rsidR="00A13D47" w:rsidRDefault="00A13D47" w:rsidP="00BE7289">
            <w:pPr>
              <w:rPr>
                <w:b/>
                <w:bCs/>
                <w:sz w:val="20"/>
                <w:szCs w:val="20"/>
              </w:rPr>
            </w:pPr>
          </w:p>
        </w:tc>
        <w:tc>
          <w:tcPr>
            <w:tcW w:w="1530" w:type="dxa"/>
            <w:tcBorders>
              <w:top w:val="nil"/>
              <w:left w:val="nil"/>
            </w:tcBorders>
          </w:tcPr>
          <w:p w14:paraId="14CCE5A5" w14:textId="77777777" w:rsidR="00A13D47" w:rsidRDefault="00A13D47" w:rsidP="00BE7289">
            <w:pPr>
              <w:rPr>
                <w:b/>
                <w:sz w:val="20"/>
                <w:szCs w:val="20"/>
              </w:rPr>
            </w:pPr>
          </w:p>
        </w:tc>
        <w:tc>
          <w:tcPr>
            <w:tcW w:w="2341" w:type="dxa"/>
          </w:tcPr>
          <w:p w14:paraId="1392AA09" w14:textId="77777777" w:rsidR="00A13D47" w:rsidRDefault="00A13D47" w:rsidP="00BE7289">
            <w:pPr>
              <w:rPr>
                <w:sz w:val="20"/>
                <w:szCs w:val="20"/>
              </w:rPr>
            </w:pPr>
            <w:r>
              <w:rPr>
                <w:rFonts w:eastAsia="Calibri"/>
                <w:sz w:val="20"/>
                <w:szCs w:val="20"/>
              </w:rPr>
              <w:t>Absent</w:t>
            </w:r>
          </w:p>
        </w:tc>
        <w:tc>
          <w:tcPr>
            <w:tcW w:w="2234" w:type="dxa"/>
          </w:tcPr>
          <w:p w14:paraId="7C91CC7E" w14:textId="77777777" w:rsidR="00A13D47" w:rsidRDefault="00A13D47" w:rsidP="00BE7289">
            <w:pPr>
              <w:rPr>
                <w:sz w:val="20"/>
                <w:szCs w:val="20"/>
              </w:rPr>
            </w:pPr>
            <w:r>
              <w:rPr>
                <w:rFonts w:eastAsia="Calibri"/>
                <w:sz w:val="20"/>
                <w:szCs w:val="20"/>
              </w:rPr>
              <w:t>Legacy measurement</w:t>
            </w:r>
            <w:r>
              <w:rPr>
                <w:rFonts w:eastAsia="Calibri"/>
                <w:color w:val="0070C0"/>
                <w:sz w:val="20"/>
                <w:szCs w:val="20"/>
              </w:rPr>
              <w:t>*</w:t>
            </w:r>
          </w:p>
        </w:tc>
        <w:tc>
          <w:tcPr>
            <w:tcW w:w="2267" w:type="dxa"/>
            <w:shd w:val="clear" w:color="auto" w:fill="auto"/>
          </w:tcPr>
          <w:p w14:paraId="005F0AF1" w14:textId="77777777" w:rsidR="00A13D47" w:rsidRDefault="00A13D47" w:rsidP="00BE7289">
            <w:pPr>
              <w:rPr>
                <w:sz w:val="20"/>
                <w:szCs w:val="20"/>
              </w:rPr>
            </w:pPr>
            <w:r>
              <w:rPr>
                <w:rFonts w:eastAsia="Calibri"/>
                <w:sz w:val="20"/>
                <w:szCs w:val="20"/>
              </w:rPr>
              <w:t>Timing measurement generated by AI/ML</w:t>
            </w:r>
          </w:p>
        </w:tc>
      </w:tr>
      <w:tr w:rsidR="00A13D47" w14:paraId="2576E7B7" w14:textId="77777777" w:rsidTr="00BE7289">
        <w:tc>
          <w:tcPr>
            <w:tcW w:w="1168" w:type="dxa"/>
            <w:vMerge w:val="restart"/>
          </w:tcPr>
          <w:p w14:paraId="27071740" w14:textId="77777777" w:rsidR="00A13D47" w:rsidRDefault="00A13D47" w:rsidP="00BE7289">
            <w:pPr>
              <w:rPr>
                <w:b/>
                <w:sz w:val="20"/>
                <w:szCs w:val="20"/>
              </w:rPr>
            </w:pPr>
            <w:r>
              <w:rPr>
                <w:rFonts w:eastAsia="Calibri"/>
                <w:b/>
                <w:sz w:val="20"/>
                <w:szCs w:val="20"/>
              </w:rPr>
              <w:t>LOS/NLOS indicator</w:t>
            </w:r>
          </w:p>
        </w:tc>
        <w:tc>
          <w:tcPr>
            <w:tcW w:w="1530" w:type="dxa"/>
          </w:tcPr>
          <w:p w14:paraId="5613C2F2" w14:textId="77777777" w:rsidR="00A13D47" w:rsidRDefault="00A13D47" w:rsidP="00BE7289">
            <w:pPr>
              <w:rPr>
                <w:sz w:val="20"/>
                <w:szCs w:val="20"/>
              </w:rPr>
            </w:pPr>
            <w:r>
              <w:rPr>
                <w:rFonts w:eastAsia="Calibri"/>
                <w:sz w:val="20"/>
                <w:szCs w:val="20"/>
              </w:rPr>
              <w:t>Absent</w:t>
            </w:r>
          </w:p>
        </w:tc>
        <w:tc>
          <w:tcPr>
            <w:tcW w:w="2341" w:type="dxa"/>
            <w:shd w:val="clear" w:color="auto" w:fill="D9D9D9" w:themeFill="background1" w:themeFillShade="D9"/>
          </w:tcPr>
          <w:p w14:paraId="4F2AAFCE" w14:textId="77777777" w:rsidR="00A13D47" w:rsidRDefault="00A13D47" w:rsidP="00BE7289">
            <w:pPr>
              <w:rPr>
                <w:sz w:val="20"/>
                <w:szCs w:val="20"/>
              </w:rPr>
            </w:pPr>
            <w:r>
              <w:rPr>
                <w:rFonts w:eastAsia="Calibri"/>
                <w:sz w:val="20"/>
                <w:szCs w:val="20"/>
              </w:rPr>
              <w:t>N/A</w:t>
            </w:r>
          </w:p>
        </w:tc>
        <w:tc>
          <w:tcPr>
            <w:tcW w:w="2234" w:type="dxa"/>
          </w:tcPr>
          <w:p w14:paraId="33A74F46" w14:textId="77777777" w:rsidR="00A13D47" w:rsidRDefault="00A13D47" w:rsidP="00BE7289">
            <w:pPr>
              <w:rPr>
                <w:sz w:val="20"/>
                <w:szCs w:val="20"/>
              </w:rPr>
            </w:pPr>
            <w:r>
              <w:rPr>
                <w:rFonts w:eastAsia="Calibri"/>
                <w:sz w:val="20"/>
                <w:szCs w:val="20"/>
              </w:rPr>
              <w:t>Support</w:t>
            </w:r>
          </w:p>
          <w:p w14:paraId="3498F750" w14:textId="77777777" w:rsidR="00A13D47" w:rsidRDefault="00A13D47" w:rsidP="00BE7289">
            <w:pPr>
              <w:rPr>
                <w:sz w:val="20"/>
                <w:szCs w:val="20"/>
              </w:rPr>
            </w:pPr>
            <w:r>
              <w:rPr>
                <w:rFonts w:eastAsia="Calibri"/>
                <w:sz w:val="20"/>
                <w:szCs w:val="20"/>
              </w:rPr>
              <w:t>(Existing specification)</w:t>
            </w:r>
          </w:p>
        </w:tc>
        <w:tc>
          <w:tcPr>
            <w:tcW w:w="2267" w:type="dxa"/>
            <w:shd w:val="clear" w:color="auto" w:fill="92D050"/>
          </w:tcPr>
          <w:p w14:paraId="6B548B75" w14:textId="77777777" w:rsidR="00A13D47" w:rsidRDefault="00A13D47" w:rsidP="00BE7289">
            <w:pPr>
              <w:rPr>
                <w:sz w:val="20"/>
                <w:szCs w:val="20"/>
              </w:rPr>
            </w:pPr>
            <w:r>
              <w:rPr>
                <w:rFonts w:eastAsia="Calibri"/>
                <w:sz w:val="20"/>
                <w:szCs w:val="20"/>
              </w:rPr>
              <w:t>Support in Rel-19</w:t>
            </w:r>
          </w:p>
        </w:tc>
      </w:tr>
      <w:tr w:rsidR="00A13D47" w14:paraId="6901E0F3" w14:textId="77777777" w:rsidTr="00BE7289">
        <w:tc>
          <w:tcPr>
            <w:tcW w:w="1168" w:type="dxa"/>
            <w:vMerge/>
          </w:tcPr>
          <w:p w14:paraId="5DA413A5" w14:textId="77777777" w:rsidR="00A13D47" w:rsidRDefault="00A13D47" w:rsidP="00BE7289">
            <w:pPr>
              <w:rPr>
                <w:sz w:val="20"/>
                <w:szCs w:val="20"/>
              </w:rPr>
            </w:pPr>
          </w:p>
        </w:tc>
        <w:tc>
          <w:tcPr>
            <w:tcW w:w="1530" w:type="dxa"/>
          </w:tcPr>
          <w:p w14:paraId="7A929BAC" w14:textId="77777777" w:rsidR="00A13D47" w:rsidRDefault="00A13D47" w:rsidP="00BE7289">
            <w:pPr>
              <w:rPr>
                <w:sz w:val="20"/>
                <w:szCs w:val="20"/>
              </w:rPr>
            </w:pPr>
            <w:r>
              <w:rPr>
                <w:rFonts w:eastAsia="Calibri"/>
                <w:sz w:val="20"/>
                <w:szCs w:val="20"/>
                <w:lang w:eastAsia="en-GB"/>
              </w:rPr>
              <w:t xml:space="preserve">Generated by legacy methods </w:t>
            </w:r>
          </w:p>
        </w:tc>
        <w:tc>
          <w:tcPr>
            <w:tcW w:w="2341" w:type="dxa"/>
            <w:shd w:val="clear" w:color="auto" w:fill="auto"/>
          </w:tcPr>
          <w:p w14:paraId="656B038D" w14:textId="77777777" w:rsidR="00A13D47" w:rsidRDefault="00A13D47" w:rsidP="00BE7289">
            <w:pPr>
              <w:rPr>
                <w:sz w:val="20"/>
                <w:szCs w:val="20"/>
              </w:rPr>
            </w:pPr>
            <w:r>
              <w:rPr>
                <w:rFonts w:eastAsia="Calibri"/>
                <w:sz w:val="20"/>
                <w:szCs w:val="20"/>
              </w:rPr>
              <w:t>Not supported</w:t>
            </w:r>
          </w:p>
          <w:p w14:paraId="557431FB" w14:textId="77777777" w:rsidR="00A13D47" w:rsidRDefault="00A13D47" w:rsidP="00BE7289">
            <w:pPr>
              <w:rPr>
                <w:sz w:val="20"/>
                <w:szCs w:val="20"/>
              </w:rPr>
            </w:pPr>
            <w:r>
              <w:rPr>
                <w:rFonts w:eastAsia="Calibri"/>
                <w:sz w:val="20"/>
                <w:szCs w:val="20"/>
              </w:rPr>
              <w:t>(Existing specification)</w:t>
            </w:r>
          </w:p>
        </w:tc>
        <w:tc>
          <w:tcPr>
            <w:tcW w:w="2234" w:type="dxa"/>
          </w:tcPr>
          <w:p w14:paraId="65AE4A64" w14:textId="77777777" w:rsidR="00A13D47" w:rsidRDefault="00A13D47" w:rsidP="00BE7289">
            <w:pPr>
              <w:rPr>
                <w:sz w:val="20"/>
                <w:szCs w:val="20"/>
              </w:rPr>
            </w:pPr>
            <w:r>
              <w:rPr>
                <w:rFonts w:eastAsia="Calibri"/>
                <w:sz w:val="20"/>
                <w:szCs w:val="20"/>
              </w:rPr>
              <w:t>Support</w:t>
            </w:r>
          </w:p>
          <w:p w14:paraId="6A68C0DB" w14:textId="77777777" w:rsidR="00A13D47" w:rsidRDefault="00A13D47" w:rsidP="00BE7289">
            <w:pPr>
              <w:rPr>
                <w:sz w:val="20"/>
                <w:szCs w:val="20"/>
              </w:rPr>
            </w:pPr>
            <w:r>
              <w:rPr>
                <w:rFonts w:eastAsia="Calibri"/>
                <w:sz w:val="20"/>
                <w:szCs w:val="20"/>
              </w:rPr>
              <w:t>(Existing specification)</w:t>
            </w:r>
          </w:p>
        </w:tc>
        <w:tc>
          <w:tcPr>
            <w:tcW w:w="2267" w:type="dxa"/>
            <w:shd w:val="clear" w:color="auto" w:fill="92D050"/>
          </w:tcPr>
          <w:p w14:paraId="4FBB8C4A" w14:textId="77777777" w:rsidR="00A13D47" w:rsidRDefault="00A13D47" w:rsidP="00BE7289">
            <w:pPr>
              <w:rPr>
                <w:sz w:val="20"/>
                <w:szCs w:val="20"/>
              </w:rPr>
            </w:pPr>
            <w:r>
              <w:rPr>
                <w:rFonts w:eastAsia="Calibri"/>
                <w:sz w:val="20"/>
                <w:szCs w:val="20"/>
              </w:rPr>
              <w:t>Support in Rel-19</w:t>
            </w:r>
          </w:p>
        </w:tc>
      </w:tr>
      <w:tr w:rsidR="00A13D47" w14:paraId="7B560003" w14:textId="77777777" w:rsidTr="00BE7289">
        <w:tc>
          <w:tcPr>
            <w:tcW w:w="1168" w:type="dxa"/>
            <w:vMerge/>
          </w:tcPr>
          <w:p w14:paraId="081FC3F7" w14:textId="77777777" w:rsidR="00A13D47" w:rsidRDefault="00A13D47" w:rsidP="00BE7289">
            <w:pPr>
              <w:rPr>
                <w:sz w:val="20"/>
                <w:szCs w:val="20"/>
              </w:rPr>
            </w:pPr>
          </w:p>
        </w:tc>
        <w:tc>
          <w:tcPr>
            <w:tcW w:w="1530" w:type="dxa"/>
          </w:tcPr>
          <w:p w14:paraId="45AD8D9B" w14:textId="77777777" w:rsidR="00A13D47" w:rsidRDefault="00A13D47" w:rsidP="00BE7289">
            <w:pPr>
              <w:rPr>
                <w:sz w:val="20"/>
                <w:szCs w:val="20"/>
              </w:rPr>
            </w:pPr>
            <w:r>
              <w:rPr>
                <w:rFonts w:eastAsia="Calibri"/>
                <w:sz w:val="20"/>
                <w:szCs w:val="20"/>
                <w:lang w:eastAsia="en-GB"/>
              </w:rPr>
              <w:t xml:space="preserve">Generated </w:t>
            </w:r>
            <w:proofErr w:type="gramStart"/>
            <w:r>
              <w:rPr>
                <w:rFonts w:eastAsia="Calibri"/>
                <w:sz w:val="20"/>
                <w:szCs w:val="20"/>
                <w:lang w:eastAsia="en-GB"/>
              </w:rPr>
              <w:t>by  AI</w:t>
            </w:r>
            <w:proofErr w:type="gramEnd"/>
            <w:r>
              <w:rPr>
                <w:rFonts w:eastAsia="Calibri"/>
                <w:sz w:val="20"/>
                <w:szCs w:val="20"/>
                <w:lang w:eastAsia="en-GB"/>
              </w:rPr>
              <w:t>/ML</w:t>
            </w:r>
          </w:p>
        </w:tc>
        <w:tc>
          <w:tcPr>
            <w:tcW w:w="2341" w:type="dxa"/>
            <w:shd w:val="clear" w:color="auto" w:fill="FBE4D5" w:themeFill="accent2" w:themeFillTint="33"/>
          </w:tcPr>
          <w:p w14:paraId="2E1E59F6" w14:textId="77777777" w:rsidR="00A13D47" w:rsidRDefault="00A13D47" w:rsidP="00BE7289">
            <w:pPr>
              <w:rPr>
                <w:sz w:val="20"/>
                <w:szCs w:val="20"/>
              </w:rPr>
            </w:pPr>
            <w:r>
              <w:rPr>
                <w:rFonts w:eastAsia="Calibri"/>
                <w:sz w:val="20"/>
                <w:szCs w:val="20"/>
              </w:rPr>
              <w:t>Not supported in Rel-19</w:t>
            </w:r>
          </w:p>
        </w:tc>
        <w:tc>
          <w:tcPr>
            <w:tcW w:w="2234" w:type="dxa"/>
            <w:shd w:val="clear" w:color="auto" w:fill="92D050"/>
          </w:tcPr>
          <w:p w14:paraId="5D6E065C" w14:textId="77777777" w:rsidR="00A13D47" w:rsidRDefault="00A13D47" w:rsidP="00BE7289">
            <w:pPr>
              <w:rPr>
                <w:sz w:val="20"/>
                <w:szCs w:val="20"/>
              </w:rPr>
            </w:pPr>
            <w:r>
              <w:rPr>
                <w:rFonts w:eastAsia="Calibri"/>
                <w:sz w:val="20"/>
                <w:szCs w:val="20"/>
              </w:rPr>
              <w:t>Support in Rel-19</w:t>
            </w:r>
          </w:p>
        </w:tc>
        <w:tc>
          <w:tcPr>
            <w:tcW w:w="2267" w:type="dxa"/>
            <w:shd w:val="clear" w:color="auto" w:fill="92D050"/>
          </w:tcPr>
          <w:p w14:paraId="60F6E903" w14:textId="77777777" w:rsidR="00A13D47" w:rsidRDefault="00A13D47" w:rsidP="00BE7289">
            <w:pPr>
              <w:rPr>
                <w:sz w:val="20"/>
                <w:szCs w:val="20"/>
              </w:rPr>
            </w:pPr>
            <w:r>
              <w:rPr>
                <w:rFonts w:eastAsia="Calibri"/>
                <w:sz w:val="20"/>
                <w:szCs w:val="20"/>
              </w:rPr>
              <w:t>Support in Rel-19</w:t>
            </w:r>
          </w:p>
        </w:tc>
      </w:tr>
    </w:tbl>
    <w:p w14:paraId="0B631831" w14:textId="7F1D6553" w:rsidR="0088457C" w:rsidRPr="00CE21AB" w:rsidRDefault="0088457C" w:rsidP="0088457C">
      <w:pPr>
        <w:rPr>
          <w:i/>
          <w:color w:val="0070C0"/>
        </w:rPr>
      </w:pPr>
      <w:r w:rsidRPr="00CE21AB">
        <w:rPr>
          <w:i/>
          <w:color w:val="0070C0"/>
        </w:rPr>
        <w:t>* When the associated</w:t>
      </w:r>
      <w:r w:rsidRPr="7F058262">
        <w:rPr>
          <w:i/>
          <w:iCs/>
          <w:color w:val="0070C0"/>
        </w:rPr>
        <w:t xml:space="preserve"> legacy</w:t>
      </w:r>
      <w:r w:rsidRPr="00CE21AB">
        <w:rPr>
          <w:i/>
          <w:color w:val="0070C0"/>
        </w:rPr>
        <w:t xml:space="preserve"> measurement is reported, it is not limited to timing measurements</w:t>
      </w:r>
      <w:r w:rsidRPr="7F058262">
        <w:rPr>
          <w:i/>
          <w:iCs/>
          <w:color w:val="0070C0"/>
        </w:rPr>
        <w:t>. It can be timing measurement or</w:t>
      </w:r>
      <w:r w:rsidRPr="00CE21AB">
        <w:rPr>
          <w:i/>
          <w:color w:val="0070C0"/>
        </w:rPr>
        <w:t xml:space="preserve"> angle measurement.</w:t>
      </w:r>
    </w:p>
    <w:p w14:paraId="4F773A7C" w14:textId="77777777" w:rsidR="0088457C" w:rsidRDefault="0088457C" w:rsidP="004A0D64"/>
    <w:p w14:paraId="0D0847F5" w14:textId="7169DAD0" w:rsidR="00157A72" w:rsidRDefault="00157A72" w:rsidP="004A0D64">
      <w:r>
        <w:t>For reference, in</w:t>
      </w:r>
      <w:r w:rsidRPr="00D13350">
        <w:t xml:space="preserve"> </w:t>
      </w:r>
      <w:r>
        <w:t xml:space="preserve">TS </w:t>
      </w:r>
      <w:r w:rsidRPr="00D13350">
        <w:t>38.455</w:t>
      </w:r>
      <w:r>
        <w:t>,</w:t>
      </w:r>
      <w:r w:rsidRPr="00D13350">
        <w:t xml:space="preserve"> LOS/NLOS indicator is reported per TRP, with one indicator for a given ULRTOA measurement (containing one or more paths) defined as follow: soft values provide the likelihood of a LOS propagation path in the range between 0 and 1 with 0.1 steps resolution. Hard value '0' indicates NLOS and hard value '1' indicates LOS.</w:t>
      </w:r>
    </w:p>
    <w:p w14:paraId="0689B48A" w14:textId="29101209" w:rsidR="008A0B3B" w:rsidRDefault="00391E86" w:rsidP="004A0D64">
      <w:r>
        <w:t>In summary, we see LOS</w:t>
      </w:r>
      <w:r w:rsidR="00A34F6A">
        <w:t>/NLOS</w:t>
      </w:r>
      <w:r>
        <w:t xml:space="preserve"> indication </w:t>
      </w:r>
      <w:r w:rsidR="00FE6764">
        <w:t xml:space="preserve">in a </w:t>
      </w:r>
      <w:r w:rsidR="00A34F6A">
        <w:t>C</w:t>
      </w:r>
      <w:r w:rsidR="00FE6764">
        <w:t>ase 3a report as follow:</w:t>
      </w:r>
    </w:p>
    <w:p w14:paraId="069F2011" w14:textId="69268587" w:rsidR="00FE6764" w:rsidRDefault="00FE6764" w:rsidP="00FE6764">
      <w:pPr>
        <w:pStyle w:val="ListParagraph"/>
        <w:numPr>
          <w:ilvl w:val="0"/>
          <w:numId w:val="20"/>
        </w:numPr>
      </w:pPr>
      <w:r>
        <w:t>The definition of LOS</w:t>
      </w:r>
      <w:r w:rsidR="00707103">
        <w:t>/NLOS</w:t>
      </w:r>
      <w:r>
        <w:t xml:space="preserve"> indicat</w:t>
      </w:r>
      <w:r w:rsidR="00707103">
        <w:t>or</w:t>
      </w:r>
      <w:r>
        <w:t xml:space="preserve"> </w:t>
      </w:r>
      <w:r w:rsidR="006D17DC">
        <w:t xml:space="preserve">is the same as </w:t>
      </w:r>
      <w:r w:rsidR="006D17DC" w:rsidDel="00B646B2">
        <w:t>legacy</w:t>
      </w:r>
      <w:r w:rsidR="00B646B2">
        <w:t>.</w:t>
      </w:r>
      <w:r w:rsidR="00DD49C4">
        <w:t xml:space="preserve"> </w:t>
      </w:r>
      <w:r w:rsidR="00557BEE">
        <w:t>It is unnecessary and confusing</w:t>
      </w:r>
      <w:r w:rsidR="00DD49C4">
        <w:t xml:space="preserve"> to introduce new meaning of LOS/NLOS indicator</w:t>
      </w:r>
      <w:r w:rsidR="001F24CC">
        <w:t>,</w:t>
      </w:r>
      <w:r w:rsidR="00DD49C4">
        <w:t xml:space="preserve"> depending on which report format is used.</w:t>
      </w:r>
    </w:p>
    <w:p w14:paraId="13449F25" w14:textId="1B99F551" w:rsidR="00CD78EF" w:rsidRDefault="001F24CC" w:rsidP="00CD78EF">
      <w:pPr>
        <w:pStyle w:val="ListParagraph"/>
        <w:numPr>
          <w:ilvl w:val="0"/>
          <w:numId w:val="20"/>
        </w:numPr>
      </w:pPr>
      <w:r>
        <w:t>For Case 3a, t</w:t>
      </w:r>
      <w:r w:rsidR="006D17DC">
        <w:t>he LOS</w:t>
      </w:r>
      <w:r w:rsidR="00707103">
        <w:t>/NLOS</w:t>
      </w:r>
      <w:r w:rsidR="006D17DC">
        <w:t xml:space="preserve"> indicator</w:t>
      </w:r>
      <w:r w:rsidR="005B5A53">
        <w:t xml:space="preserve">, when reported with a </w:t>
      </w:r>
      <w:r w:rsidR="00A56F4C">
        <w:t>R</w:t>
      </w:r>
      <w:r w:rsidR="005B5A53">
        <w:t>el</w:t>
      </w:r>
      <w:r w:rsidR="00A56F4C">
        <w:t>-</w:t>
      </w:r>
      <w:r w:rsidR="005B5A53">
        <w:t xml:space="preserve">19 </w:t>
      </w:r>
      <w:r w:rsidR="00D417C5">
        <w:t>ULRTOA measurement</w:t>
      </w:r>
      <w:r w:rsidR="00980A4E">
        <w:t xml:space="preserve"> identified as such (as agreed in RAN1#118bis), </w:t>
      </w:r>
      <w:r w:rsidR="00CD78EF">
        <w:t xml:space="preserve">should be understood as decoupled from the timing measurement. </w:t>
      </w:r>
      <w:r w:rsidR="00D97F8D">
        <w:t xml:space="preserve"> </w:t>
      </w:r>
    </w:p>
    <w:p w14:paraId="66255C99" w14:textId="18FED278" w:rsidR="00CD78EF" w:rsidRDefault="00550177" w:rsidP="00CD78EF">
      <w:pPr>
        <w:pStyle w:val="ListParagraph"/>
        <w:numPr>
          <w:ilvl w:val="0"/>
          <w:numId w:val="20"/>
        </w:numPr>
      </w:pPr>
      <w:r>
        <w:t xml:space="preserve">The </w:t>
      </w:r>
      <w:r w:rsidR="00707103">
        <w:t xml:space="preserve">LOS/NLOS </w:t>
      </w:r>
      <w:r>
        <w:t>indicator can optionally be reported</w:t>
      </w:r>
      <w:r w:rsidR="001F24CC">
        <w:t>, the same as in legacy</w:t>
      </w:r>
      <w:r w:rsidR="00707103">
        <w:t>.</w:t>
      </w:r>
      <w:r>
        <w:t xml:space="preserve"> </w:t>
      </w:r>
    </w:p>
    <w:p w14:paraId="007BDC13" w14:textId="1D298B08" w:rsidR="00550177" w:rsidRDefault="00977607" w:rsidP="00CD78EF">
      <w:pPr>
        <w:pStyle w:val="ListParagraph"/>
        <w:numPr>
          <w:ilvl w:val="0"/>
          <w:numId w:val="20"/>
        </w:numPr>
      </w:pPr>
      <w:r>
        <w:t xml:space="preserve">The indicator does not need to be </w:t>
      </w:r>
      <w:r w:rsidR="0081592F">
        <w:t>made a separate measurement</w:t>
      </w:r>
      <w:r w:rsidR="001F24CC">
        <w:t>, the same as in legacy</w:t>
      </w:r>
      <w:r w:rsidR="0081592F">
        <w:t xml:space="preserve">. </w:t>
      </w:r>
    </w:p>
    <w:p w14:paraId="4966348F" w14:textId="77777777" w:rsidR="00157A72" w:rsidRDefault="00157A72" w:rsidP="0081592F"/>
    <w:p w14:paraId="5114BA10" w14:textId="02630DB1" w:rsidR="0081592F" w:rsidRDefault="0081592F" w:rsidP="0081592F">
      <w:proofErr w:type="gramStart"/>
      <w:r>
        <w:t>Thus</w:t>
      </w:r>
      <w:proofErr w:type="gramEnd"/>
      <w:r>
        <w:t xml:space="preserve"> we propose the following </w:t>
      </w:r>
      <w:r w:rsidR="00157A72">
        <w:t>revised</w:t>
      </w:r>
      <w:r>
        <w:t xml:space="preserve"> proposals</w:t>
      </w:r>
      <w:r w:rsidR="00157A72">
        <w:t xml:space="preserve"> on LOS/NLOS indicator for Case 3a. </w:t>
      </w:r>
    </w:p>
    <w:p w14:paraId="5E87E9F8" w14:textId="77777777" w:rsidR="005F64A8" w:rsidRDefault="005F64A8" w:rsidP="005F64A8">
      <w:pPr>
        <w:pStyle w:val="Proposal"/>
      </w:pPr>
      <w:bookmarkStart w:id="2043" w:name="_Toc189845121"/>
      <w:r>
        <w:t xml:space="preserve">For AI/ML assisted positioning Case 3a, when the LOS/NLOS indicator is reported, </w:t>
      </w:r>
      <w:r w:rsidRPr="00665FAE">
        <w:t xml:space="preserve">from RAN1 perspective, the LOS/NLOS indicator provides information on the likelihood of a </w:t>
      </w:r>
      <w:r>
        <w:t xml:space="preserve">physical </w:t>
      </w:r>
      <w:r w:rsidRPr="00665FAE">
        <w:t xml:space="preserve">Line-of-Sight propagation path from the source to the receiver with a value of </w:t>
      </w:r>
      <w:r w:rsidRPr="00665FAE">
        <w:lastRenderedPageBreak/>
        <w:t>1 corresponding to L</w:t>
      </w:r>
      <w:r>
        <w:t>O</w:t>
      </w:r>
      <w:r w:rsidRPr="00665FAE">
        <w:t>S and a value of 0 corresponding to NL</w:t>
      </w:r>
      <w:r>
        <w:t>O</w:t>
      </w:r>
      <w:r w:rsidRPr="00665FAE">
        <w:t xml:space="preserve">S; the LOS/NLOS indicator reuse the same format as the </w:t>
      </w:r>
      <w:r w:rsidRPr="00665FAE">
        <w:rPr>
          <w:szCs w:val="20"/>
        </w:rPr>
        <w:t>existing IE "</w:t>
      </w:r>
      <w:r>
        <w:t>LOS/NLOS</w:t>
      </w:r>
      <w:r w:rsidRPr="00665FAE">
        <w:t xml:space="preserve"> Information</w:t>
      </w:r>
      <w:r w:rsidRPr="00665FAE">
        <w:rPr>
          <w:szCs w:val="20"/>
        </w:rPr>
        <w:t>" in 38.455</w:t>
      </w:r>
      <w:r w:rsidRPr="00665FAE">
        <w:t>.</w:t>
      </w:r>
      <w:bookmarkEnd w:id="2043"/>
    </w:p>
    <w:p w14:paraId="32024F5E" w14:textId="77777777" w:rsidR="00206836" w:rsidRPr="00502E5A" w:rsidRDefault="00206836" w:rsidP="00206836">
      <w:pPr>
        <w:pStyle w:val="Proposal"/>
      </w:pPr>
      <w:bookmarkStart w:id="2044" w:name="_Toc189845122"/>
      <w:r w:rsidRPr="00CD3A3A">
        <w:t>(</w:t>
      </w:r>
      <w:r>
        <w:t>f</w:t>
      </w:r>
      <w:r w:rsidRPr="00CD3A3A">
        <w:t>or conclusion)</w:t>
      </w:r>
      <w:r>
        <w:t xml:space="preserve"> </w:t>
      </w:r>
      <w:r w:rsidRPr="00D13350">
        <w:t>For AI/ML assisted positioning, when the LOS/</w:t>
      </w:r>
      <w:r w:rsidRPr="00502E5A">
        <w:t xml:space="preserve">NLOS indicator is reported for Rel-19 Case 3a, do not support an indication of whether the LOS/NLOS indicator is obtained </w:t>
      </w:r>
      <w:r>
        <w:t>via</w:t>
      </w:r>
      <w:r w:rsidRPr="00502E5A">
        <w:t xml:space="preserve"> a model output</w:t>
      </w:r>
      <w:r>
        <w:t xml:space="preserve"> or via legacy method</w:t>
      </w:r>
      <w:r w:rsidRPr="00502E5A">
        <w:t>.</w:t>
      </w:r>
      <w:bookmarkEnd w:id="2044"/>
    </w:p>
    <w:p w14:paraId="1F27A50A" w14:textId="77777777" w:rsidR="005F64A8" w:rsidRDefault="005F64A8" w:rsidP="005F64A8">
      <w:pPr>
        <w:pStyle w:val="Proposal"/>
      </w:pPr>
      <w:bookmarkStart w:id="2045" w:name="_Toc189845123"/>
      <w:r w:rsidRPr="00675BCF">
        <w:rPr>
          <w:lang w:val="en-GB"/>
        </w:rPr>
        <w:t>From RAN1 perspective, when timing information is reported for Rel-19</w:t>
      </w:r>
      <w:r w:rsidRPr="00675BCF">
        <w:rPr>
          <w:rFonts w:hint="eastAsia"/>
          <w:lang w:val="en-GB"/>
        </w:rPr>
        <w:t xml:space="preserve"> </w:t>
      </w:r>
      <w:r w:rsidRPr="00675BCF">
        <w:rPr>
          <w:lang w:val="en-GB"/>
        </w:rPr>
        <w:t>AI/ML positioning Case 3a,</w:t>
      </w:r>
      <w:r>
        <w:rPr>
          <w:lang w:val="en-GB"/>
        </w:rPr>
        <w:t xml:space="preserve"> </w:t>
      </w:r>
      <w:r w:rsidRPr="00665FAE">
        <w:t xml:space="preserve">one LOS/NLOS indicator is optionally reported per TRP </w:t>
      </w:r>
      <w:r w:rsidRPr="00675BCF">
        <w:rPr>
          <w:lang w:val="en-GB"/>
        </w:rPr>
        <w:t xml:space="preserve">in a measurement report from </w:t>
      </w:r>
      <w:proofErr w:type="spellStart"/>
      <w:r w:rsidRPr="00675BCF">
        <w:rPr>
          <w:lang w:val="en-GB"/>
        </w:rPr>
        <w:t>gNB</w:t>
      </w:r>
      <w:proofErr w:type="spellEnd"/>
      <w:r w:rsidRPr="00675BCF">
        <w:rPr>
          <w:lang w:val="en-GB"/>
        </w:rPr>
        <w:t xml:space="preserve"> to LMF</w:t>
      </w:r>
      <w:r>
        <w:rPr>
          <w:lang w:val="en-GB"/>
        </w:rPr>
        <w:t xml:space="preserve">, </w:t>
      </w:r>
      <w:r w:rsidRPr="00665FAE">
        <w:t>as in the existing specification</w:t>
      </w:r>
      <w:r>
        <w:rPr>
          <w:lang w:val="en-GB"/>
        </w:rPr>
        <w:t>.</w:t>
      </w:r>
      <w:bookmarkEnd w:id="2045"/>
      <w:r>
        <w:rPr>
          <w:lang w:val="en-GB"/>
        </w:rPr>
        <w:t xml:space="preserve"> </w:t>
      </w:r>
    </w:p>
    <w:p w14:paraId="4EF33138" w14:textId="068FEAAF" w:rsidR="005F64A8" w:rsidRPr="004E7006" w:rsidRDefault="005F64A8" w:rsidP="005F64A8">
      <w:pPr>
        <w:pStyle w:val="Proposal"/>
        <w:spacing w:after="0"/>
      </w:pPr>
      <w:bookmarkStart w:id="2046" w:name="_Toc189845124"/>
      <w:r>
        <w:t xml:space="preserve">For measurement report of AI/ML assisted positioning Case 3a, when timing information is reported from </w:t>
      </w:r>
      <w:proofErr w:type="spellStart"/>
      <w:r>
        <w:t>gNB</w:t>
      </w:r>
      <w:proofErr w:type="spellEnd"/>
      <w:r>
        <w:t xml:space="preserve"> to LMF, LMF </w:t>
      </w:r>
      <w:r w:rsidRPr="007767DA">
        <w:t xml:space="preserve">shall be able to distinguish </w:t>
      </w:r>
      <w:r>
        <w:t xml:space="preserve">whether the timing information is obtained </w:t>
      </w:r>
      <w:r w:rsidR="00AE73E2">
        <w:t xml:space="preserve">for Rel-19 measurement report (virtual LOS link) or for </w:t>
      </w:r>
      <w:r>
        <w:t xml:space="preserve">legacy </w:t>
      </w:r>
      <w:r w:rsidR="00AE73E2">
        <w:t>measurement report (physical LOS link)</w:t>
      </w:r>
      <w:r>
        <w:t>.</w:t>
      </w:r>
      <w:bookmarkEnd w:id="2046"/>
      <w:r>
        <w:t xml:space="preserve"> </w:t>
      </w:r>
    </w:p>
    <w:p w14:paraId="62B42136" w14:textId="3CFA15CB" w:rsidR="005F64A8" w:rsidRDefault="005F64A8" w:rsidP="005F64A8">
      <w:pPr>
        <w:pStyle w:val="Proposal"/>
        <w:numPr>
          <w:ilvl w:val="0"/>
          <w:numId w:val="76"/>
        </w:numPr>
        <w:tabs>
          <w:tab w:val="clear" w:pos="1304"/>
        </w:tabs>
        <w:spacing w:after="0"/>
        <w:ind w:left="1710" w:hanging="584"/>
      </w:pPr>
      <w:bookmarkStart w:id="2047" w:name="_Toc189845125"/>
      <w:r>
        <w:t xml:space="preserve">For timing information obtained </w:t>
      </w:r>
      <w:r w:rsidR="00522931">
        <w:t>for</w:t>
      </w:r>
      <w:r>
        <w:t xml:space="preserve"> </w:t>
      </w:r>
      <w:r w:rsidR="00522931">
        <w:t>R</w:t>
      </w:r>
      <w:r>
        <w:t>el</w:t>
      </w:r>
      <w:r w:rsidR="00522931">
        <w:t>-</w:t>
      </w:r>
      <w:r>
        <w:t xml:space="preserve">19 </w:t>
      </w:r>
      <w:r w:rsidR="00522931">
        <w:t>measurement report</w:t>
      </w:r>
      <w:r>
        <w:t xml:space="preserve">, </w:t>
      </w:r>
      <w:proofErr w:type="gramStart"/>
      <w:r>
        <w:t>If</w:t>
      </w:r>
      <w:proofErr w:type="gramEnd"/>
      <w:r>
        <w:t xml:space="preserve"> a timing measurement is reported together with the LOS/NLOS indicator, the indicator status (for physical LOS/NLOS) </w:t>
      </w:r>
      <w:r w:rsidR="00522931">
        <w:t>is</w:t>
      </w:r>
      <w:r>
        <w:t xml:space="preserve"> decoupled from the reported timing measurement (for virtual LOS)</w:t>
      </w:r>
      <w:bookmarkEnd w:id="2047"/>
    </w:p>
    <w:p w14:paraId="336AF5BA" w14:textId="45E2B288" w:rsidR="005F64A8" w:rsidRPr="00F03D79" w:rsidRDefault="005F64A8" w:rsidP="005F64A8">
      <w:pPr>
        <w:pStyle w:val="Proposal"/>
        <w:numPr>
          <w:ilvl w:val="0"/>
          <w:numId w:val="76"/>
        </w:numPr>
        <w:tabs>
          <w:tab w:val="clear" w:pos="1304"/>
        </w:tabs>
        <w:spacing w:after="0"/>
        <w:ind w:left="1710" w:hanging="584"/>
      </w:pPr>
      <w:bookmarkStart w:id="2048" w:name="_Toc189845126"/>
      <w:r w:rsidRPr="004E7006">
        <w:t xml:space="preserve">Note: when the TRP-UE </w:t>
      </w:r>
      <w:r w:rsidR="00522931">
        <w:t xml:space="preserve">radio </w:t>
      </w:r>
      <w:r w:rsidRPr="004E7006">
        <w:t>link is LOS, the virtual LOS coincides with the physical LOS.</w:t>
      </w:r>
      <w:bookmarkEnd w:id="2048"/>
      <w:r w:rsidRPr="00F03D79">
        <w:t xml:space="preserve"> </w:t>
      </w:r>
    </w:p>
    <w:p w14:paraId="0F1D4936" w14:textId="34D5AEAD" w:rsidR="00157A72" w:rsidRPr="00D13350" w:rsidRDefault="005F64A8" w:rsidP="007767DA">
      <w:pPr>
        <w:pStyle w:val="Proposal"/>
        <w:numPr>
          <w:ilvl w:val="0"/>
          <w:numId w:val="76"/>
        </w:numPr>
        <w:tabs>
          <w:tab w:val="clear" w:pos="1304"/>
        </w:tabs>
        <w:spacing w:after="0"/>
        <w:ind w:left="1710" w:hanging="584"/>
        <w:rPr>
          <w:rFonts w:eastAsia="DengXian"/>
          <w:szCs w:val="20"/>
        </w:rPr>
      </w:pPr>
      <w:bookmarkStart w:id="2049" w:name="_Toc189845127"/>
      <w:r>
        <w:t xml:space="preserve">Details of </w:t>
      </w:r>
      <w:r w:rsidR="00522931">
        <w:t xml:space="preserve">how to </w:t>
      </w:r>
      <w:r>
        <w:t>associat</w:t>
      </w:r>
      <w:r w:rsidR="00522931">
        <w:t>e the Rel-19 timing information</w:t>
      </w:r>
      <w:r>
        <w:t xml:space="preserve"> with virtual LOS is up to RAN2/3, e.g. indication in measurement report, or configuration in measurement request.</w:t>
      </w:r>
      <w:bookmarkEnd w:id="2049"/>
      <w:r>
        <w:t xml:space="preserve">  </w:t>
      </w:r>
      <w:bookmarkStart w:id="2050" w:name="_Hlk181976871"/>
      <w:bookmarkStart w:id="2051" w:name="_Toc189125159"/>
      <w:bookmarkStart w:id="2052" w:name="_Toc189835433"/>
      <w:bookmarkEnd w:id="2051"/>
      <w:bookmarkEnd w:id="2052"/>
    </w:p>
    <w:bookmarkEnd w:id="2050"/>
    <w:p w14:paraId="75B1D293" w14:textId="7A956DA4" w:rsidR="0081592F" w:rsidRPr="004A0D64" w:rsidRDefault="0081592F" w:rsidP="007767DA">
      <w:pPr>
        <w:pStyle w:val="Proposal"/>
        <w:numPr>
          <w:ilvl w:val="0"/>
          <w:numId w:val="0"/>
        </w:numPr>
      </w:pPr>
    </w:p>
    <w:p w14:paraId="73D02508" w14:textId="65C6D849" w:rsidR="004A0D64" w:rsidRPr="00E215F0" w:rsidRDefault="004A0D64" w:rsidP="004A0D64">
      <w:pPr>
        <w:pStyle w:val="Heading3"/>
        <w:rPr>
          <w:lang w:val="en-US"/>
        </w:rPr>
      </w:pPr>
      <w:bookmarkStart w:id="2053" w:name="_Toc165991005"/>
      <w:bookmarkStart w:id="2054" w:name="_Toc189845029"/>
      <w:r w:rsidRPr="00E215F0">
        <w:rPr>
          <w:lang w:val="en-US"/>
        </w:rPr>
        <w:t>Timing info</w:t>
      </w:r>
      <w:r w:rsidR="00C62977">
        <w:rPr>
          <w:lang w:val="en-US"/>
        </w:rPr>
        <w:t>rmation</w:t>
      </w:r>
      <w:bookmarkEnd w:id="2053"/>
      <w:bookmarkEnd w:id="2054"/>
      <w:r w:rsidRPr="00E215F0">
        <w:rPr>
          <w:lang w:val="en-US"/>
        </w:rPr>
        <w:t xml:space="preserve"> </w:t>
      </w:r>
    </w:p>
    <w:p w14:paraId="2B05B527" w14:textId="5591C781" w:rsidR="00D22685" w:rsidRPr="00E215F0" w:rsidRDefault="00AE691B" w:rsidP="0077693D">
      <w:r w:rsidRPr="00E215F0">
        <w:t xml:space="preserve">For AI/ML assisted positioning, </w:t>
      </w:r>
      <w:r w:rsidR="006E2659">
        <w:t>RAN1 has agreed that</w:t>
      </w:r>
      <w:r w:rsidRPr="00E215F0">
        <w:t xml:space="preserve"> the reported timing information are </w:t>
      </w:r>
      <w:r w:rsidR="006E2659">
        <w:t xml:space="preserve">reported </w:t>
      </w:r>
      <w:r w:rsidRPr="00E215F0">
        <w:t>in the format of UL</w:t>
      </w:r>
      <w:r w:rsidR="00064338">
        <w:t>-</w:t>
      </w:r>
      <w:r w:rsidRPr="00E215F0">
        <w:t>RTOA, DL</w:t>
      </w:r>
      <w:r w:rsidR="005C6D6A">
        <w:t>-</w:t>
      </w:r>
      <w:r w:rsidR="00A115CB">
        <w:t>RSTD</w:t>
      </w:r>
      <w:r w:rsidRPr="00E215F0">
        <w:t xml:space="preserve">, </w:t>
      </w:r>
      <w:proofErr w:type="spellStart"/>
      <w:r w:rsidRPr="00E215F0">
        <w:t>gNB</w:t>
      </w:r>
      <w:proofErr w:type="spellEnd"/>
      <w:r w:rsidRPr="00E215F0">
        <w:t xml:space="preserve"> </w:t>
      </w:r>
      <w:proofErr w:type="spellStart"/>
      <w:r w:rsidRPr="00E215F0">
        <w:t>RxTxTimeDiff</w:t>
      </w:r>
      <w:proofErr w:type="spellEnd"/>
      <w:r w:rsidRPr="00E215F0">
        <w:t xml:space="preserve"> and UE </w:t>
      </w:r>
      <w:proofErr w:type="spellStart"/>
      <w:r w:rsidRPr="00E215F0">
        <w:t>RxTxTimeDiff</w:t>
      </w:r>
      <w:proofErr w:type="spellEnd"/>
      <w:r w:rsidRPr="00E215F0">
        <w:t>.</w:t>
      </w:r>
      <w:r w:rsidR="006E2659">
        <w:t xml:space="preserve"> Thus</w:t>
      </w:r>
      <w:r w:rsidR="00E236E0">
        <w:t>,</w:t>
      </w:r>
      <w:r w:rsidR="006E2659">
        <w:t xml:space="preserve"> the </w:t>
      </w:r>
      <w:r w:rsidR="006E2659" w:rsidRPr="00E215F0">
        <w:t xml:space="preserve">existing measurement reporting in LPP and </w:t>
      </w:r>
      <w:proofErr w:type="spellStart"/>
      <w:r w:rsidR="006E2659" w:rsidRPr="00E215F0">
        <w:t>NRPPa</w:t>
      </w:r>
      <w:proofErr w:type="spellEnd"/>
      <w:r w:rsidR="006E2659">
        <w:t xml:space="preserve"> can be easily reused.</w:t>
      </w:r>
    </w:p>
    <w:p w14:paraId="37474447" w14:textId="688A4368" w:rsidR="0077693D" w:rsidRPr="00E215F0" w:rsidRDefault="0077693D" w:rsidP="002938DE">
      <w:pPr>
        <w:pStyle w:val="Proposal"/>
      </w:pPr>
      <w:bookmarkStart w:id="2055" w:name="_Toc189845128"/>
      <w:r w:rsidRPr="00E215F0">
        <w:t xml:space="preserve">Reuse the existing measurement reporting in LPP and </w:t>
      </w:r>
      <w:proofErr w:type="spellStart"/>
      <w:r w:rsidRPr="00E215F0">
        <w:t>NRPPa</w:t>
      </w:r>
      <w:proofErr w:type="spellEnd"/>
      <w:r w:rsidRPr="00E215F0">
        <w:t xml:space="preserve"> to report </w:t>
      </w:r>
      <w:r w:rsidR="00AE691B" w:rsidRPr="00E215F0">
        <w:t xml:space="preserve">timing information for the </w:t>
      </w:r>
      <w:r w:rsidRPr="00E215F0">
        <w:t xml:space="preserve">model output </w:t>
      </w:r>
      <w:r w:rsidR="00AE691B" w:rsidRPr="00E215F0">
        <w:t>of</w:t>
      </w:r>
      <w:r w:rsidRPr="00E215F0">
        <w:t xml:space="preserve"> AI/ML assisted positioning.</w:t>
      </w:r>
      <w:bookmarkEnd w:id="2055"/>
    </w:p>
    <w:p w14:paraId="44426671" w14:textId="59AC2A44" w:rsidR="00C67F9B" w:rsidRPr="00E215F0" w:rsidRDefault="00395F44" w:rsidP="00C67F9B">
      <w:pPr>
        <w:rPr>
          <w:szCs w:val="18"/>
          <w:lang w:eastAsia="en-GB"/>
        </w:rPr>
      </w:pPr>
      <w:r>
        <w:rPr>
          <w:szCs w:val="18"/>
          <w:lang w:eastAsia="en-GB"/>
        </w:rPr>
        <w:t xml:space="preserve">For </w:t>
      </w:r>
      <w:r w:rsidR="00DA6EB4">
        <w:rPr>
          <w:szCs w:val="18"/>
          <w:lang w:eastAsia="en-GB"/>
        </w:rPr>
        <w:t>C</w:t>
      </w:r>
      <w:r>
        <w:rPr>
          <w:szCs w:val="18"/>
          <w:lang w:eastAsia="en-GB"/>
        </w:rPr>
        <w:t xml:space="preserve">ase 3a, </w:t>
      </w:r>
      <w:r w:rsidR="008C4472">
        <w:rPr>
          <w:szCs w:val="18"/>
          <w:lang w:eastAsia="en-GB"/>
        </w:rPr>
        <w:t>a</w:t>
      </w:r>
      <w:r w:rsidR="008C4472" w:rsidRPr="00E215F0">
        <w:rPr>
          <w:szCs w:val="18"/>
          <w:lang w:eastAsia="en-GB"/>
        </w:rPr>
        <w:t xml:space="preserve">fter </w:t>
      </w:r>
      <w:r w:rsidR="00C67F9B" w:rsidRPr="00E215F0">
        <w:rPr>
          <w:szCs w:val="18"/>
          <w:lang w:eastAsia="en-GB"/>
        </w:rPr>
        <w:t>model output</w:t>
      </w:r>
      <w:r w:rsidR="00C67F9B">
        <w:rPr>
          <w:szCs w:val="18"/>
          <w:lang w:eastAsia="en-GB"/>
        </w:rPr>
        <w:t xml:space="preserve"> (UL</w:t>
      </w:r>
      <w:r w:rsidR="00272BAF">
        <w:rPr>
          <w:szCs w:val="18"/>
          <w:lang w:eastAsia="en-GB"/>
        </w:rPr>
        <w:t>-</w:t>
      </w:r>
      <w:r w:rsidR="00C67F9B">
        <w:rPr>
          <w:szCs w:val="18"/>
          <w:lang w:eastAsia="en-GB"/>
        </w:rPr>
        <w:t>RTOA)</w:t>
      </w:r>
      <w:r w:rsidR="00C67F9B" w:rsidRPr="00E215F0">
        <w:rPr>
          <w:szCs w:val="18"/>
          <w:lang w:eastAsia="en-GB"/>
        </w:rPr>
        <w:t xml:space="preserve"> is generated, post processing can be applied to the model output to generate the timing information for measurement report, where the reported timing information can follow any desired format according to the associated legacy positioning method. </w:t>
      </w:r>
      <w:r w:rsidR="00C67F9B">
        <w:rPr>
          <w:szCs w:val="18"/>
          <w:lang w:eastAsia="en-GB"/>
        </w:rPr>
        <w:t xml:space="preserve">This is illustrated in </w:t>
      </w:r>
      <w:r w:rsidR="00F12DB7">
        <w:rPr>
          <w:szCs w:val="18"/>
          <w:lang w:eastAsia="en-GB"/>
        </w:rPr>
        <w:fldChar w:fldCharType="begin"/>
      </w:r>
      <w:r w:rsidR="00F12DB7">
        <w:rPr>
          <w:szCs w:val="18"/>
          <w:lang w:eastAsia="en-GB"/>
        </w:rPr>
        <w:instrText xml:space="preserve"> REF _Ref163145283 </w:instrText>
      </w:r>
      <w:r w:rsidR="00F12DB7">
        <w:rPr>
          <w:szCs w:val="18"/>
          <w:lang w:eastAsia="en-GB"/>
        </w:rPr>
        <w:fldChar w:fldCharType="separate"/>
      </w:r>
      <w:r w:rsidR="00C713E4" w:rsidRPr="00E215F0">
        <w:t xml:space="preserve">Figure </w:t>
      </w:r>
      <w:r w:rsidR="00C713E4">
        <w:rPr>
          <w:noProof/>
        </w:rPr>
        <w:t>3</w:t>
      </w:r>
      <w:r w:rsidR="00F12DB7">
        <w:rPr>
          <w:szCs w:val="18"/>
          <w:lang w:eastAsia="en-GB"/>
        </w:rPr>
        <w:fldChar w:fldCharType="end"/>
      </w:r>
      <w:r w:rsidR="00F12DB7">
        <w:rPr>
          <w:szCs w:val="18"/>
          <w:lang w:eastAsia="en-GB"/>
        </w:rPr>
        <w:t>.</w:t>
      </w:r>
    </w:p>
    <w:p w14:paraId="679592C4" w14:textId="77777777" w:rsidR="00F34471" w:rsidRDefault="00F34471" w:rsidP="008608FF"/>
    <w:p w14:paraId="5F9E2BA8" w14:textId="33E555CA" w:rsidR="00F34471" w:rsidRDefault="00C67F9B" w:rsidP="008608FF">
      <w:r>
        <w:rPr>
          <w:noProof/>
        </w:rPr>
        <w:lastRenderedPageBreak/>
        <w:drawing>
          <wp:inline distT="0" distB="0" distL="0" distR="0" wp14:anchorId="6097A828" wp14:editId="54A5AED6">
            <wp:extent cx="5940482" cy="247982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2556" cy="2484868"/>
                    </a:xfrm>
                    <a:prstGeom prst="rect">
                      <a:avLst/>
                    </a:prstGeom>
                    <a:noFill/>
                  </pic:spPr>
                </pic:pic>
              </a:graphicData>
            </a:graphic>
          </wp:inline>
        </w:drawing>
      </w:r>
    </w:p>
    <w:p w14:paraId="3B430BDD" w14:textId="5C9F6E9B" w:rsidR="00C67F9B" w:rsidRPr="00E215F0" w:rsidRDefault="00C67F9B" w:rsidP="00C67F9B">
      <w:pPr>
        <w:pStyle w:val="Caption"/>
        <w:rPr>
          <w:b w:val="0"/>
          <w:bCs/>
        </w:rPr>
      </w:pPr>
      <w:bookmarkStart w:id="2056" w:name="_Ref163145283"/>
      <w:bookmarkStart w:id="2057" w:name="_Ref178784889"/>
      <w:r w:rsidRPr="00E215F0">
        <w:t xml:space="preserve">Figure </w:t>
      </w:r>
      <w:r w:rsidR="00E70DE4">
        <w:fldChar w:fldCharType="begin"/>
      </w:r>
      <w:r w:rsidR="00E70DE4">
        <w:instrText xml:space="preserve"> SEQ Figure \* ARABIC </w:instrText>
      </w:r>
      <w:r w:rsidR="00E70DE4">
        <w:fldChar w:fldCharType="separate"/>
      </w:r>
      <w:r w:rsidR="00C713E4">
        <w:rPr>
          <w:noProof/>
        </w:rPr>
        <w:t>3</w:t>
      </w:r>
      <w:r w:rsidR="00E70DE4">
        <w:rPr>
          <w:noProof/>
        </w:rPr>
        <w:fldChar w:fldCharType="end"/>
      </w:r>
      <w:bookmarkEnd w:id="2056"/>
      <w:r w:rsidRPr="00E215F0">
        <w:t xml:space="preserve">. Illustration of </w:t>
      </w:r>
      <w:r>
        <w:t>postprocessing AI/ML assisted model output to provide measurements for reporting to LMF</w:t>
      </w:r>
      <w:r w:rsidRPr="00E215F0">
        <w:t>.</w:t>
      </w:r>
      <w:bookmarkEnd w:id="2057"/>
    </w:p>
    <w:p w14:paraId="45818957" w14:textId="77777777" w:rsidR="00F34471" w:rsidRDefault="00F34471" w:rsidP="008608FF"/>
    <w:p w14:paraId="1E1F1A05" w14:textId="6CD1F715" w:rsidR="008C4472" w:rsidRDefault="008C4472" w:rsidP="008608FF">
      <w:r>
        <w:t xml:space="preserve">As illustrated in </w:t>
      </w:r>
      <w:r w:rsidR="00E70DE4">
        <w:fldChar w:fldCharType="begin"/>
      </w:r>
      <w:r w:rsidR="00E70DE4">
        <w:instrText xml:space="preserve"> REF _Ref163145283 </w:instrText>
      </w:r>
      <w:r w:rsidR="00E70DE4">
        <w:fldChar w:fldCharType="separate"/>
      </w:r>
      <w:r w:rsidR="00C713E4" w:rsidRPr="00E215F0">
        <w:t xml:space="preserve">Figure </w:t>
      </w:r>
      <w:r w:rsidR="00C713E4">
        <w:rPr>
          <w:noProof/>
        </w:rPr>
        <w:t>3</w:t>
      </w:r>
      <w:r w:rsidR="00E70DE4">
        <w:rPr>
          <w:noProof/>
        </w:rPr>
        <w:fldChar w:fldCharType="end"/>
      </w:r>
      <w:r>
        <w:t xml:space="preserve">, </w:t>
      </w:r>
      <w:r w:rsidR="005365C8">
        <w:t xml:space="preserve">thanks to the postprocessing of model output, </w:t>
      </w:r>
      <w:r>
        <w:t>only one model need</w:t>
      </w:r>
      <w:r w:rsidR="005365C8">
        <w:t>s to be trained and maintained</w:t>
      </w:r>
      <w:r>
        <w:t xml:space="preserve"> for Case 3a</w:t>
      </w:r>
      <w:r w:rsidR="005365C8">
        <w:t>,</w:t>
      </w:r>
      <w:r>
        <w:t xml:space="preserve"> regardless of the TRP measurement result to report. This has several benefits compared to having different models for different measurement results (i.e., UL RTOA, </w:t>
      </w:r>
      <w:proofErr w:type="spellStart"/>
      <w:r>
        <w:t>gNB</w:t>
      </w:r>
      <w:proofErr w:type="spellEnd"/>
      <w:r>
        <w:t xml:space="preserve"> </w:t>
      </w:r>
      <w:proofErr w:type="spellStart"/>
      <w:r>
        <w:t>RxTxTimeDiff</w:t>
      </w:r>
      <w:proofErr w:type="spellEnd"/>
      <w:r>
        <w:t>):</w:t>
      </w:r>
    </w:p>
    <w:p w14:paraId="45A67B70" w14:textId="3FCD32B8" w:rsidR="008C4472" w:rsidRDefault="008C4472" w:rsidP="005925D5">
      <w:pPr>
        <w:pStyle w:val="ListParagraph"/>
        <w:numPr>
          <w:ilvl w:val="0"/>
          <w:numId w:val="76"/>
        </w:numPr>
        <w:tabs>
          <w:tab w:val="clear" w:pos="1304"/>
        </w:tabs>
        <w:ind w:left="900" w:hanging="540"/>
      </w:pPr>
      <w:r>
        <w:t xml:space="preserve">For all LCM stages including training data collection, model training and model monitoring, the complexity and overhead are much lower when only one model is needed instead of </w:t>
      </w:r>
      <w:proofErr w:type="gramStart"/>
      <w:r>
        <w:t>two;</w:t>
      </w:r>
      <w:proofErr w:type="gramEnd"/>
    </w:p>
    <w:p w14:paraId="47A3CC5F" w14:textId="133273D9" w:rsidR="008C4472" w:rsidRDefault="008C4472" w:rsidP="005925D5">
      <w:pPr>
        <w:pStyle w:val="ListParagraph"/>
        <w:numPr>
          <w:ilvl w:val="0"/>
          <w:numId w:val="76"/>
        </w:numPr>
        <w:tabs>
          <w:tab w:val="clear" w:pos="1304"/>
        </w:tabs>
        <w:ind w:left="900" w:hanging="540"/>
      </w:pPr>
      <w:r>
        <w:t xml:space="preserve">For model inference, </w:t>
      </w:r>
      <w:r w:rsidR="005365C8">
        <w:t>using one model instead of two saves chip area, memory requirement, cost, and power consumption.</w:t>
      </w:r>
    </w:p>
    <w:p w14:paraId="6BCA9940" w14:textId="676F14A4" w:rsidR="005365C8" w:rsidRDefault="005365C8" w:rsidP="005925D5">
      <w:pPr>
        <w:pStyle w:val="ListParagraph"/>
        <w:numPr>
          <w:ilvl w:val="0"/>
          <w:numId w:val="76"/>
        </w:numPr>
        <w:tabs>
          <w:tab w:val="clear" w:pos="1304"/>
        </w:tabs>
        <w:ind w:left="900" w:hanging="540"/>
      </w:pPr>
      <w:r>
        <w:t xml:space="preserve">For model inference, the LMF can freely make a request for UL RTOA or </w:t>
      </w:r>
      <w:proofErr w:type="spellStart"/>
      <w:r>
        <w:t>gNB</w:t>
      </w:r>
      <w:proofErr w:type="spellEnd"/>
      <w:r>
        <w:t xml:space="preserve"> </w:t>
      </w:r>
      <w:proofErr w:type="spellStart"/>
      <w:r>
        <w:t>RxTxTimeDiff</w:t>
      </w:r>
      <w:proofErr w:type="spellEnd"/>
      <w:r>
        <w:t xml:space="preserve"> without considering that </w:t>
      </w:r>
      <w:proofErr w:type="spellStart"/>
      <w:r>
        <w:t>gNB</w:t>
      </w:r>
      <w:proofErr w:type="spellEnd"/>
      <w:r>
        <w:t xml:space="preserve"> may need an extra delay to switch models, if the </w:t>
      </w:r>
      <w:proofErr w:type="spellStart"/>
      <w:r>
        <w:t>gNB</w:t>
      </w:r>
      <w:proofErr w:type="spellEnd"/>
      <w:r>
        <w:t xml:space="preserve"> needs to activate a different model according to the measurement request.</w:t>
      </w:r>
    </w:p>
    <w:p w14:paraId="446E56F5" w14:textId="77777777" w:rsidR="00C51D7D" w:rsidRPr="00E215F0" w:rsidRDefault="00C51D7D" w:rsidP="008608FF"/>
    <w:p w14:paraId="653D21AA" w14:textId="498020A1" w:rsidR="00D355AC" w:rsidRPr="00E215F0" w:rsidRDefault="00D355AC" w:rsidP="008608FF">
      <w:r w:rsidRPr="00E215F0">
        <w:t>Based on the discussion above, the following are proposed.</w:t>
      </w:r>
    </w:p>
    <w:p w14:paraId="548DB0EC" w14:textId="457689B0" w:rsidR="00D355AC" w:rsidRPr="00E215F0" w:rsidRDefault="00D355AC" w:rsidP="002938DE">
      <w:pPr>
        <w:pStyle w:val="Proposal"/>
      </w:pPr>
      <w:bookmarkStart w:id="2058" w:name="_Toc189845129"/>
      <w:r w:rsidRPr="00E215F0">
        <w:t xml:space="preserve">For AI/ML assisted positioning at </w:t>
      </w:r>
      <w:proofErr w:type="spellStart"/>
      <w:r w:rsidRPr="00E215F0">
        <w:t>gNB</w:t>
      </w:r>
      <w:proofErr w:type="spellEnd"/>
      <w:r w:rsidRPr="00E215F0">
        <w:t xml:space="preserve"> (Case 3a), the model output is uplink relative time of arrival (</w:t>
      </w:r>
      <w:r w:rsidRPr="00E215F0">
        <w:rPr>
          <w:rFonts w:cs="Arial"/>
          <w:szCs w:val="18"/>
          <w:lang w:eastAsia="en-GB"/>
        </w:rPr>
        <w:t>T</w:t>
      </w:r>
      <w:r w:rsidRPr="00E215F0">
        <w:rPr>
          <w:rFonts w:cs="Arial"/>
          <w:szCs w:val="18"/>
          <w:vertAlign w:val="subscript"/>
          <w:lang w:eastAsia="en-GB"/>
        </w:rPr>
        <w:t>UL-RTOA</w:t>
      </w:r>
      <w:r w:rsidRPr="00E215F0">
        <w:t>).</w:t>
      </w:r>
      <w:bookmarkEnd w:id="2058"/>
    </w:p>
    <w:p w14:paraId="79C82E65" w14:textId="5711A60C" w:rsidR="00B6548D" w:rsidRPr="008B62F2" w:rsidRDefault="00D355AC" w:rsidP="008B62F2">
      <w:pPr>
        <w:pStyle w:val="Proposal"/>
        <w:rPr>
          <w:rFonts w:ascii="Calibri" w:hAnsi="Calibri"/>
          <w:sz w:val="20"/>
          <w:szCs w:val="22"/>
        </w:rPr>
      </w:pPr>
      <w:bookmarkStart w:id="2059" w:name="_Toc189845130"/>
      <w:r w:rsidRPr="00A42A36">
        <w:t xml:space="preserve">For AI/ML assisted positioning at </w:t>
      </w:r>
      <w:proofErr w:type="spellStart"/>
      <w:r w:rsidRPr="00A42A36">
        <w:t>gNB</w:t>
      </w:r>
      <w:proofErr w:type="spellEnd"/>
      <w:r w:rsidRPr="00A42A36">
        <w:t xml:space="preserve"> (Case 3a), postprocessing is applied to generate </w:t>
      </w:r>
      <w:proofErr w:type="spellStart"/>
      <w:r w:rsidRPr="00A42A36">
        <w:t>gNB</w:t>
      </w:r>
      <w:proofErr w:type="spellEnd"/>
      <w:r w:rsidRPr="00A42A36">
        <w:t xml:space="preserve"> </w:t>
      </w:r>
      <w:proofErr w:type="spellStart"/>
      <w:r w:rsidRPr="00A42A36">
        <w:t>RxTxTimeDiff</w:t>
      </w:r>
      <w:proofErr w:type="spellEnd"/>
      <w:r w:rsidRPr="00A42A36">
        <w:t xml:space="preserve"> for measurement reporting of multi-RTT method.</w:t>
      </w:r>
      <w:bookmarkStart w:id="2060" w:name="_Toc178705338"/>
      <w:bookmarkStart w:id="2061" w:name="_Toc178706240"/>
      <w:bookmarkStart w:id="2062" w:name="_Toc178709218"/>
      <w:bookmarkStart w:id="2063" w:name="_Toc178772940"/>
      <w:bookmarkStart w:id="2064" w:name="_Toc178929542"/>
      <w:bookmarkStart w:id="2065" w:name="_Toc178705339"/>
      <w:bookmarkStart w:id="2066" w:name="_Toc178706241"/>
      <w:bookmarkStart w:id="2067" w:name="_Toc178709219"/>
      <w:bookmarkStart w:id="2068" w:name="_Toc178772941"/>
      <w:bookmarkStart w:id="2069" w:name="_Toc178929543"/>
      <w:bookmarkStart w:id="2070" w:name="_Toc189125165"/>
      <w:bookmarkStart w:id="2071" w:name="_Toc189835438"/>
      <w:bookmarkStart w:id="2072" w:name="_Toc189125166"/>
      <w:bookmarkStart w:id="2073" w:name="_Toc189835439"/>
      <w:bookmarkStart w:id="2074" w:name="_Toc189125167"/>
      <w:bookmarkStart w:id="2075" w:name="_Toc189835440"/>
      <w:bookmarkStart w:id="2076" w:name="_Toc189125168"/>
      <w:bookmarkStart w:id="2077" w:name="_Toc189835441"/>
      <w:bookmarkStart w:id="2078" w:name="_Toc189125169"/>
      <w:bookmarkStart w:id="2079" w:name="_Toc189835442"/>
      <w:bookmarkStart w:id="2080" w:name="_Toc189125170"/>
      <w:bookmarkStart w:id="2081" w:name="_Toc189835443"/>
      <w:bookmarkStart w:id="2082" w:name="_Toc189125171"/>
      <w:bookmarkStart w:id="2083" w:name="_Toc189835444"/>
      <w:bookmarkStart w:id="2084" w:name="_Toc189125172"/>
      <w:bookmarkStart w:id="2085" w:name="_Toc189835445"/>
      <w:bookmarkStart w:id="2086" w:name="_Toc173851174"/>
      <w:bookmarkStart w:id="2087" w:name="_Toc173940926"/>
      <w:bookmarkStart w:id="2088" w:name="_Toc189125173"/>
      <w:bookmarkStart w:id="2089" w:name="_Toc189835446"/>
      <w:bookmarkStart w:id="2090" w:name="_Toc189125174"/>
      <w:bookmarkStart w:id="2091" w:name="_Toc189835447"/>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59"/>
    </w:p>
    <w:p w14:paraId="779669C6" w14:textId="081F6E10" w:rsidR="00723C89" w:rsidRPr="00194B5B" w:rsidRDefault="00F34C4A" w:rsidP="000C1AA0">
      <w:pPr>
        <w:pStyle w:val="Heading3"/>
      </w:pPr>
      <w:bookmarkStart w:id="2092" w:name="_Toc165991007"/>
      <w:bookmarkStart w:id="2093" w:name="_Toc189845030"/>
      <w:r w:rsidRPr="2D465EB9">
        <w:rPr>
          <w:lang w:val="en-US"/>
        </w:rPr>
        <w:lastRenderedPageBreak/>
        <w:t xml:space="preserve">Indication of </w:t>
      </w:r>
      <w:r w:rsidR="008130C1" w:rsidRPr="2D465EB9">
        <w:rPr>
          <w:lang w:val="en-US"/>
        </w:rPr>
        <w:t>AI</w:t>
      </w:r>
      <w:r w:rsidRPr="2D465EB9">
        <w:rPr>
          <w:lang w:val="en-US"/>
        </w:rPr>
        <w:t>/</w:t>
      </w:r>
      <w:r w:rsidR="008130C1" w:rsidRPr="2D465EB9">
        <w:rPr>
          <w:lang w:val="en-US"/>
        </w:rPr>
        <w:t xml:space="preserve">ML assistance in </w:t>
      </w:r>
      <w:r w:rsidRPr="2D465EB9">
        <w:rPr>
          <w:lang w:val="en-US"/>
        </w:rPr>
        <w:t xml:space="preserve">generating </w:t>
      </w:r>
      <w:r w:rsidR="008130C1" w:rsidRPr="2D465EB9">
        <w:rPr>
          <w:lang w:val="en-US"/>
        </w:rPr>
        <w:t>measurement reports</w:t>
      </w:r>
      <w:bookmarkEnd w:id="2092"/>
      <w:bookmarkEnd w:id="2093"/>
    </w:p>
    <w:p w14:paraId="2FF8D1D0" w14:textId="4DB02E3C" w:rsidR="00723C89" w:rsidRDefault="008130C1" w:rsidP="00723C89">
      <w:r>
        <w:t xml:space="preserve">Based on the previous section, </w:t>
      </w:r>
      <w:proofErr w:type="gramStart"/>
      <w:r>
        <w:t>it is clear that there</w:t>
      </w:r>
      <w:proofErr w:type="gramEnd"/>
      <w:r>
        <w:t xml:space="preserve"> is a need to differentiate measurements </w:t>
      </w:r>
      <w:r w:rsidR="00FC3247">
        <w:t xml:space="preserve">generated </w:t>
      </w:r>
      <w:r w:rsidR="003C172F">
        <w:t>with AI</w:t>
      </w:r>
      <w:r w:rsidR="009E5598">
        <w:t>/</w:t>
      </w:r>
      <w:r w:rsidR="003C172F">
        <w:t xml:space="preserve">ML model assistance from legacy measurements, since the actual interpretation of the </w:t>
      </w:r>
      <w:r w:rsidR="006C0D8A">
        <w:t xml:space="preserve">timing </w:t>
      </w:r>
      <w:r w:rsidR="003C172F">
        <w:t>measurement differ</w:t>
      </w:r>
      <w:r w:rsidR="00A80EE4">
        <w:t>s</w:t>
      </w:r>
      <w:r w:rsidR="003C172F">
        <w:t xml:space="preserve">. </w:t>
      </w:r>
    </w:p>
    <w:p w14:paraId="7795D819" w14:textId="28537CCB" w:rsidR="00723C89" w:rsidRDefault="00723C89" w:rsidP="00723C89">
      <w:r>
        <w:t xml:space="preserve">To identify the meaning of the </w:t>
      </w:r>
      <w:r w:rsidR="006C0D8A">
        <w:t>timing information sent to LMF</w:t>
      </w:r>
      <w:r>
        <w:t>, and more generally what part of the UE/</w:t>
      </w:r>
      <w:proofErr w:type="spellStart"/>
      <w:r>
        <w:t>gNB</w:t>
      </w:r>
      <w:proofErr w:type="spellEnd"/>
      <w:r>
        <w:t xml:space="preserve"> report is produced with assistance from the AI/ML model, we see three possible option</w:t>
      </w:r>
      <w:r w:rsidR="00A80EE4">
        <w:t>s</w:t>
      </w:r>
      <w:r>
        <w:t>:</w:t>
      </w:r>
    </w:p>
    <w:p w14:paraId="4A90387C" w14:textId="25E75123" w:rsidR="00723C89" w:rsidRPr="00194B5B" w:rsidRDefault="00723C89" w:rsidP="00723C89">
      <w:pPr>
        <w:pStyle w:val="ListParagraph"/>
        <w:numPr>
          <w:ilvl w:val="0"/>
          <w:numId w:val="14"/>
        </w:numPr>
      </w:pPr>
      <w:r w:rsidRPr="00194B5B">
        <w:t>Option 1: A new report message specific to AI</w:t>
      </w:r>
      <w:r w:rsidR="00463D73">
        <w:t>/</w:t>
      </w:r>
      <w:r w:rsidRPr="00194B5B">
        <w:t>ML assisted positioning cases 3a/2a</w:t>
      </w:r>
    </w:p>
    <w:p w14:paraId="19D3BB33" w14:textId="362079F1" w:rsidR="00723C89" w:rsidRPr="00194B5B" w:rsidRDefault="00723C89" w:rsidP="00723C89">
      <w:pPr>
        <w:pStyle w:val="ListParagraph"/>
        <w:numPr>
          <w:ilvl w:val="0"/>
          <w:numId w:val="14"/>
        </w:numPr>
      </w:pPr>
      <w:r w:rsidRPr="00194B5B">
        <w:t>Option 2: an indicator in the existing report, indicating that the report was produced using AI</w:t>
      </w:r>
      <w:r w:rsidR="00463D73">
        <w:t>/</w:t>
      </w:r>
      <w:r w:rsidRPr="00194B5B">
        <w:t>ML assistance.</w:t>
      </w:r>
    </w:p>
    <w:p w14:paraId="6AC1584F" w14:textId="16F2DE4E" w:rsidR="00723C89" w:rsidRPr="00194B5B" w:rsidRDefault="00723C89" w:rsidP="00723C89">
      <w:pPr>
        <w:pStyle w:val="ListParagraph"/>
        <w:numPr>
          <w:ilvl w:val="0"/>
          <w:numId w:val="14"/>
        </w:numPr>
      </w:pPr>
      <w:r w:rsidRPr="00194B5B">
        <w:t>Option 3: an indicator is attached to the elements of the reports where AI</w:t>
      </w:r>
      <w:r w:rsidR="00463D73">
        <w:t>/</w:t>
      </w:r>
      <w:r w:rsidRPr="00194B5B">
        <w:t>ML was used</w:t>
      </w:r>
      <w:r w:rsidR="00463D73">
        <w:t xml:space="preserve"> to generate it</w:t>
      </w:r>
      <w:r w:rsidRPr="00194B5B">
        <w:t xml:space="preserve">. </w:t>
      </w:r>
    </w:p>
    <w:p w14:paraId="073C9677" w14:textId="0D48F185" w:rsidR="00752EDB" w:rsidRDefault="00723C89" w:rsidP="00723C89">
      <w:r>
        <w:t xml:space="preserve">All options could be discussed by </w:t>
      </w:r>
      <w:r w:rsidR="006355C8">
        <w:t>RAN3/</w:t>
      </w:r>
      <w:r>
        <w:t xml:space="preserve">RAN2 in terms of signaling optimization, but RAN1 is responsible for answering whether the LMF needs to know exactly what part of the report was using AIML.  In our understanding, </w:t>
      </w:r>
      <w:r w:rsidR="006355C8">
        <w:t xml:space="preserve">Case </w:t>
      </w:r>
      <w:r>
        <w:t xml:space="preserve">3a and </w:t>
      </w:r>
      <w:r w:rsidR="006355C8">
        <w:t xml:space="preserve">Case </w:t>
      </w:r>
      <w:r>
        <w:t xml:space="preserve">2a measurement reports will consist of measurements only produced by </w:t>
      </w:r>
      <w:r w:rsidR="004E3309">
        <w:t>AI</w:t>
      </w:r>
      <w:r w:rsidR="00B065E1">
        <w:t>/</w:t>
      </w:r>
      <w:r w:rsidR="004E3309">
        <w:t>ML</w:t>
      </w:r>
      <w:r w:rsidR="00116C20">
        <w:t>. For example, line of sight indication</w:t>
      </w:r>
      <w:r w:rsidR="008616F4">
        <w:t>,</w:t>
      </w:r>
      <w:r w:rsidR="00116C20">
        <w:t xml:space="preserve"> UL-RTOA</w:t>
      </w:r>
      <w:r w:rsidR="00FF1549">
        <w:t>,</w:t>
      </w:r>
      <w:r w:rsidR="002773B7">
        <w:t xml:space="preserve"> </w:t>
      </w:r>
      <w:r w:rsidR="00FF1549">
        <w:t>DL</w:t>
      </w:r>
      <w:r w:rsidR="002773B7">
        <w:t xml:space="preserve"> RSTD</w:t>
      </w:r>
      <w:r w:rsidR="00116C20">
        <w:t xml:space="preserve"> measurement will be </w:t>
      </w:r>
      <w:r w:rsidR="002773B7">
        <w:t>based on</w:t>
      </w:r>
      <w:r w:rsidR="00116C20">
        <w:t xml:space="preserve"> the model</w:t>
      </w:r>
      <w:r w:rsidR="002773B7">
        <w:t xml:space="preserve"> output</w:t>
      </w:r>
      <w:r w:rsidR="00116C20">
        <w:t xml:space="preserve">. </w:t>
      </w:r>
      <w:r w:rsidR="00C670F9">
        <w:t xml:space="preserve">Hence from our perspective, it is sufficient to indicate to the LMF that the measurement report </w:t>
      </w:r>
      <w:proofErr w:type="gramStart"/>
      <w:r w:rsidR="00752EDB">
        <w:t>as a whole is</w:t>
      </w:r>
      <w:proofErr w:type="gramEnd"/>
      <w:r w:rsidR="00752EDB">
        <w:t xml:space="preserve"> based on AI</w:t>
      </w:r>
      <w:r w:rsidR="00FF1549">
        <w:t>/</w:t>
      </w:r>
      <w:r w:rsidR="00752EDB">
        <w:t>ML model output</w:t>
      </w:r>
      <w:r w:rsidR="000812D3">
        <w:t xml:space="preserve">, without having to tag each quantity in the report (e.g. LOS indication, RSTD measurement, additional measurement, </w:t>
      </w:r>
      <w:proofErr w:type="spellStart"/>
      <w:r w:rsidR="000812D3">
        <w:t>etc</w:t>
      </w:r>
      <w:proofErr w:type="spellEnd"/>
      <w:r w:rsidR="000812D3">
        <w:t>) with a “made with AI” indicator</w:t>
      </w:r>
      <w:r w:rsidR="00752EDB">
        <w:t xml:space="preserve">. </w:t>
      </w:r>
    </w:p>
    <w:p w14:paraId="41A3263B" w14:textId="58DAFDDC" w:rsidR="00D644CD" w:rsidRDefault="000A51FA" w:rsidP="00723C89">
      <w:pPr>
        <w:pStyle w:val="Proposal"/>
      </w:pPr>
      <w:bookmarkStart w:id="2094" w:name="_Toc189845131"/>
      <w:r w:rsidRPr="00E215F0">
        <w:t xml:space="preserve">For AI/ML assisted positioning at </w:t>
      </w:r>
      <w:proofErr w:type="spellStart"/>
      <w:r w:rsidRPr="00E215F0">
        <w:t>gNB</w:t>
      </w:r>
      <w:proofErr w:type="spellEnd"/>
      <w:r w:rsidRPr="00E215F0">
        <w:t xml:space="preserve"> </w:t>
      </w:r>
      <w:r w:rsidR="00FF1549">
        <w:t xml:space="preserve">(Case 3a) </w:t>
      </w:r>
      <w:r>
        <w:t xml:space="preserve">and </w:t>
      </w:r>
      <w:r w:rsidR="00E32A8E">
        <w:t>UE (</w:t>
      </w:r>
      <w:r w:rsidR="00FF1549">
        <w:t>Case 2a</w:t>
      </w:r>
      <w:r w:rsidR="00E32A8E">
        <w:t xml:space="preserve">), the measurement report </w:t>
      </w:r>
      <w:r w:rsidR="00FF1549">
        <w:t xml:space="preserve">contains an indicator that </w:t>
      </w:r>
      <w:r w:rsidR="00E32A8E">
        <w:t>AI</w:t>
      </w:r>
      <w:r w:rsidR="00FF1549">
        <w:t>/</w:t>
      </w:r>
      <w:r w:rsidR="00E32A8E">
        <w:t xml:space="preserve">ML </w:t>
      </w:r>
      <w:r w:rsidR="00FF1549">
        <w:t>is used to produce the measurements</w:t>
      </w:r>
      <w:r w:rsidR="00E32A8E">
        <w:t>.</w:t>
      </w:r>
      <w:r w:rsidR="00FF1549">
        <w:t xml:space="preserve"> The signaling details are up to RAN3/RAN2</w:t>
      </w:r>
      <w:r w:rsidR="00E32A8E">
        <w:t>.</w:t>
      </w:r>
      <w:bookmarkEnd w:id="2094"/>
    </w:p>
    <w:p w14:paraId="5FAF7191" w14:textId="0AD7AEC0" w:rsidR="00F83890" w:rsidRDefault="00F83890" w:rsidP="00F83890">
      <w:pPr>
        <w:pStyle w:val="Heading1"/>
        <w:rPr>
          <w:lang w:val="en-US"/>
        </w:rPr>
      </w:pPr>
      <w:bookmarkStart w:id="2095" w:name="_Toc165991008"/>
      <w:bookmarkStart w:id="2096" w:name="_Toc189845031"/>
      <w:r>
        <w:rPr>
          <w:lang w:val="en-US"/>
        </w:rPr>
        <w:t>Training data collection</w:t>
      </w:r>
      <w:bookmarkEnd w:id="2095"/>
      <w:bookmarkEnd w:id="2096"/>
    </w:p>
    <w:p w14:paraId="74281568" w14:textId="36740924" w:rsidR="003E485D" w:rsidRDefault="003E485D" w:rsidP="004157FD">
      <w:pPr>
        <w:pStyle w:val="Heading2"/>
        <w:rPr>
          <w:lang w:val="en-US"/>
        </w:rPr>
      </w:pPr>
      <w:bookmarkStart w:id="2097" w:name="_Toc165991009"/>
      <w:bookmarkStart w:id="2098" w:name="_Toc189845032"/>
      <w:r>
        <w:rPr>
          <w:lang w:val="en-US"/>
        </w:rPr>
        <w:t xml:space="preserve">Content of </w:t>
      </w:r>
      <w:r w:rsidRPr="00E215F0">
        <w:rPr>
          <w:lang w:val="en-US"/>
        </w:rPr>
        <w:t>training data</w:t>
      </w:r>
      <w:r>
        <w:rPr>
          <w:lang w:val="en-US"/>
        </w:rPr>
        <w:t xml:space="preserve"> samples</w:t>
      </w:r>
      <w:bookmarkEnd w:id="2097"/>
      <w:bookmarkEnd w:id="2098"/>
    </w:p>
    <w:p w14:paraId="51D0457C" w14:textId="0AD87995" w:rsidR="00D939A7" w:rsidRPr="00D939A7" w:rsidRDefault="00D939A7" w:rsidP="00D939A7">
      <w:r>
        <w:t>For the data samples to be collected for training, the following agreement was made in RAN1#116bis.</w:t>
      </w:r>
    </w:p>
    <w:tbl>
      <w:tblPr>
        <w:tblStyle w:val="TableGrid"/>
        <w:tblW w:w="9990" w:type="dxa"/>
        <w:tblInd w:w="-5" w:type="dxa"/>
        <w:tblLook w:val="04A0" w:firstRow="1" w:lastRow="0" w:firstColumn="1" w:lastColumn="0" w:noHBand="0" w:noVBand="1"/>
      </w:tblPr>
      <w:tblGrid>
        <w:gridCol w:w="9990"/>
      </w:tblGrid>
      <w:tr w:rsidR="00D939A7" w:rsidRPr="00D939A7" w14:paraId="16A91214" w14:textId="77777777" w:rsidTr="001E59F7">
        <w:tc>
          <w:tcPr>
            <w:tcW w:w="9990" w:type="dxa"/>
          </w:tcPr>
          <w:p w14:paraId="238B5F6B" w14:textId="77777777" w:rsidR="00D939A7" w:rsidRPr="00D939A7" w:rsidRDefault="00D939A7" w:rsidP="00500110">
            <w:pPr>
              <w:spacing w:after="0"/>
              <w:rPr>
                <w:rFonts w:ascii="Times" w:eastAsia="DengXian" w:hAnsi="Times"/>
                <w:sz w:val="18"/>
                <w:szCs w:val="18"/>
                <w:highlight w:val="green"/>
                <w:lang w:val="en-GB" w:eastAsia="zh-CN"/>
              </w:rPr>
            </w:pPr>
            <w:r w:rsidRPr="00D939A7">
              <w:rPr>
                <w:rFonts w:ascii="Times" w:eastAsia="DengXian" w:hAnsi="Times" w:hint="eastAsia"/>
                <w:sz w:val="18"/>
                <w:szCs w:val="18"/>
                <w:highlight w:val="green"/>
                <w:lang w:val="en-GB" w:eastAsia="zh-CN"/>
              </w:rPr>
              <w:t>Agreement</w:t>
            </w:r>
          </w:p>
          <w:p w14:paraId="34D849EA" w14:textId="77777777" w:rsidR="00D939A7" w:rsidRPr="00D939A7" w:rsidRDefault="00D939A7" w:rsidP="00500110">
            <w:pPr>
              <w:spacing w:after="0"/>
              <w:rPr>
                <w:rFonts w:ascii="Times" w:eastAsia="Batang" w:hAnsi="Times"/>
                <w:sz w:val="18"/>
                <w:szCs w:val="18"/>
                <w:lang w:val="en-GB"/>
              </w:rPr>
            </w:pPr>
            <w:r w:rsidRPr="00D939A7">
              <w:rPr>
                <w:rFonts w:ascii="Times" w:eastAsia="Batang" w:hAnsi="Times"/>
                <w:sz w:val="18"/>
                <w:szCs w:val="18"/>
                <w:lang w:val="en-GB"/>
              </w:rPr>
              <w:t xml:space="preserve">For training data collection of AI/ML based positioning, the collected data sample </w:t>
            </w:r>
            <w:r w:rsidRPr="00D939A7">
              <w:rPr>
                <w:rFonts w:ascii="Times" w:eastAsia="DengXian" w:hAnsi="Times" w:hint="eastAsia"/>
                <w:sz w:val="18"/>
                <w:szCs w:val="18"/>
                <w:lang w:val="en-GB" w:eastAsia="zh-CN"/>
              </w:rPr>
              <w:t>can include</w:t>
            </w:r>
            <w:r w:rsidRPr="00D939A7">
              <w:rPr>
                <w:rFonts w:ascii="Times" w:eastAsia="Batang" w:hAnsi="Times"/>
                <w:sz w:val="18"/>
                <w:szCs w:val="18"/>
                <w:lang w:val="en-GB"/>
              </w:rPr>
              <w:t xml:space="preserve"> the following components:</w:t>
            </w:r>
          </w:p>
          <w:p w14:paraId="689858C4" w14:textId="77777777" w:rsidR="00D939A7" w:rsidRPr="00D939A7" w:rsidRDefault="00D939A7" w:rsidP="00500110">
            <w:pPr>
              <w:spacing w:after="0"/>
              <w:rPr>
                <w:rFonts w:ascii="Times" w:eastAsia="Batang" w:hAnsi="Times"/>
                <w:sz w:val="18"/>
                <w:szCs w:val="18"/>
                <w:lang w:val="en-GB"/>
              </w:rPr>
            </w:pPr>
            <w:r w:rsidRPr="00D939A7">
              <w:rPr>
                <w:rFonts w:ascii="Times" w:eastAsia="Batang" w:hAnsi="Times"/>
                <w:sz w:val="18"/>
                <w:szCs w:val="18"/>
                <w:lang w:val="en-GB"/>
              </w:rPr>
              <w:t>Part A:</w:t>
            </w:r>
          </w:p>
          <w:p w14:paraId="37925156" w14:textId="77777777" w:rsidR="00D939A7" w:rsidRPr="00D939A7" w:rsidRDefault="00D939A7" w:rsidP="005925D5">
            <w:pPr>
              <w:widowControl w:val="0"/>
              <w:numPr>
                <w:ilvl w:val="0"/>
                <w:numId w:val="64"/>
              </w:numPr>
              <w:spacing w:after="0"/>
              <w:jc w:val="both"/>
              <w:rPr>
                <w:rFonts w:ascii="Times" w:eastAsia="Batang" w:hAnsi="Times"/>
                <w:sz w:val="18"/>
                <w:szCs w:val="18"/>
                <w:lang w:eastAsia="x-none"/>
              </w:rPr>
            </w:pPr>
            <w:r w:rsidRPr="00D939A7">
              <w:rPr>
                <w:rFonts w:ascii="Times" w:hAnsi="Times" w:cs="Calibri"/>
                <w:sz w:val="18"/>
                <w:szCs w:val="18"/>
                <w:lang w:eastAsia="x-none"/>
              </w:rPr>
              <w:t xml:space="preserve">channel measurement </w:t>
            </w:r>
          </w:p>
          <w:p w14:paraId="03472CEF" w14:textId="77777777" w:rsidR="00D939A7" w:rsidRPr="00D939A7" w:rsidRDefault="00D939A7" w:rsidP="005925D5">
            <w:pPr>
              <w:widowControl w:val="0"/>
              <w:numPr>
                <w:ilvl w:val="0"/>
                <w:numId w:val="64"/>
              </w:numPr>
              <w:spacing w:after="0"/>
              <w:jc w:val="both"/>
              <w:rPr>
                <w:rFonts w:ascii="Times" w:eastAsia="Batang" w:hAnsi="Times"/>
                <w:sz w:val="18"/>
                <w:szCs w:val="18"/>
                <w:lang w:val="en-GB" w:eastAsia="x-none"/>
              </w:rPr>
            </w:pPr>
            <w:r w:rsidRPr="00D939A7">
              <w:rPr>
                <w:rFonts w:ascii="Times" w:hAnsi="Times" w:cs="Calibri"/>
                <w:sz w:val="18"/>
                <w:szCs w:val="18"/>
                <w:lang w:eastAsia="x-none"/>
              </w:rPr>
              <w:t>quality indicator of channel measurement</w:t>
            </w:r>
          </w:p>
          <w:p w14:paraId="5C937463" w14:textId="77777777" w:rsidR="00D939A7" w:rsidRPr="00D939A7" w:rsidRDefault="00D939A7" w:rsidP="005925D5">
            <w:pPr>
              <w:widowControl w:val="0"/>
              <w:numPr>
                <w:ilvl w:val="0"/>
                <w:numId w:val="64"/>
              </w:numPr>
              <w:spacing w:after="0"/>
              <w:jc w:val="both"/>
              <w:rPr>
                <w:rFonts w:ascii="Times" w:eastAsia="Batang" w:hAnsi="Times"/>
                <w:sz w:val="18"/>
                <w:szCs w:val="18"/>
                <w:lang w:val="en-GB" w:eastAsia="x-none"/>
              </w:rPr>
            </w:pPr>
            <w:r w:rsidRPr="00D939A7">
              <w:rPr>
                <w:rFonts w:ascii="Times" w:hAnsi="Times" w:cs="Calibri"/>
                <w:sz w:val="18"/>
                <w:szCs w:val="18"/>
                <w:lang w:eastAsia="x-none"/>
              </w:rPr>
              <w:t>time stamp of channel measurement</w:t>
            </w:r>
          </w:p>
          <w:p w14:paraId="1FE4D036" w14:textId="77777777" w:rsidR="00D939A7" w:rsidRPr="00D939A7" w:rsidRDefault="00D939A7" w:rsidP="00500110">
            <w:pPr>
              <w:spacing w:after="0"/>
              <w:rPr>
                <w:rFonts w:ascii="Times" w:eastAsia="Batang" w:hAnsi="Times"/>
                <w:sz w:val="18"/>
                <w:szCs w:val="18"/>
                <w:lang w:val="en-GB"/>
              </w:rPr>
            </w:pPr>
            <w:r w:rsidRPr="00D939A7">
              <w:rPr>
                <w:rFonts w:ascii="Times" w:eastAsia="Batang" w:hAnsi="Times"/>
                <w:sz w:val="18"/>
                <w:szCs w:val="18"/>
                <w:lang w:val="en-GB"/>
              </w:rPr>
              <w:t>Part B:</w:t>
            </w:r>
          </w:p>
          <w:p w14:paraId="281474B8" w14:textId="77777777" w:rsidR="00D939A7" w:rsidRPr="00D939A7" w:rsidRDefault="00D939A7" w:rsidP="005925D5">
            <w:pPr>
              <w:widowControl w:val="0"/>
              <w:numPr>
                <w:ilvl w:val="0"/>
                <w:numId w:val="64"/>
              </w:numPr>
              <w:spacing w:after="0"/>
              <w:jc w:val="both"/>
              <w:rPr>
                <w:rFonts w:ascii="Times" w:eastAsia="Batang" w:hAnsi="Times"/>
                <w:sz w:val="18"/>
                <w:szCs w:val="18"/>
                <w:lang w:eastAsia="x-none"/>
              </w:rPr>
            </w:pPr>
            <w:r w:rsidRPr="00D939A7">
              <w:rPr>
                <w:rFonts w:ascii="Times" w:hAnsi="Times" w:cs="Calibri"/>
                <w:sz w:val="18"/>
                <w:szCs w:val="18"/>
                <w:lang w:eastAsia="x-none"/>
              </w:rPr>
              <w:t>ground truth label (or its approximation)</w:t>
            </w:r>
          </w:p>
          <w:p w14:paraId="33CE8D2A" w14:textId="77777777" w:rsidR="00D939A7" w:rsidRPr="00D939A7" w:rsidRDefault="00D939A7" w:rsidP="005925D5">
            <w:pPr>
              <w:widowControl w:val="0"/>
              <w:numPr>
                <w:ilvl w:val="0"/>
                <w:numId w:val="64"/>
              </w:numPr>
              <w:spacing w:after="0"/>
              <w:jc w:val="both"/>
              <w:rPr>
                <w:rFonts w:ascii="Times" w:eastAsia="Batang" w:hAnsi="Times"/>
                <w:sz w:val="18"/>
                <w:szCs w:val="18"/>
                <w:lang w:val="en-GB" w:eastAsia="x-none"/>
              </w:rPr>
            </w:pPr>
            <w:r w:rsidRPr="00D939A7">
              <w:rPr>
                <w:rFonts w:ascii="Times" w:hAnsi="Times" w:cs="Calibri"/>
                <w:sz w:val="18"/>
                <w:szCs w:val="18"/>
                <w:lang w:eastAsia="x-none"/>
              </w:rPr>
              <w:t>quality indicator of label</w:t>
            </w:r>
          </w:p>
          <w:p w14:paraId="160A4154" w14:textId="77777777" w:rsidR="00D939A7" w:rsidRPr="00D939A7" w:rsidRDefault="00D939A7" w:rsidP="005925D5">
            <w:pPr>
              <w:widowControl w:val="0"/>
              <w:numPr>
                <w:ilvl w:val="0"/>
                <w:numId w:val="64"/>
              </w:numPr>
              <w:spacing w:after="0"/>
              <w:jc w:val="both"/>
              <w:rPr>
                <w:rFonts w:ascii="Times" w:eastAsia="Batang" w:hAnsi="Times"/>
                <w:sz w:val="18"/>
                <w:szCs w:val="18"/>
                <w:lang w:val="en-GB" w:eastAsia="x-none"/>
              </w:rPr>
            </w:pPr>
            <w:r w:rsidRPr="00D939A7">
              <w:rPr>
                <w:rFonts w:ascii="Times" w:hAnsi="Times" w:cs="Calibri"/>
                <w:sz w:val="18"/>
                <w:szCs w:val="18"/>
                <w:lang w:eastAsia="x-none"/>
              </w:rPr>
              <w:t>time stamp of label</w:t>
            </w:r>
          </w:p>
          <w:p w14:paraId="2278E86B" w14:textId="77777777" w:rsidR="00D939A7" w:rsidRPr="00D939A7" w:rsidRDefault="00D939A7" w:rsidP="00500110">
            <w:pPr>
              <w:spacing w:after="0"/>
              <w:rPr>
                <w:rFonts w:ascii="Times" w:eastAsia="Batang" w:hAnsi="Times"/>
                <w:sz w:val="18"/>
                <w:szCs w:val="18"/>
                <w:lang w:val="en-GB"/>
              </w:rPr>
            </w:pPr>
            <w:r w:rsidRPr="00D939A7">
              <w:rPr>
                <w:rFonts w:ascii="Times" w:eastAsia="Batang" w:hAnsi="Times"/>
                <w:sz w:val="18"/>
                <w:szCs w:val="18"/>
                <w:lang w:val="en-GB"/>
              </w:rPr>
              <w:t xml:space="preserve">Note: “Part A” and “Part B” terminologies are only for RAN1 discussion </w:t>
            </w:r>
            <w:proofErr w:type="gramStart"/>
            <w:r w:rsidRPr="00D939A7">
              <w:rPr>
                <w:rFonts w:ascii="Times" w:eastAsia="Batang" w:hAnsi="Times"/>
                <w:sz w:val="18"/>
                <w:szCs w:val="18"/>
                <w:lang w:val="en-GB"/>
              </w:rPr>
              <w:t>purpose, and</w:t>
            </w:r>
            <w:proofErr w:type="gramEnd"/>
            <w:r w:rsidRPr="00D939A7">
              <w:rPr>
                <w:rFonts w:ascii="Times" w:eastAsia="Batang" w:hAnsi="Times"/>
                <w:sz w:val="18"/>
                <w:szCs w:val="18"/>
                <w:lang w:val="en-GB"/>
              </w:rPr>
              <w:t xml:space="preserve"> may not be used in specification. </w:t>
            </w:r>
          </w:p>
          <w:p w14:paraId="13790D7E" w14:textId="77777777" w:rsidR="00D939A7" w:rsidRPr="00D939A7" w:rsidRDefault="00D939A7" w:rsidP="00500110">
            <w:pPr>
              <w:spacing w:after="0"/>
              <w:rPr>
                <w:rFonts w:ascii="Times" w:eastAsia="Batang" w:hAnsi="Times"/>
                <w:sz w:val="18"/>
                <w:szCs w:val="18"/>
                <w:lang w:val="en-GB"/>
              </w:rPr>
            </w:pPr>
            <w:r w:rsidRPr="00D939A7">
              <w:rPr>
                <w:rFonts w:ascii="Times" w:eastAsia="Batang" w:hAnsi="Times"/>
                <w:sz w:val="18"/>
                <w:szCs w:val="18"/>
                <w:lang w:val="en-GB"/>
              </w:rPr>
              <w:lastRenderedPageBreak/>
              <w:t>Note: contents in Part A and Part B may</w:t>
            </w:r>
            <w:r w:rsidRPr="00D939A7">
              <w:rPr>
                <w:rFonts w:ascii="Times" w:eastAsia="DengXian" w:hAnsi="Times" w:hint="eastAsia"/>
                <w:sz w:val="18"/>
                <w:szCs w:val="18"/>
                <w:lang w:val="en-GB" w:eastAsia="zh-CN"/>
              </w:rPr>
              <w:t xml:space="preserve"> or may not</w:t>
            </w:r>
            <w:r w:rsidRPr="00D939A7">
              <w:rPr>
                <w:rFonts w:ascii="Times" w:eastAsia="Batang" w:hAnsi="Times"/>
                <w:sz w:val="18"/>
                <w:szCs w:val="18"/>
                <w:lang w:val="en-GB"/>
              </w:rPr>
              <w:t xml:space="preserve"> be generated by different entities.</w:t>
            </w:r>
          </w:p>
          <w:p w14:paraId="26074C3A" w14:textId="77777777" w:rsidR="00D939A7" w:rsidRPr="00D939A7" w:rsidRDefault="00D939A7" w:rsidP="00500110">
            <w:pPr>
              <w:spacing w:after="0"/>
              <w:rPr>
                <w:rFonts w:ascii="Times" w:eastAsia="DengXian" w:hAnsi="Times"/>
                <w:sz w:val="18"/>
                <w:szCs w:val="18"/>
                <w:lang w:val="en-GB" w:eastAsia="zh-CN"/>
              </w:rPr>
            </w:pPr>
            <w:r w:rsidRPr="00D939A7">
              <w:rPr>
                <w:rFonts w:ascii="Times" w:eastAsia="DengXian" w:hAnsi="Times" w:hint="eastAsia"/>
                <w:sz w:val="18"/>
                <w:szCs w:val="18"/>
                <w:lang w:val="en-GB" w:eastAsia="zh-CN"/>
              </w:rPr>
              <w:t>Note</w:t>
            </w:r>
            <w:r w:rsidRPr="00D939A7">
              <w:rPr>
                <w:rFonts w:ascii="Times" w:eastAsia="Batang" w:hAnsi="Times"/>
                <w:sz w:val="18"/>
                <w:szCs w:val="18"/>
                <w:lang w:val="en-GB"/>
              </w:rPr>
              <w:t>: Part A and/or Part B, and their contents may or may not apply for each case</w:t>
            </w:r>
          </w:p>
          <w:p w14:paraId="0104226B" w14:textId="77777777" w:rsidR="00D939A7" w:rsidRPr="00D939A7" w:rsidRDefault="00D939A7" w:rsidP="00500110">
            <w:pPr>
              <w:spacing w:after="0"/>
              <w:rPr>
                <w:rFonts w:ascii="Times" w:eastAsia="DengXian" w:hAnsi="Times"/>
                <w:sz w:val="18"/>
                <w:szCs w:val="18"/>
                <w:lang w:val="en-GB" w:eastAsia="zh-CN"/>
              </w:rPr>
            </w:pPr>
            <w:r w:rsidRPr="00D939A7">
              <w:rPr>
                <w:rFonts w:ascii="Times" w:eastAsia="DengXian" w:hAnsi="Times" w:hint="eastAsia"/>
                <w:sz w:val="18"/>
                <w:szCs w:val="18"/>
                <w:lang w:val="en-GB" w:eastAsia="zh-CN"/>
              </w:rPr>
              <w:t>FFS: detailed definition of channel measurement</w:t>
            </w:r>
          </w:p>
        </w:tc>
      </w:tr>
    </w:tbl>
    <w:p w14:paraId="66142D41" w14:textId="77777777" w:rsidR="00D939A7" w:rsidRDefault="00D939A7" w:rsidP="00F83890"/>
    <w:p w14:paraId="48944953" w14:textId="27684462" w:rsidR="00F83890" w:rsidRDefault="00BD4577" w:rsidP="00F83890">
      <w:r>
        <w:t xml:space="preserve">For supervised learning, ground truth label needs to be collected for each entry of training data. On the other hand, it may be difficult to obtain </w:t>
      </w:r>
      <w:proofErr w:type="gramStart"/>
      <w:r>
        <w:t>a large number of</w:t>
      </w:r>
      <w:proofErr w:type="gramEnd"/>
      <w:r>
        <w:t xml:space="preserve"> accurate ground truth labels. When ground truth label is not available, the measurement data (corresponding to model input) can still be collected and used by semi-supervised learning. </w:t>
      </w:r>
      <w:proofErr w:type="gramStart"/>
      <w:r>
        <w:t>Thus</w:t>
      </w:r>
      <w:proofErr w:type="gramEnd"/>
      <w:r>
        <w:t xml:space="preserve"> both </w:t>
      </w:r>
      <w:r w:rsidR="00FE0973">
        <w:t>labelled and un-labelled training data samples can be collected.</w:t>
      </w:r>
    </w:p>
    <w:p w14:paraId="3CF1EA59" w14:textId="67883E9E" w:rsidR="00FE0973" w:rsidRDefault="00FE0973" w:rsidP="004157FD">
      <w:pPr>
        <w:pStyle w:val="Proposal"/>
      </w:pPr>
      <w:bookmarkStart w:id="2099" w:name="_Toc189845132"/>
      <w:r>
        <w:t xml:space="preserve">For Rel-19 AI/ML based positioning, support collecting labelled and </w:t>
      </w:r>
      <w:r w:rsidR="00360599">
        <w:t xml:space="preserve">optionally </w:t>
      </w:r>
      <w:r>
        <w:t>un-labelled training data samples.</w:t>
      </w:r>
      <w:bookmarkEnd w:id="2099"/>
    </w:p>
    <w:p w14:paraId="060C0140" w14:textId="799CAC66" w:rsidR="001A3230" w:rsidRDefault="001A3230" w:rsidP="001A3230">
      <w:pPr>
        <w:pStyle w:val="Proposal"/>
        <w:numPr>
          <w:ilvl w:val="0"/>
          <w:numId w:val="0"/>
        </w:numPr>
        <w:ind w:left="1304" w:hanging="1304"/>
      </w:pPr>
    </w:p>
    <w:p w14:paraId="03C960C4" w14:textId="0124AF19" w:rsidR="00D939A7" w:rsidRDefault="00D939A7" w:rsidP="00494EC4">
      <w:r>
        <w:t>In the following sub-sections, details on Part A and Part B are further discussed.</w:t>
      </w:r>
    </w:p>
    <w:p w14:paraId="025E81A4" w14:textId="7FE09D86" w:rsidR="001A3230" w:rsidRDefault="001A3230" w:rsidP="00DA6EB4">
      <w:pPr>
        <w:pStyle w:val="Heading3"/>
      </w:pPr>
      <w:bookmarkStart w:id="2100" w:name="_Toc189845033"/>
      <w:r>
        <w:t xml:space="preserve">Time stamp of </w:t>
      </w:r>
      <w:r w:rsidRPr="00E215F0">
        <w:t>training data</w:t>
      </w:r>
      <w:r>
        <w:t xml:space="preserve"> samples</w:t>
      </w:r>
      <w:bookmarkEnd w:id="2100"/>
    </w:p>
    <w:p w14:paraId="233B7199" w14:textId="5BBDD133" w:rsidR="001A3230" w:rsidRDefault="001A3230" w:rsidP="00DA6EB4">
      <w:r>
        <w:t xml:space="preserve">In RAN1#118, the following agreement was made on the time stamp of </w:t>
      </w:r>
      <w:r w:rsidRPr="001A3230">
        <w:t>channel measurement</w:t>
      </w:r>
      <w:r>
        <w:t>:</w:t>
      </w:r>
    </w:p>
    <w:tbl>
      <w:tblPr>
        <w:tblStyle w:val="TableGrid"/>
        <w:tblW w:w="9990" w:type="dxa"/>
        <w:tblInd w:w="-5" w:type="dxa"/>
        <w:tblLook w:val="04A0" w:firstRow="1" w:lastRow="0" w:firstColumn="1" w:lastColumn="0" w:noHBand="0" w:noVBand="1"/>
      </w:tblPr>
      <w:tblGrid>
        <w:gridCol w:w="9990"/>
      </w:tblGrid>
      <w:tr w:rsidR="001A3230" w:rsidRPr="001A3230" w14:paraId="47367E0F" w14:textId="77777777" w:rsidTr="00DA6EB4">
        <w:tc>
          <w:tcPr>
            <w:tcW w:w="9990" w:type="dxa"/>
          </w:tcPr>
          <w:p w14:paraId="441F79EE" w14:textId="77777777" w:rsidR="001A3230" w:rsidRPr="00DA6EB4" w:rsidRDefault="001A3230" w:rsidP="00300205">
            <w:pPr>
              <w:spacing w:after="0"/>
              <w:rPr>
                <w:rFonts w:ascii="Times" w:eastAsia="DengXian" w:hAnsi="Times"/>
                <w:sz w:val="18"/>
                <w:szCs w:val="18"/>
                <w:highlight w:val="green"/>
                <w:lang w:val="en-GB" w:eastAsia="zh-CN"/>
              </w:rPr>
            </w:pPr>
            <w:r w:rsidRPr="00DA6EB4">
              <w:rPr>
                <w:rFonts w:ascii="Times" w:eastAsia="DengXian" w:hAnsi="Times"/>
                <w:sz w:val="18"/>
                <w:szCs w:val="18"/>
                <w:highlight w:val="green"/>
                <w:lang w:eastAsia="zh-CN"/>
              </w:rPr>
              <w:t>Agreement</w:t>
            </w:r>
          </w:p>
          <w:p w14:paraId="069579E7" w14:textId="77777777" w:rsidR="001A3230" w:rsidRPr="00DA6EB4" w:rsidRDefault="001A3230" w:rsidP="00300205">
            <w:pPr>
              <w:spacing w:after="0"/>
              <w:rPr>
                <w:rFonts w:ascii="Times" w:eastAsia="Batang" w:hAnsi="Times"/>
                <w:sz w:val="18"/>
                <w:szCs w:val="18"/>
                <w:lang w:val="en-GB"/>
              </w:rPr>
            </w:pPr>
            <w:r w:rsidRPr="00DA6EB4">
              <w:rPr>
                <w:rFonts w:ascii="Times" w:eastAsia="Batang" w:hAnsi="Times"/>
                <w:sz w:val="18"/>
                <w:szCs w:val="18"/>
              </w:rPr>
              <w:t>For training data collection of AI/ML based positioning</w:t>
            </w:r>
            <w:r w:rsidRPr="00DA6EB4">
              <w:rPr>
                <w:rFonts w:ascii="Times" w:eastAsia="DengXian" w:hAnsi="Times"/>
                <w:sz w:val="18"/>
                <w:szCs w:val="18"/>
                <w:lang w:eastAsia="zh-CN"/>
              </w:rPr>
              <w:t xml:space="preserve"> case 3b</w:t>
            </w:r>
            <w:r w:rsidRPr="00DA6EB4">
              <w:rPr>
                <w:rFonts w:ascii="Times" w:eastAsia="Batang" w:hAnsi="Times"/>
                <w:sz w:val="18"/>
                <w:szCs w:val="18"/>
              </w:rPr>
              <w:t xml:space="preserve">, for time stamp of channel measurement, </w:t>
            </w:r>
          </w:p>
          <w:p w14:paraId="2F724F9C" w14:textId="77777777" w:rsidR="001A3230" w:rsidRPr="00DA6EB4" w:rsidRDefault="001A3230" w:rsidP="005925D5">
            <w:pPr>
              <w:numPr>
                <w:ilvl w:val="0"/>
                <w:numId w:val="78"/>
              </w:numPr>
              <w:tabs>
                <w:tab w:val="num" w:pos="0"/>
              </w:tabs>
              <w:suppressAutoHyphens/>
              <w:spacing w:after="0" w:line="276" w:lineRule="auto"/>
              <w:rPr>
                <w:rFonts w:ascii="Times" w:eastAsia="Batang" w:hAnsi="Times"/>
                <w:sz w:val="18"/>
                <w:szCs w:val="18"/>
                <w:lang w:eastAsia="x-none"/>
              </w:rPr>
            </w:pPr>
            <w:r w:rsidRPr="00DA6EB4">
              <w:rPr>
                <w:rFonts w:ascii="Times" w:eastAsia="Batang" w:hAnsi="Times"/>
                <w:sz w:val="18"/>
                <w:szCs w:val="18"/>
                <w:lang w:eastAsia="x-none"/>
              </w:rPr>
              <w:t>For channel measurement generated by TRP/</w:t>
            </w:r>
            <w:proofErr w:type="spellStart"/>
            <w:r w:rsidRPr="00DA6EB4">
              <w:rPr>
                <w:rFonts w:ascii="Times" w:eastAsia="Batang" w:hAnsi="Times"/>
                <w:sz w:val="18"/>
                <w:szCs w:val="18"/>
                <w:lang w:eastAsia="x-none"/>
              </w:rPr>
              <w:t>gNB</w:t>
            </w:r>
            <w:proofErr w:type="spellEnd"/>
            <w:r w:rsidRPr="00DA6EB4">
              <w:rPr>
                <w:rFonts w:ascii="Times" w:eastAsia="Batang" w:hAnsi="Times"/>
                <w:sz w:val="18"/>
                <w:szCs w:val="18"/>
                <w:lang w:eastAsia="x-none"/>
              </w:rPr>
              <w:t>, existing IE “Time Stamp” in TS 38.455</w:t>
            </w:r>
            <w:r w:rsidRPr="00DA6EB4">
              <w:rPr>
                <w:rFonts w:ascii="Times" w:eastAsia="DengXian" w:hAnsi="Times"/>
                <w:sz w:val="18"/>
                <w:szCs w:val="18"/>
                <w:lang w:eastAsia="zh-CN"/>
              </w:rPr>
              <w:t xml:space="preserve"> can be reused from RAN1 perspective</w:t>
            </w:r>
          </w:p>
          <w:p w14:paraId="7460F8D2" w14:textId="25FC561B" w:rsidR="001A3230" w:rsidRPr="00DA6EB4" w:rsidRDefault="001A3230" w:rsidP="005925D5">
            <w:pPr>
              <w:numPr>
                <w:ilvl w:val="0"/>
                <w:numId w:val="81"/>
              </w:numPr>
              <w:spacing w:after="0"/>
              <w:ind w:left="360"/>
              <w:rPr>
                <w:rFonts w:ascii="Times" w:eastAsia="Batang" w:hAnsi="Times" w:cs="Times New Roman"/>
                <w:kern w:val="0"/>
                <w:sz w:val="18"/>
                <w:szCs w:val="18"/>
                <w:lang w:val="en-GB" w:eastAsia="zh-CN"/>
                <w14:ligatures w14:val="none"/>
              </w:rPr>
            </w:pPr>
            <w:r w:rsidRPr="00DA6EB4">
              <w:rPr>
                <w:rFonts w:ascii="Times" w:eastAsia="Batang" w:hAnsi="Times" w:cs="Times New Roman"/>
                <w:kern w:val="0"/>
                <w:sz w:val="18"/>
                <w:szCs w:val="18"/>
                <w:lang w:eastAsia="zh-CN"/>
                <w14:ligatures w14:val="none"/>
              </w:rPr>
              <w:t xml:space="preserve">Note: Purpose, such as above </w:t>
            </w:r>
            <w:r w:rsidRPr="00DA6EB4">
              <w:rPr>
                <w:rFonts w:ascii="Times" w:eastAsia="DengXian" w:hAnsi="Times" w:cs="Times New Roman"/>
                <w:kern w:val="0"/>
                <w:sz w:val="18"/>
                <w:szCs w:val="18"/>
                <w:lang w:val="en-GB" w:eastAsia="zh-CN"/>
                <w14:ligatures w14:val="none"/>
              </w:rPr>
              <w:t>“</w:t>
            </w:r>
            <w:r w:rsidRPr="00DA6EB4">
              <w:rPr>
                <w:rFonts w:ascii="Times" w:eastAsia="Batang" w:hAnsi="Times" w:cs="Times New Roman"/>
                <w:kern w:val="0"/>
                <w:sz w:val="18"/>
                <w:szCs w:val="18"/>
                <w:lang w:eastAsia="x-none"/>
                <w14:ligatures w14:val="none"/>
              </w:rPr>
              <w:t>training data collection</w:t>
            </w:r>
            <w:r w:rsidRPr="00DA6EB4">
              <w:rPr>
                <w:rFonts w:ascii="Times" w:eastAsia="DengXian" w:hAnsi="Times" w:cs="Times New Roman"/>
                <w:kern w:val="0"/>
                <w:sz w:val="18"/>
                <w:szCs w:val="18"/>
                <w:lang w:eastAsia="zh-CN"/>
                <w14:ligatures w14:val="none"/>
              </w:rPr>
              <w:t>"</w:t>
            </w:r>
            <w:r w:rsidRPr="00DA6EB4">
              <w:rPr>
                <w:rFonts w:ascii="Times" w:eastAsia="Batang" w:hAnsi="Times" w:cs="Times New Roman"/>
                <w:kern w:val="0"/>
                <w:sz w:val="18"/>
                <w:szCs w:val="18"/>
                <w:lang w:eastAsia="zh-CN"/>
                <w14:ligatures w14:val="none"/>
              </w:rPr>
              <w:t xml:space="preserve">, will not </w:t>
            </w:r>
            <w:r w:rsidRPr="00DA6EB4">
              <w:rPr>
                <w:rFonts w:ascii="Times" w:eastAsia="DengXian" w:hAnsi="Times" w:cs="Times New Roman"/>
                <w:kern w:val="0"/>
                <w:sz w:val="18"/>
                <w:szCs w:val="18"/>
                <w:lang w:eastAsia="zh-CN"/>
                <w14:ligatures w14:val="none"/>
              </w:rPr>
              <w:t xml:space="preserve">necessarily </w:t>
            </w:r>
            <w:r w:rsidRPr="00DA6EB4">
              <w:rPr>
                <w:rFonts w:ascii="Times" w:eastAsia="Batang" w:hAnsi="Times" w:cs="Times New Roman"/>
                <w:kern w:val="0"/>
                <w:sz w:val="18"/>
                <w:szCs w:val="18"/>
                <w:lang w:eastAsia="zh-CN"/>
                <w14:ligatures w14:val="none"/>
              </w:rPr>
              <w:t>be specified in RAN 1 specifications</w:t>
            </w:r>
          </w:p>
        </w:tc>
      </w:tr>
    </w:tbl>
    <w:p w14:paraId="197D6D7B" w14:textId="77777777" w:rsidR="001A3230" w:rsidRDefault="001A3230" w:rsidP="001A3230">
      <w:pPr>
        <w:pStyle w:val="Proposal"/>
        <w:numPr>
          <w:ilvl w:val="0"/>
          <w:numId w:val="0"/>
        </w:numPr>
        <w:ind w:left="1304" w:hanging="1304"/>
      </w:pPr>
    </w:p>
    <w:p w14:paraId="51CBEE8B" w14:textId="77777777" w:rsidR="001A3230" w:rsidRDefault="001A3230" w:rsidP="001A3230">
      <w:r>
        <w:t xml:space="preserve">In RAN2#127, the following agreement was made on </w:t>
      </w:r>
      <w:r w:rsidRPr="001A3230">
        <w:t>NW side data collection</w:t>
      </w:r>
      <w:r>
        <w:t>:</w:t>
      </w:r>
    </w:p>
    <w:tbl>
      <w:tblPr>
        <w:tblStyle w:val="TableGrid"/>
        <w:tblW w:w="0" w:type="auto"/>
        <w:tblLook w:val="04A0" w:firstRow="1" w:lastRow="0" w:firstColumn="1" w:lastColumn="0" w:noHBand="0" w:noVBand="1"/>
      </w:tblPr>
      <w:tblGrid>
        <w:gridCol w:w="9962"/>
      </w:tblGrid>
      <w:tr w:rsidR="001A3230" w:rsidRPr="001A3230" w14:paraId="78512561" w14:textId="77777777" w:rsidTr="001A3230">
        <w:tc>
          <w:tcPr>
            <w:tcW w:w="9962" w:type="dxa"/>
          </w:tcPr>
          <w:p w14:paraId="5317FEDA" w14:textId="77777777" w:rsidR="001A3230" w:rsidRPr="00DA6EB4" w:rsidRDefault="001A3230" w:rsidP="001A3230">
            <w:pPr>
              <w:rPr>
                <w:b/>
                <w:sz w:val="18"/>
                <w:szCs w:val="18"/>
              </w:rPr>
            </w:pPr>
            <w:r w:rsidRPr="00DA6EB4">
              <w:rPr>
                <w:b/>
                <w:sz w:val="18"/>
                <w:szCs w:val="18"/>
              </w:rPr>
              <w:t>Agreements</w:t>
            </w:r>
          </w:p>
          <w:p w14:paraId="5A98C6C3" w14:textId="77777777" w:rsidR="001A3230" w:rsidRPr="00DA6EB4" w:rsidRDefault="001A3230" w:rsidP="005925D5">
            <w:pPr>
              <w:numPr>
                <w:ilvl w:val="0"/>
                <w:numId w:val="82"/>
              </w:numPr>
              <w:ind w:left="610"/>
              <w:rPr>
                <w:sz w:val="18"/>
                <w:szCs w:val="18"/>
              </w:rPr>
            </w:pPr>
            <w:r w:rsidRPr="00DA6EB4">
              <w:rPr>
                <w:sz w:val="18"/>
                <w:szCs w:val="18"/>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4DAAAF7D" w14:textId="7CDD8808" w:rsidR="001A3230" w:rsidRPr="00DA6EB4" w:rsidRDefault="001A3230" w:rsidP="005925D5">
            <w:pPr>
              <w:numPr>
                <w:ilvl w:val="0"/>
                <w:numId w:val="82"/>
              </w:numPr>
              <w:ind w:left="610"/>
              <w:rPr>
                <w:sz w:val="18"/>
                <w:szCs w:val="18"/>
              </w:rPr>
            </w:pPr>
            <w:r w:rsidRPr="00DA6EB4">
              <w:rPr>
                <w:color w:val="FF0000"/>
                <w:sz w:val="18"/>
                <w:szCs w:val="18"/>
              </w:rPr>
              <w:t xml:space="preserve">UE stores the logged training data </w:t>
            </w:r>
            <w:r w:rsidRPr="00DA6EB4">
              <w:rPr>
                <w:sz w:val="18"/>
                <w:szCs w:val="18"/>
              </w:rPr>
              <w:t xml:space="preserve">at AS layer with a minimum AS layer memory size supported by the UE. FFS on the memory size.  This is across all use </w:t>
            </w:r>
            <w:r w:rsidR="004747D3" w:rsidRPr="004747D3">
              <w:rPr>
                <w:sz w:val="18"/>
                <w:szCs w:val="18"/>
              </w:rPr>
              <w:t>cases When</w:t>
            </w:r>
            <w:r w:rsidRPr="00DA6EB4">
              <w:rPr>
                <w:sz w:val="18"/>
                <w:szCs w:val="18"/>
              </w:rPr>
              <w:t xml:space="preserve"> UE reaches its buffer limitation the UE stops measurement for data collection purposes and logging.   Measurements for data collection purposes and logging based can be controlled based on power state of the UE.  It is up to UE implementation how the UE determines power state.  FFS whether the UE stops autonomously or if it reports to the network.   </w:t>
            </w:r>
          </w:p>
        </w:tc>
      </w:tr>
    </w:tbl>
    <w:p w14:paraId="5F0A957D" w14:textId="7A05F66F" w:rsidR="001A3230" w:rsidRDefault="001A3230" w:rsidP="001A3230">
      <w:r>
        <w:t xml:space="preserve"> </w:t>
      </w:r>
    </w:p>
    <w:p w14:paraId="681DA8CF" w14:textId="41ECC9E4" w:rsidR="007912B9" w:rsidRDefault="008F3D62" w:rsidP="001A3230">
      <w:r>
        <w:t xml:space="preserve">As can be seen in RAN2 agreement above, the baseline procedure is that the UE stores training data in its </w:t>
      </w:r>
      <w:proofErr w:type="gramStart"/>
      <w:r>
        <w:t>memory, and</w:t>
      </w:r>
      <w:proofErr w:type="gramEnd"/>
      <w:r>
        <w:t xml:space="preserve"> report a batch of logged data at a time. That is, the training data reporting time and </w:t>
      </w:r>
      <w:r>
        <w:lastRenderedPageBreak/>
        <w:t xml:space="preserve">measurement time are separate, and can be far apart, i.e., likely the reporting time is far later than the SFN wrap-around time of </w:t>
      </w:r>
      <w:r w:rsidRPr="00BE3F92">
        <w:rPr>
          <w:noProof/>
        </w:rPr>
        <w:t>10240 ms</w:t>
      </w:r>
      <w:r>
        <w:rPr>
          <w:noProof/>
        </w:rPr>
        <w:t xml:space="preserve"> (=10.24 sec)</w:t>
      </w:r>
      <w:r>
        <w:t>. Therefore, one cannot rely on an entity that receives the training data to add time stamp</w:t>
      </w:r>
      <w:r w:rsidR="009575BC">
        <w:t>; r</w:t>
      </w:r>
      <w:r w:rsidR="007912B9">
        <w:t>ather the measurement entity itself should add time stamp as the training data is being collected.</w:t>
      </w:r>
    </w:p>
    <w:p w14:paraId="2CFAD837" w14:textId="59B8A8E5" w:rsidR="008F3D62" w:rsidRDefault="007912B9" w:rsidP="001A3230">
      <w:r>
        <w:t xml:space="preserve">While the RAN2 agreement above is on UE procedure, it is reasonable to expect that the same principle applies when the training data generation entity is on the NW-side (i.e., </w:t>
      </w:r>
      <w:proofErr w:type="spellStart"/>
      <w:r>
        <w:t>gNB</w:t>
      </w:r>
      <w:proofErr w:type="spellEnd"/>
      <w:r>
        <w:t xml:space="preserve"> or LMF for positioning).</w:t>
      </w:r>
      <w:r w:rsidR="009A6BAB">
        <w:t xml:space="preserve"> RAN3 specifications support the use of </w:t>
      </w:r>
      <w:r w:rsidR="001D1822">
        <w:t xml:space="preserve">periodicity </w:t>
      </w:r>
      <w:r w:rsidR="0087132E">
        <w:t>of</w:t>
      </w:r>
      <w:r w:rsidR="001D1822">
        <w:t xml:space="preserve"> up to 30</w:t>
      </w:r>
      <w:r w:rsidR="0087132E">
        <w:t xml:space="preserve"> </w:t>
      </w:r>
      <w:r w:rsidR="001D1822">
        <w:t xml:space="preserve">minutes for reporting of measurements. In that case, SFN/slot level time stamps become </w:t>
      </w:r>
      <w:proofErr w:type="gramStart"/>
      <w:r w:rsidR="001D1822">
        <w:t>ambiguous</w:t>
      </w:r>
      <w:proofErr w:type="gramEnd"/>
      <w:r w:rsidR="001D1822">
        <w:t xml:space="preserve"> and a measurement time reference is necessary. </w:t>
      </w:r>
    </w:p>
    <w:p w14:paraId="686B0893" w14:textId="452A3259" w:rsidR="00FC4C36" w:rsidRDefault="00BB764B" w:rsidP="001A3230">
      <w:r>
        <w:t>To clear the ambiguity, the report should always include measurement time whenever the reporting periodicity is too large for the reported measurement to be unambiguously mapped to a time instant</w:t>
      </w:r>
      <w:r w:rsidR="002867BC">
        <w:t xml:space="preserve"> using only SFN/slot numbers. This can be handled by RAN2 and RAN3 groups, but RAN1 should at least </w:t>
      </w:r>
      <w:r w:rsidR="00FC4C36">
        <w:t xml:space="preserve">agree on the need for unambiguous mapping between part A and part B. </w:t>
      </w:r>
    </w:p>
    <w:p w14:paraId="268E5CAC" w14:textId="11BD4D62" w:rsidR="00375910" w:rsidRDefault="007912B9" w:rsidP="001A3230">
      <w:proofErr w:type="gramStart"/>
      <w:r>
        <w:t>Thus</w:t>
      </w:r>
      <w:proofErr w:type="gramEnd"/>
      <w:r>
        <w:t xml:space="preserve"> the time stamp for both Part A and Part B should be mandatorily added by the training data generation entity, and the time stamp should use a much longer range than SFN.</w:t>
      </w:r>
      <w:r w:rsidR="0000694F">
        <w:t xml:space="preserve"> Specifically, </w:t>
      </w:r>
    </w:p>
    <w:p w14:paraId="20C9B684" w14:textId="77777777" w:rsidR="00375910" w:rsidRDefault="0000694F" w:rsidP="005925D5">
      <w:pPr>
        <w:pStyle w:val="ListParagraph"/>
        <w:numPr>
          <w:ilvl w:val="0"/>
          <w:numId w:val="78"/>
        </w:numPr>
      </w:pPr>
      <w:r>
        <w:t xml:space="preserve">for channel measurement and label generated by PRU or non-PRU UE, </w:t>
      </w:r>
      <w:r w:rsidR="0087132E">
        <w:t xml:space="preserve">always </w:t>
      </w:r>
      <w:r>
        <w:t xml:space="preserve">include the existing IE </w:t>
      </w:r>
      <w:proofErr w:type="spellStart"/>
      <w:r>
        <w:t>UTCTime</w:t>
      </w:r>
      <w:proofErr w:type="spellEnd"/>
      <w:r>
        <w:t xml:space="preserve"> (e.g., for utc-time-r16) in TS 37.355</w:t>
      </w:r>
      <w:r w:rsidR="0087132E">
        <w:t xml:space="preserve"> (i.e., not a choice between SNF and </w:t>
      </w:r>
      <w:proofErr w:type="spellStart"/>
      <w:r w:rsidR="0087132E">
        <w:t>UTCTime</w:t>
      </w:r>
      <w:proofErr w:type="spellEnd"/>
      <w:proofErr w:type="gramStart"/>
      <w:r w:rsidR="0087132E">
        <w:t>)</w:t>
      </w:r>
      <w:r>
        <w:t>;</w:t>
      </w:r>
      <w:proofErr w:type="gramEnd"/>
      <w:r>
        <w:t xml:space="preserve"> </w:t>
      </w:r>
    </w:p>
    <w:p w14:paraId="13D6246F" w14:textId="264E7495" w:rsidR="00375910" w:rsidRDefault="0000694F" w:rsidP="005925D5">
      <w:pPr>
        <w:pStyle w:val="ListParagraph"/>
        <w:numPr>
          <w:ilvl w:val="0"/>
          <w:numId w:val="78"/>
        </w:numPr>
      </w:pPr>
      <w:r>
        <w:t>for channel measurement generated by TRP/</w:t>
      </w:r>
      <w:proofErr w:type="spellStart"/>
      <w:r>
        <w:t>gNB</w:t>
      </w:r>
      <w:proofErr w:type="spellEnd"/>
      <w:r>
        <w:t xml:space="preserve">, </w:t>
      </w:r>
      <w:r w:rsidR="00D27BD5">
        <w:t xml:space="preserve">either </w:t>
      </w:r>
      <w:r>
        <w:t>change the field “Measurement time” in TS 38.455 from optional to mandatory</w:t>
      </w:r>
      <w:r w:rsidR="00375910">
        <w:t>, or specify that the field “Measurement time” is present whenever the measurement reporting periodicity exceeds 10.24 sec.</w:t>
      </w:r>
    </w:p>
    <w:p w14:paraId="79E6D031" w14:textId="5097C1B3" w:rsidR="0077513F" w:rsidRDefault="0077513F" w:rsidP="001A3230">
      <w:r>
        <w:t>Regarding the time stamp resolution, several different granularities exist in current specifications, for example:</w:t>
      </w:r>
    </w:p>
    <w:p w14:paraId="6D9EF26A" w14:textId="77777777" w:rsidR="0077513F" w:rsidRDefault="0077513F" w:rsidP="0077513F">
      <w:pPr>
        <w:pStyle w:val="ListParagraph"/>
        <w:numPr>
          <w:ilvl w:val="1"/>
          <w:numId w:val="2"/>
        </w:numPr>
      </w:pPr>
      <w:r>
        <w:t>LPP:</w:t>
      </w:r>
    </w:p>
    <w:p w14:paraId="731F5846" w14:textId="5D324C1E" w:rsidR="0077513F" w:rsidRDefault="0077513F" w:rsidP="0077513F">
      <w:pPr>
        <w:pStyle w:val="ListParagraph"/>
        <w:numPr>
          <w:ilvl w:val="2"/>
          <w:numId w:val="2"/>
        </w:numPr>
      </w:pPr>
      <w:proofErr w:type="spellStart"/>
      <w:r w:rsidRPr="0077513F">
        <w:rPr>
          <w:i/>
          <w:iCs/>
        </w:rPr>
        <w:t>UTCTime</w:t>
      </w:r>
      <w:proofErr w:type="spellEnd"/>
      <w:r>
        <w:t xml:space="preserve"> with a granularity of </w:t>
      </w:r>
      <w:proofErr w:type="gramStart"/>
      <w:r>
        <w:t>seconds;</w:t>
      </w:r>
      <w:proofErr w:type="gramEnd"/>
    </w:p>
    <w:p w14:paraId="15C3C131" w14:textId="6C400C73" w:rsidR="0077513F" w:rsidRDefault="0077513F" w:rsidP="0077513F">
      <w:pPr>
        <w:pStyle w:val="ListParagraph"/>
        <w:numPr>
          <w:ilvl w:val="2"/>
          <w:numId w:val="2"/>
        </w:numPr>
      </w:pPr>
      <w:proofErr w:type="spellStart"/>
      <w:r w:rsidRPr="0077513F">
        <w:rPr>
          <w:rFonts w:ascii="Arial" w:hAnsi="Arial" w:cs="Arial"/>
          <w:i/>
          <w:snapToGrid w:val="0"/>
          <w:kern w:val="0"/>
          <w:sz w:val="18"/>
          <w:szCs w:val="18"/>
          <w14:ligatures w14:val="none"/>
        </w:rPr>
        <w:t>utcTime-ms</w:t>
      </w:r>
      <w:proofErr w:type="spellEnd"/>
      <w:r>
        <w:rPr>
          <w:rFonts w:ascii="Arial" w:hAnsi="Arial" w:cs="Arial"/>
          <w:i/>
          <w:snapToGrid w:val="0"/>
          <w:kern w:val="0"/>
          <w:sz w:val="18"/>
          <w:szCs w:val="18"/>
          <w14:ligatures w14:val="none"/>
        </w:rPr>
        <w:t xml:space="preserve"> </w:t>
      </w:r>
      <w:r>
        <w:t xml:space="preserve">with a granularity of </w:t>
      </w:r>
      <w:proofErr w:type="gramStart"/>
      <w:r>
        <w:t>milliseconds;</w:t>
      </w:r>
      <w:proofErr w:type="gramEnd"/>
    </w:p>
    <w:p w14:paraId="51CD035E" w14:textId="112F9307" w:rsidR="0077513F" w:rsidRDefault="0077513F" w:rsidP="0077513F">
      <w:pPr>
        <w:pStyle w:val="ListParagraph"/>
        <w:numPr>
          <w:ilvl w:val="1"/>
          <w:numId w:val="2"/>
        </w:numPr>
      </w:pPr>
      <w:r>
        <w:t xml:space="preserve">“Measurement time” with a granularity of </w:t>
      </w:r>
      <w:r w:rsidRPr="0077513F">
        <w:t>1 /2**32 second</w:t>
      </w:r>
      <w:r>
        <w:t>.</w:t>
      </w:r>
    </w:p>
    <w:p w14:paraId="585B66A2" w14:textId="2ADB32A6" w:rsidR="0077513F" w:rsidRDefault="0077513F" w:rsidP="0077513F">
      <w:r>
        <w:t>In our view, there is no need to align to a same granularity for time stamp of Part A and</w:t>
      </w:r>
      <w:r w:rsidR="00B2092D">
        <w:t xml:space="preserve"> Part B, and existing IEs can be reused. Regarding how close the stamped time</w:t>
      </w:r>
      <w:r>
        <w:t xml:space="preserve"> </w:t>
      </w:r>
      <w:r w:rsidR="00B2092D">
        <w:t>should be between Part A and B so that they can be paired, this is likely related to the positioning accuracy requirement,</w:t>
      </w:r>
      <w:r w:rsidR="0084177C">
        <w:t xml:space="preserve"> UE speed,</w:t>
      </w:r>
      <w:r w:rsidR="00B2092D">
        <w:t xml:space="preserve"> </w:t>
      </w:r>
      <w:proofErr w:type="gramStart"/>
      <w:r w:rsidR="00B2092D">
        <w:t>and also</w:t>
      </w:r>
      <w:proofErr w:type="gramEnd"/>
      <w:r w:rsidR="00B2092D">
        <w:t xml:space="preserve"> </w:t>
      </w:r>
      <w:r w:rsidR="00192FC8">
        <w:t xml:space="preserve">related </w:t>
      </w:r>
      <w:r w:rsidR="00B2092D">
        <w:t xml:space="preserve">to the implementation of training data collection entity and model training entity. </w:t>
      </w:r>
      <w:r w:rsidR="00EA3B56">
        <w:t>From RAN1 perspective, t</w:t>
      </w:r>
      <w:r w:rsidR="00B2092D">
        <w:t>here is no need to impose any restriction on how to perform the pairing using the time stamps</w:t>
      </w:r>
      <w:r w:rsidR="00E322C0">
        <w:t>, including the allowed time difference between Part A/B so that they can be paired</w:t>
      </w:r>
      <w:r w:rsidR="00B2092D">
        <w:t>.</w:t>
      </w:r>
    </w:p>
    <w:p w14:paraId="7827A275" w14:textId="77777777" w:rsidR="0000694F" w:rsidRDefault="0000694F" w:rsidP="001A3230"/>
    <w:p w14:paraId="6D6EDF87" w14:textId="589B1A4B" w:rsidR="008F3D62" w:rsidRDefault="00453D50" w:rsidP="00453D50">
      <w:pPr>
        <w:pStyle w:val="Proposal"/>
      </w:pPr>
      <w:bookmarkStart w:id="2101" w:name="_Toc189845133"/>
      <w:r w:rsidRPr="003163C2">
        <w:lastRenderedPageBreak/>
        <w:t xml:space="preserve">For training data collection of AI/ML based positioning, for </w:t>
      </w:r>
      <w:r>
        <w:t>both Part A and Part B</w:t>
      </w:r>
      <w:r w:rsidRPr="003163C2">
        <w:t>,</w:t>
      </w:r>
      <w:r>
        <w:t xml:space="preserve"> time stamp</w:t>
      </w:r>
      <w:r w:rsidR="008B425A">
        <w:t xml:space="preserve"> </w:t>
      </w:r>
      <w:r w:rsidR="005C25DF">
        <w:t>is</w:t>
      </w:r>
      <w:r w:rsidR="008B425A">
        <w:t xml:space="preserve"> mandatorily provided by the training data generation entity.</w:t>
      </w:r>
      <w:bookmarkEnd w:id="2101"/>
    </w:p>
    <w:p w14:paraId="0EA4BFD4" w14:textId="59B483CE" w:rsidR="00B12153" w:rsidRDefault="006830F0" w:rsidP="006830F0">
      <w:pPr>
        <w:pStyle w:val="Proposal"/>
      </w:pPr>
      <w:bookmarkStart w:id="2102" w:name="_Toc189845134"/>
      <w:r w:rsidRPr="003163C2">
        <w:t>For training data collection of AI/ML based positioning,</w:t>
      </w:r>
      <w:r>
        <w:t xml:space="preserve"> the time stamp should allow unambiguous mapping between </w:t>
      </w:r>
      <w:r w:rsidR="005F0F9A">
        <w:t>P</w:t>
      </w:r>
      <w:r>
        <w:t xml:space="preserve">art A and </w:t>
      </w:r>
      <w:r w:rsidR="005F0F9A">
        <w:t>P</w:t>
      </w:r>
      <w:r>
        <w:t>art B.</w:t>
      </w:r>
      <w:bookmarkEnd w:id="2102"/>
      <w:r>
        <w:t xml:space="preserve"> </w:t>
      </w:r>
    </w:p>
    <w:p w14:paraId="65C1491F" w14:textId="152CEFE6" w:rsidR="0084177C" w:rsidRDefault="0084177C" w:rsidP="00B12153">
      <w:pPr>
        <w:pStyle w:val="Proposal"/>
        <w:numPr>
          <w:ilvl w:val="1"/>
          <w:numId w:val="2"/>
        </w:numPr>
      </w:pPr>
      <w:bookmarkStart w:id="2103" w:name="_Toc189845135"/>
      <w:r w:rsidRPr="0084177C">
        <w:t>For channel measurement generated by TRP/</w:t>
      </w:r>
      <w:proofErr w:type="spellStart"/>
      <w:r w:rsidRPr="0084177C">
        <w:t>gNB</w:t>
      </w:r>
      <w:proofErr w:type="spellEnd"/>
      <w:r>
        <w:t>,</w:t>
      </w:r>
      <w:r w:rsidRPr="0084177C">
        <w:t xml:space="preserve"> </w:t>
      </w:r>
      <w:r>
        <w:t>at least w</w:t>
      </w:r>
      <w:r w:rsidR="004C5956">
        <w:t>hen measurement periodicity</w:t>
      </w:r>
      <w:r w:rsidR="00175447">
        <w:t xml:space="preserve"> exceeds the SFN/slot </w:t>
      </w:r>
      <w:r>
        <w:t>wrap around time (10.24 sec)</w:t>
      </w:r>
      <w:r w:rsidR="00175447">
        <w:t xml:space="preserve">, </w:t>
      </w:r>
      <w:r>
        <w:t>field “M</w:t>
      </w:r>
      <w:r w:rsidR="00175447">
        <w:t>easurement time</w:t>
      </w:r>
      <w:r>
        <w:t>”</w:t>
      </w:r>
      <w:r w:rsidR="00175447">
        <w:t xml:space="preserve"> is included in the time stamp.</w:t>
      </w:r>
      <w:bookmarkEnd w:id="2103"/>
      <w:r w:rsidR="00175447">
        <w:t xml:space="preserve">  </w:t>
      </w:r>
    </w:p>
    <w:p w14:paraId="64821F29" w14:textId="004B98D5" w:rsidR="0084177C" w:rsidRPr="00BE4C4A" w:rsidRDefault="0084177C" w:rsidP="00DA6EB4">
      <w:pPr>
        <w:pStyle w:val="Proposal"/>
        <w:numPr>
          <w:ilvl w:val="1"/>
          <w:numId w:val="2"/>
        </w:numPr>
        <w:rPr>
          <w:lang w:eastAsia="zh-CN"/>
        </w:rPr>
      </w:pPr>
      <w:bookmarkStart w:id="2104" w:name="_Toc189845136"/>
      <w:r w:rsidRPr="003163C2">
        <w:rPr>
          <w:lang w:eastAsia="zh-CN"/>
        </w:rPr>
        <w:t xml:space="preserve">For </w:t>
      </w:r>
      <w:r w:rsidRPr="00BE4C4A">
        <w:t xml:space="preserve">channel measurement and </w:t>
      </w:r>
      <w:r w:rsidRPr="00BE4C4A">
        <w:rPr>
          <w:lang w:eastAsia="zh-CN"/>
        </w:rPr>
        <w:t xml:space="preserve">label generated by PRU or non-PRU UE, </w:t>
      </w:r>
      <w:r w:rsidRPr="00DA6EB4">
        <w:rPr>
          <w:lang w:eastAsia="zh-CN"/>
        </w:rPr>
        <w:t xml:space="preserve">UTC Time </w:t>
      </w:r>
      <w:r w:rsidRPr="00BE4C4A">
        <w:rPr>
          <w:lang w:eastAsia="zh-CN"/>
        </w:rPr>
        <w:t>(e.g., for utc-time-r16) is included in the time stamp</w:t>
      </w:r>
      <w:r w:rsidR="00BE4C4A">
        <w:rPr>
          <w:lang w:eastAsia="zh-CN"/>
        </w:rPr>
        <w:t>.</w:t>
      </w:r>
      <w:bookmarkEnd w:id="2104"/>
    </w:p>
    <w:p w14:paraId="2D7B03A9" w14:textId="7FD1392E" w:rsidR="006830F0" w:rsidRDefault="0084177C" w:rsidP="00DA6EB4">
      <w:pPr>
        <w:pStyle w:val="Proposal"/>
        <w:numPr>
          <w:ilvl w:val="1"/>
          <w:numId w:val="2"/>
        </w:numPr>
      </w:pPr>
      <w:bookmarkStart w:id="2105" w:name="_Toc189845137"/>
      <w:r>
        <w:t>Exactly how to specify</w:t>
      </w:r>
      <w:r w:rsidR="0072740B">
        <w:t xml:space="preserve"> time stamp for Part A and Part B is up to RAN2/RAN3.</w:t>
      </w:r>
      <w:bookmarkEnd w:id="2105"/>
    </w:p>
    <w:p w14:paraId="08123F9C" w14:textId="6D3BC99B" w:rsidR="002332ED" w:rsidRDefault="0040540B" w:rsidP="00184761">
      <w:pPr>
        <w:pStyle w:val="Proposal"/>
      </w:pPr>
      <w:bookmarkStart w:id="2106" w:name="_Toc189845138"/>
      <w:r>
        <w:t>From RAN1 perspective, the existing IEs and their associated granularities can be reused for time stamp of Part A and Part B</w:t>
      </w:r>
      <w:r w:rsidR="002332ED">
        <w:t>.</w:t>
      </w:r>
      <w:r w:rsidR="00331458">
        <w:t xml:space="preserve"> It is acceptable to have different time stamp granularity for Part A and Part B.</w:t>
      </w:r>
      <w:r>
        <w:t xml:space="preserve"> There is no need for RAN1 to discuss how to perform the pairing using the time stamps.</w:t>
      </w:r>
      <w:bookmarkEnd w:id="2106"/>
    </w:p>
    <w:p w14:paraId="58194801" w14:textId="77777777" w:rsidR="005F0F9A" w:rsidRDefault="005F0F9A" w:rsidP="005F0F9A">
      <w:pPr>
        <w:pStyle w:val="Proposal"/>
        <w:numPr>
          <w:ilvl w:val="0"/>
          <w:numId w:val="0"/>
        </w:numPr>
        <w:ind w:left="1304" w:hanging="1304"/>
      </w:pPr>
    </w:p>
    <w:p w14:paraId="752B1213" w14:textId="77777777" w:rsidR="005F0F9A" w:rsidRPr="00DA6EB4" w:rsidRDefault="005F0F9A" w:rsidP="005F0F9A">
      <w:pPr>
        <w:rPr>
          <w:b/>
          <w:bCs/>
          <w:u w:val="single"/>
        </w:rPr>
      </w:pPr>
      <w:r>
        <w:rPr>
          <w:b/>
          <w:bCs/>
          <w:u w:val="single"/>
        </w:rPr>
        <w:t>For reference, existing signaling in 37.355 (LPP):</w:t>
      </w:r>
    </w:p>
    <w:tbl>
      <w:tblPr>
        <w:tblStyle w:val="TableGrid"/>
        <w:tblW w:w="10795" w:type="dxa"/>
        <w:tblLayout w:type="fixed"/>
        <w:tblLook w:val="04A0" w:firstRow="1" w:lastRow="0" w:firstColumn="1" w:lastColumn="0" w:noHBand="0" w:noVBand="1"/>
      </w:tblPr>
      <w:tblGrid>
        <w:gridCol w:w="1975"/>
        <w:gridCol w:w="8820"/>
      </w:tblGrid>
      <w:tr w:rsidR="005F0F9A" w14:paraId="2F7C1DBA" w14:textId="77777777" w:rsidTr="10372817">
        <w:tc>
          <w:tcPr>
            <w:tcW w:w="1975" w:type="dxa"/>
          </w:tcPr>
          <w:p w14:paraId="1061468F" w14:textId="77777777" w:rsidR="005F0F9A" w:rsidRDefault="005F0F9A">
            <w:pPr>
              <w:rPr>
                <w:lang w:val="en-GB"/>
              </w:rPr>
            </w:pPr>
            <w:r>
              <w:t>Terrestrial Beacon System Positioning</w:t>
            </w:r>
          </w:p>
        </w:tc>
        <w:tc>
          <w:tcPr>
            <w:tcW w:w="8820" w:type="dxa"/>
          </w:tcPr>
          <w:p w14:paraId="7EDCA5E6" w14:textId="77777777" w:rsidR="005F0F9A" w:rsidRDefault="005F0F9A">
            <w:pPr>
              <w:pStyle w:val="PL"/>
            </w:pPr>
            <w:r>
              <w:t>TBS-MeasurementInformation-r13 ::= SEQUENCE {</w:t>
            </w:r>
          </w:p>
          <w:p w14:paraId="71D57378" w14:textId="77777777" w:rsidR="005F0F9A" w:rsidRDefault="005F0F9A">
            <w:pPr>
              <w:pStyle w:val="PL"/>
            </w:pPr>
            <w:r>
              <w:tab/>
            </w:r>
            <w:r>
              <w:rPr>
                <w:color w:val="FF0000"/>
              </w:rPr>
              <w:t>measurementReferenceTime-r13</w:t>
            </w:r>
            <w:r>
              <w:rPr>
                <w:color w:val="FF0000"/>
              </w:rPr>
              <w:tab/>
              <w:t>UTCTime</w:t>
            </w:r>
            <w:r>
              <w:rPr>
                <w:color w:val="FF0000"/>
              </w:rPr>
              <w:tab/>
            </w:r>
            <w:r>
              <w:tab/>
            </w:r>
            <w:r>
              <w:tab/>
            </w:r>
            <w:r>
              <w:tab/>
            </w:r>
            <w:r>
              <w:tab/>
            </w:r>
            <w:r>
              <w:tab/>
              <w:t>OPTIONAL,</w:t>
            </w:r>
          </w:p>
          <w:p w14:paraId="24BBB9CF" w14:textId="77777777" w:rsidR="005F0F9A" w:rsidRDefault="005F0F9A">
            <w:pPr>
              <w:pStyle w:val="PL"/>
            </w:pPr>
            <w:r>
              <w:tab/>
              <w:t>mbs-SgnMeasList-r13</w:t>
            </w:r>
            <w:r>
              <w:tab/>
            </w:r>
            <w:r>
              <w:tab/>
            </w:r>
            <w:r>
              <w:tab/>
            </w:r>
            <w:r>
              <w:tab/>
              <w:t>MBS-BeaconMeasList-r13</w:t>
            </w:r>
            <w:r>
              <w:tab/>
            </w:r>
            <w:r>
              <w:tab/>
              <w:t>OPTIONAL,</w:t>
            </w:r>
            <w:r>
              <w:tab/>
              <w:t>-- Cond MBS</w:t>
            </w:r>
          </w:p>
          <w:p w14:paraId="50D3ED60" w14:textId="77777777" w:rsidR="005F0F9A" w:rsidRDefault="005F0F9A">
            <w:pPr>
              <w:pStyle w:val="PL"/>
            </w:pPr>
            <w:r>
              <w:tab/>
              <w:t>…</w:t>
            </w:r>
          </w:p>
          <w:p w14:paraId="6D465809" w14:textId="77777777" w:rsidR="005F0F9A" w:rsidRDefault="005F0F9A">
            <w:pPr>
              <w:pStyle w:val="PL"/>
            </w:pPr>
            <w:r>
              <w:t>}</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5F0F9A" w14:paraId="0B997656" w14:textId="77777777" w:rsidTr="10372817">
              <w:trPr>
                <w:cantSplit/>
              </w:trPr>
              <w:tc>
                <w:tcPr>
                  <w:tcW w:w="8145" w:type="dxa"/>
                </w:tcPr>
                <w:p w14:paraId="3EAC3B25" w14:textId="77777777" w:rsidR="005F0F9A" w:rsidRDefault="005F0F9A" w:rsidP="10372817">
                  <w:pPr>
                    <w:pStyle w:val="TAL"/>
                    <w:rPr>
                      <w:b/>
                      <w:bCs/>
                      <w:i/>
                      <w:iCs/>
                      <w:snapToGrid w:val="0"/>
                      <w:lang w:val="en-US"/>
                    </w:rPr>
                  </w:pPr>
                  <w:proofErr w:type="spellStart"/>
                  <w:r w:rsidRPr="10372817">
                    <w:rPr>
                      <w:b/>
                      <w:bCs/>
                      <w:i/>
                      <w:iCs/>
                      <w:snapToGrid w:val="0"/>
                      <w:lang w:val="en-US"/>
                    </w:rPr>
                    <w:t>measurementReferenceTime</w:t>
                  </w:r>
                  <w:proofErr w:type="spellEnd"/>
                </w:p>
                <w:p w14:paraId="7065C73E" w14:textId="77777777" w:rsidR="005F0F9A" w:rsidRDefault="005F0F9A" w:rsidP="10372817">
                  <w:pPr>
                    <w:pStyle w:val="TAL"/>
                    <w:keepNext w:val="0"/>
                    <w:keepLines w:val="0"/>
                    <w:widowControl w:val="0"/>
                    <w:rPr>
                      <w:b/>
                      <w:bCs/>
                      <w:i/>
                      <w:iCs/>
                      <w:lang w:val="en-US"/>
                    </w:rPr>
                  </w:pPr>
                  <w:r w:rsidRPr="10372817">
                    <w:rPr>
                      <w:snapToGrid w:val="0"/>
                      <w:lang w:val="en-US"/>
                    </w:rPr>
                    <w:t xml:space="preserve">This field provides the UTC time when the TBS measurements are performed and should take the form of </w:t>
                  </w:r>
                  <w:proofErr w:type="spellStart"/>
                  <w:r w:rsidRPr="10372817">
                    <w:rPr>
                      <w:i/>
                      <w:iCs/>
                      <w:lang w:val="en-US"/>
                    </w:rPr>
                    <w:t>YYMMDDhhmmssZ</w:t>
                  </w:r>
                  <w:proofErr w:type="spellEnd"/>
                  <w:r w:rsidRPr="10372817">
                    <w:rPr>
                      <w:snapToGrid w:val="0"/>
                      <w:lang w:val="en-US"/>
                    </w:rPr>
                    <w:t>.</w:t>
                  </w:r>
                </w:p>
              </w:tc>
            </w:tr>
          </w:tbl>
          <w:p w14:paraId="195D686F" w14:textId="77777777" w:rsidR="005F0F9A" w:rsidRDefault="005F0F9A">
            <w:pPr>
              <w:pStyle w:val="PL"/>
              <w:rPr>
                <w:snapToGrid w:val="0"/>
              </w:rPr>
            </w:pPr>
          </w:p>
        </w:tc>
      </w:tr>
      <w:tr w:rsidR="005F0F9A" w14:paraId="638CA866" w14:textId="77777777" w:rsidTr="10372817">
        <w:tc>
          <w:tcPr>
            <w:tcW w:w="1975" w:type="dxa"/>
          </w:tcPr>
          <w:p w14:paraId="478D3346" w14:textId="77777777" w:rsidR="005F0F9A" w:rsidRDefault="005F0F9A">
            <w:pPr>
              <w:rPr>
                <w:lang w:val="en-GB"/>
              </w:rPr>
            </w:pPr>
          </w:p>
        </w:tc>
        <w:tc>
          <w:tcPr>
            <w:tcW w:w="8820" w:type="dxa"/>
          </w:tcPr>
          <w:p w14:paraId="0EF4E1F2" w14:textId="77777777" w:rsidR="005F0F9A" w:rsidRDefault="005F0F9A">
            <w:pPr>
              <w:pStyle w:val="PL"/>
              <w:rPr>
                <w:snapToGrid w:val="0"/>
              </w:rPr>
            </w:pPr>
          </w:p>
        </w:tc>
      </w:tr>
      <w:tr w:rsidR="005F0F9A" w14:paraId="0ED7CE78" w14:textId="77777777" w:rsidTr="10372817">
        <w:tc>
          <w:tcPr>
            <w:tcW w:w="1975" w:type="dxa"/>
          </w:tcPr>
          <w:p w14:paraId="262546B2" w14:textId="77777777" w:rsidR="005F0F9A" w:rsidRDefault="005F0F9A">
            <w:pPr>
              <w:rPr>
                <w:lang w:val="en-GB"/>
              </w:rPr>
            </w:pPr>
            <w:r>
              <w:rPr>
                <w:lang w:val="en-GB"/>
              </w:rPr>
              <w:t>NR DL-TDOA Positioning</w:t>
            </w:r>
          </w:p>
        </w:tc>
        <w:tc>
          <w:tcPr>
            <w:tcW w:w="8820" w:type="dxa"/>
          </w:tcPr>
          <w:p w14:paraId="7F15D4E1" w14:textId="77777777" w:rsidR="005F0F9A" w:rsidRDefault="005F0F9A">
            <w:pPr>
              <w:pStyle w:val="PL"/>
              <w:rPr>
                <w:snapToGrid w:val="0"/>
              </w:rPr>
            </w:pPr>
            <w:r>
              <w:rPr>
                <w:snapToGrid w:val="0"/>
              </w:rPr>
              <w:t>NR-DL-TDOA-LocationInformation-r16 ::= SEQUENCE {</w:t>
            </w:r>
          </w:p>
          <w:p w14:paraId="0394C11D" w14:textId="77777777" w:rsidR="005F0F9A" w:rsidRDefault="005F0F9A">
            <w:pPr>
              <w:pStyle w:val="PL"/>
              <w:rPr>
                <w:snapToGrid w:val="0"/>
                <w:color w:val="FF0000"/>
              </w:rPr>
            </w:pPr>
            <w:r>
              <w:rPr>
                <w:snapToGrid w:val="0"/>
              </w:rPr>
              <w:tab/>
            </w:r>
            <w:r>
              <w:rPr>
                <w:snapToGrid w:val="0"/>
                <w:color w:val="FF0000"/>
              </w:rPr>
              <w:t>measurementReferenceTime-r16</w:t>
            </w:r>
            <w:r>
              <w:rPr>
                <w:snapToGrid w:val="0"/>
                <w:color w:val="FF0000"/>
              </w:rPr>
              <w:tab/>
              <w:t>CHOICE {</w:t>
            </w:r>
          </w:p>
          <w:p w14:paraId="7CC1354C" w14:textId="77777777" w:rsidR="005F0F9A" w:rsidRDefault="005F0F9A">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1B26948E" w14:textId="77777777" w:rsidR="005F0F9A" w:rsidRDefault="005F0F9A">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321DCD73" w14:textId="77777777" w:rsidR="005F0F9A" w:rsidRDefault="005F0F9A">
            <w:pPr>
              <w:pStyle w:val="PL"/>
              <w:rPr>
                <w:snapToGrid w:val="0"/>
              </w:rPr>
            </w:pPr>
            <w:r>
              <w:rPr>
                <w:snapToGrid w:val="0"/>
              </w:rPr>
              <w:tab/>
            </w:r>
            <w:r>
              <w:rPr>
                <w:snapToGrid w:val="0"/>
              </w:rPr>
              <w:tab/>
            </w:r>
            <w:r>
              <w:rPr>
                <w:snapToGrid w:val="0"/>
              </w:rPr>
              <w:tab/>
              <w:t>…</w:t>
            </w:r>
          </w:p>
          <w:p w14:paraId="3C5F81A8" w14:textId="77777777" w:rsidR="005F0F9A" w:rsidRDefault="005F0F9A">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5F0F9A" w14:paraId="651E419B" w14:textId="77777777" w:rsidTr="10372817">
              <w:trPr>
                <w:cantSplit/>
              </w:trPr>
              <w:tc>
                <w:tcPr>
                  <w:tcW w:w="8145" w:type="dxa"/>
                </w:tcPr>
                <w:p w14:paraId="36FDCB72" w14:textId="77777777" w:rsidR="005F0F9A" w:rsidRDefault="005F0F9A" w:rsidP="10372817">
                  <w:pPr>
                    <w:pStyle w:val="TAL"/>
                    <w:keepNext w:val="0"/>
                    <w:keepLines w:val="0"/>
                    <w:widowControl w:val="0"/>
                    <w:rPr>
                      <w:b/>
                      <w:bCs/>
                      <w:i/>
                      <w:iCs/>
                      <w:lang w:val="en-US"/>
                    </w:rPr>
                  </w:pPr>
                  <w:proofErr w:type="spellStart"/>
                  <w:r w:rsidRPr="10372817">
                    <w:rPr>
                      <w:b/>
                      <w:bCs/>
                      <w:i/>
                      <w:iCs/>
                      <w:lang w:val="en-US"/>
                    </w:rPr>
                    <w:t>measurementReferenceTime</w:t>
                  </w:r>
                  <w:proofErr w:type="spellEnd"/>
                </w:p>
                <w:p w14:paraId="41729DD8" w14:textId="77777777" w:rsidR="005F0F9A" w:rsidRDefault="005F0F9A">
                  <w:pPr>
                    <w:pStyle w:val="TAL"/>
                    <w:keepNext w:val="0"/>
                    <w:keepLines w:val="0"/>
                    <w:widowControl w:val="0"/>
                  </w:pPr>
                  <w:r>
                    <w:t>This field specifies the time for which the location estimate is</w:t>
                  </w:r>
                  <w:r>
                    <w:rPr>
                      <w:snapToGrid w:val="0"/>
                    </w:rPr>
                    <w:t xml:space="preserve"> valid.</w:t>
                  </w:r>
                </w:p>
              </w:tc>
            </w:tr>
          </w:tbl>
          <w:p w14:paraId="54C7C4DA" w14:textId="77777777" w:rsidR="005F0F9A" w:rsidRDefault="005F0F9A">
            <w:pPr>
              <w:rPr>
                <w:lang w:val="en-GB"/>
              </w:rPr>
            </w:pPr>
          </w:p>
        </w:tc>
      </w:tr>
      <w:tr w:rsidR="005F0F9A" w14:paraId="52C93A3A" w14:textId="77777777" w:rsidTr="10372817">
        <w:tc>
          <w:tcPr>
            <w:tcW w:w="1975" w:type="dxa"/>
          </w:tcPr>
          <w:p w14:paraId="08187AF5" w14:textId="77777777" w:rsidR="005F0F9A" w:rsidRDefault="005F0F9A">
            <w:pPr>
              <w:rPr>
                <w:lang w:val="en-GB"/>
              </w:rPr>
            </w:pPr>
            <w:r>
              <w:t>NR DL-</w:t>
            </w:r>
            <w:proofErr w:type="spellStart"/>
            <w:r>
              <w:t>AoD</w:t>
            </w:r>
            <w:proofErr w:type="spellEnd"/>
            <w:r>
              <w:t xml:space="preserve"> Positioning</w:t>
            </w:r>
          </w:p>
        </w:tc>
        <w:tc>
          <w:tcPr>
            <w:tcW w:w="8820" w:type="dxa"/>
          </w:tcPr>
          <w:p w14:paraId="2E31C6AC" w14:textId="77777777" w:rsidR="005F0F9A" w:rsidRDefault="005F0F9A">
            <w:pPr>
              <w:pStyle w:val="PL"/>
              <w:rPr>
                <w:snapToGrid w:val="0"/>
              </w:rPr>
            </w:pPr>
            <w:r>
              <w:rPr>
                <w:snapToGrid w:val="0"/>
              </w:rPr>
              <w:t>NR-DL-AoD-LocationInformation-r16 ::= SEQUENCE {</w:t>
            </w:r>
          </w:p>
          <w:p w14:paraId="469F7AC4" w14:textId="77777777" w:rsidR="005F0F9A" w:rsidRDefault="005F0F9A">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6F359993" w14:textId="77777777" w:rsidR="005F0F9A" w:rsidRDefault="005F0F9A">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76519D93" w14:textId="77777777" w:rsidR="005F0F9A" w:rsidRDefault="005F0F9A">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F0F9A" w14:paraId="6AC25522" w14:textId="77777777" w:rsidTr="10372817">
              <w:trPr>
                <w:cantSplit/>
              </w:trPr>
              <w:tc>
                <w:tcPr>
                  <w:tcW w:w="9639" w:type="dxa"/>
                </w:tcPr>
                <w:p w14:paraId="3417164D" w14:textId="77777777" w:rsidR="005F0F9A" w:rsidRDefault="005F0F9A" w:rsidP="10372817">
                  <w:pPr>
                    <w:pStyle w:val="TAL"/>
                    <w:keepNext w:val="0"/>
                    <w:keepLines w:val="0"/>
                    <w:widowControl w:val="0"/>
                    <w:rPr>
                      <w:b/>
                      <w:bCs/>
                      <w:i/>
                      <w:iCs/>
                      <w:lang w:val="en-US"/>
                    </w:rPr>
                  </w:pPr>
                  <w:proofErr w:type="spellStart"/>
                  <w:r w:rsidRPr="10372817">
                    <w:rPr>
                      <w:b/>
                      <w:bCs/>
                      <w:i/>
                      <w:iCs/>
                      <w:lang w:val="en-US"/>
                    </w:rPr>
                    <w:t>measurementReferenceTime</w:t>
                  </w:r>
                  <w:proofErr w:type="spellEnd"/>
                </w:p>
                <w:p w14:paraId="74BF5239" w14:textId="77777777" w:rsidR="005F0F9A" w:rsidRDefault="005F0F9A">
                  <w:pPr>
                    <w:pStyle w:val="TAL"/>
                    <w:keepNext w:val="0"/>
                    <w:keepLines w:val="0"/>
                    <w:widowControl w:val="0"/>
                  </w:pPr>
                  <w:r>
                    <w:t>This field specifies the time for which the location estimate is</w:t>
                  </w:r>
                  <w:r>
                    <w:rPr>
                      <w:snapToGrid w:val="0"/>
                    </w:rPr>
                    <w:t xml:space="preserve"> valid.</w:t>
                  </w:r>
                </w:p>
              </w:tc>
            </w:tr>
          </w:tbl>
          <w:p w14:paraId="3C48E014" w14:textId="77777777" w:rsidR="005F0F9A" w:rsidRDefault="005F0F9A">
            <w:pPr>
              <w:pStyle w:val="PL"/>
              <w:rPr>
                <w:snapToGrid w:val="0"/>
              </w:rPr>
            </w:pPr>
          </w:p>
        </w:tc>
      </w:tr>
    </w:tbl>
    <w:p w14:paraId="0CCBB08B" w14:textId="77777777" w:rsidR="005F0F9A" w:rsidRDefault="005F0F9A" w:rsidP="005F0F9A"/>
    <w:p w14:paraId="61B3B263" w14:textId="77777777" w:rsidR="0077513F" w:rsidRPr="0077513F" w:rsidRDefault="0077513F"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7513F">
        <w:rPr>
          <w:rFonts w:ascii="Courier New" w:hAnsi="Courier New"/>
          <w:noProof/>
          <w:snapToGrid w:val="0"/>
          <w:sz w:val="16"/>
        </w:rPr>
        <w:lastRenderedPageBreak/>
        <w:t>UTC-Time-r15 ::= SEQUENCE {</w:t>
      </w:r>
    </w:p>
    <w:p w14:paraId="45CF77B3" w14:textId="77777777" w:rsidR="0077513F" w:rsidRPr="0077513F" w:rsidRDefault="0077513F"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7513F">
        <w:rPr>
          <w:rFonts w:ascii="Courier New" w:hAnsi="Courier New"/>
          <w:noProof/>
          <w:snapToGrid w:val="0"/>
          <w:sz w:val="16"/>
        </w:rPr>
        <w:tab/>
        <w:t>utcTime-r15</w:t>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z w:val="16"/>
        </w:rPr>
        <w:t>UTCTime</w:t>
      </w:r>
      <w:r w:rsidRPr="0077513F">
        <w:rPr>
          <w:rFonts w:ascii="Courier New" w:hAnsi="Courier New"/>
          <w:noProof/>
          <w:snapToGrid w:val="0"/>
          <w:sz w:val="16"/>
        </w:rPr>
        <w:t>,</w:t>
      </w:r>
    </w:p>
    <w:p w14:paraId="432FF1E8" w14:textId="77777777" w:rsidR="0077513F" w:rsidRPr="0077513F" w:rsidRDefault="0077513F"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7513F">
        <w:rPr>
          <w:rFonts w:ascii="Courier New" w:hAnsi="Courier New"/>
          <w:noProof/>
          <w:snapToGrid w:val="0"/>
          <w:sz w:val="16"/>
        </w:rPr>
        <w:tab/>
        <w:t>utcTime-ms-r15</w:t>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napToGrid w:val="0"/>
          <w:sz w:val="16"/>
        </w:rPr>
        <w:tab/>
      </w:r>
      <w:r w:rsidRPr="0077513F">
        <w:rPr>
          <w:rFonts w:ascii="Courier New" w:hAnsi="Courier New"/>
          <w:noProof/>
          <w:snapToGrid w:val="0"/>
          <w:sz w:val="16"/>
        </w:rPr>
        <w:tab/>
        <w:t>INTEGER (0..999),</w:t>
      </w:r>
    </w:p>
    <w:p w14:paraId="21602FFE" w14:textId="77777777" w:rsidR="0077513F" w:rsidRPr="0077513F" w:rsidRDefault="0077513F"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7513F">
        <w:rPr>
          <w:rFonts w:ascii="Courier New" w:hAnsi="Courier New"/>
          <w:noProof/>
          <w:snapToGrid w:val="0"/>
          <w:sz w:val="16"/>
        </w:rPr>
        <w:tab/>
        <w:t>...</w:t>
      </w:r>
    </w:p>
    <w:p w14:paraId="021DED88" w14:textId="77777777" w:rsidR="0077513F" w:rsidRPr="0077513F" w:rsidRDefault="0077513F"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7513F">
        <w:rPr>
          <w:rFonts w:ascii="Courier New" w:hAnsi="Courier New"/>
          <w:noProof/>
          <w:snapToGrid w:val="0"/>
          <w:sz w:val="16"/>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7513F" w:rsidRPr="0077513F" w14:paraId="2DE74C94" w14:textId="77777777" w:rsidTr="00E23977">
        <w:trPr>
          <w:cantSplit/>
        </w:trPr>
        <w:tc>
          <w:tcPr>
            <w:tcW w:w="10065" w:type="dxa"/>
          </w:tcPr>
          <w:p w14:paraId="42AD6621" w14:textId="77777777" w:rsidR="0077513F" w:rsidRPr="0077513F" w:rsidRDefault="0077513F" w:rsidP="0077513F">
            <w:pPr>
              <w:keepNext/>
              <w:keepLines/>
              <w:rPr>
                <w:rFonts w:ascii="Arial" w:hAnsi="Arial"/>
                <w:b/>
                <w:bCs/>
                <w:i/>
                <w:iCs/>
                <w:noProof/>
                <w:sz w:val="18"/>
              </w:rPr>
            </w:pPr>
            <w:r w:rsidRPr="0077513F">
              <w:rPr>
                <w:rFonts w:ascii="Arial" w:hAnsi="Arial"/>
                <w:b/>
                <w:bCs/>
                <w:i/>
                <w:iCs/>
                <w:noProof/>
                <w:sz w:val="18"/>
              </w:rPr>
              <w:t>utcTime</w:t>
            </w:r>
          </w:p>
          <w:p w14:paraId="1133E598" w14:textId="77777777" w:rsidR="0077513F" w:rsidRPr="0077513F" w:rsidRDefault="0077513F" w:rsidP="0077513F">
            <w:pPr>
              <w:keepNext/>
              <w:keepLines/>
              <w:rPr>
                <w:rFonts w:ascii="Arial" w:hAnsi="Arial"/>
                <w:bCs/>
                <w:iCs/>
                <w:noProof/>
                <w:sz w:val="18"/>
              </w:rPr>
            </w:pPr>
            <w:r w:rsidRPr="0077513F">
              <w:rPr>
                <w:rFonts w:ascii="Arial" w:hAnsi="Arial"/>
                <w:bCs/>
                <w:iCs/>
                <w:noProof/>
                <w:sz w:val="18"/>
              </w:rPr>
              <w:t xml:space="preserve">This field provides the time stamp of the </w:t>
            </w:r>
            <w:r w:rsidRPr="0077513F">
              <w:rPr>
                <w:rFonts w:ascii="Arial" w:hAnsi="Arial"/>
                <w:bCs/>
                <w:i/>
                <w:iCs/>
                <w:noProof/>
                <w:sz w:val="18"/>
              </w:rPr>
              <w:t>refTime</w:t>
            </w:r>
            <w:r w:rsidRPr="0077513F">
              <w:rPr>
                <w:rFonts w:ascii="Arial" w:hAnsi="Arial"/>
                <w:bCs/>
                <w:iCs/>
                <w:noProof/>
                <w:sz w:val="18"/>
              </w:rPr>
              <w:t xml:space="preserve"> in UTC time and comprises the following subfields:</w:t>
            </w:r>
          </w:p>
          <w:p w14:paraId="0EFBB763" w14:textId="77777777" w:rsidR="0077513F" w:rsidRPr="0077513F" w:rsidRDefault="0077513F" w:rsidP="0077513F">
            <w:pPr>
              <w:ind w:left="576" w:hanging="288"/>
              <w:rPr>
                <w:rFonts w:ascii="Arial" w:hAnsi="Arial" w:cs="Arial"/>
                <w:noProof/>
                <w:sz w:val="18"/>
                <w:szCs w:val="18"/>
              </w:rPr>
            </w:pPr>
            <w:r w:rsidRPr="0077513F">
              <w:rPr>
                <w:rFonts w:ascii="Arial" w:hAnsi="Arial" w:cs="Arial"/>
                <w:snapToGrid w:val="0"/>
                <w:sz w:val="18"/>
                <w:szCs w:val="18"/>
              </w:rPr>
              <w:t>-</w:t>
            </w:r>
            <w:r w:rsidRPr="0077513F">
              <w:rPr>
                <w:rFonts w:ascii="Arial" w:hAnsi="Arial" w:cs="Arial"/>
                <w:snapToGrid w:val="0"/>
                <w:sz w:val="18"/>
                <w:szCs w:val="18"/>
              </w:rPr>
              <w:tab/>
            </w:r>
            <w:proofErr w:type="spellStart"/>
            <w:r w:rsidRPr="0077513F">
              <w:rPr>
                <w:rFonts w:ascii="Arial" w:hAnsi="Arial" w:cs="Arial"/>
                <w:i/>
                <w:snapToGrid w:val="0"/>
                <w:sz w:val="18"/>
                <w:szCs w:val="18"/>
              </w:rPr>
              <w:t>utcTime</w:t>
            </w:r>
            <w:proofErr w:type="spellEnd"/>
            <w:r w:rsidRPr="0077513F">
              <w:rPr>
                <w:rFonts w:ascii="Arial" w:hAnsi="Arial" w:cs="Arial"/>
                <w:noProof/>
                <w:sz w:val="18"/>
                <w:szCs w:val="18"/>
              </w:rPr>
              <w:t xml:space="preserve"> in the form of </w:t>
            </w:r>
            <w:r w:rsidRPr="0077513F">
              <w:rPr>
                <w:rFonts w:ascii="Arial" w:hAnsi="Arial" w:cs="Arial"/>
                <w:noProof/>
                <w:color w:val="FF0000"/>
                <w:sz w:val="18"/>
                <w:szCs w:val="18"/>
              </w:rPr>
              <w:t>YYMMDDhhmmssZ</w:t>
            </w:r>
            <w:r w:rsidRPr="0077513F">
              <w:rPr>
                <w:rFonts w:ascii="Arial" w:hAnsi="Arial" w:cs="Arial"/>
                <w:noProof/>
                <w:sz w:val="18"/>
                <w:szCs w:val="18"/>
              </w:rPr>
              <w:t>.</w:t>
            </w:r>
          </w:p>
          <w:p w14:paraId="69B70929" w14:textId="77777777" w:rsidR="0077513F" w:rsidRPr="0077513F" w:rsidRDefault="0077513F" w:rsidP="0077513F">
            <w:pPr>
              <w:ind w:left="576" w:hanging="288"/>
              <w:rPr>
                <w:noProof/>
              </w:rPr>
            </w:pPr>
            <w:r w:rsidRPr="0077513F">
              <w:rPr>
                <w:rFonts w:ascii="Arial" w:hAnsi="Arial" w:cs="Arial"/>
                <w:snapToGrid w:val="0"/>
                <w:sz w:val="18"/>
                <w:szCs w:val="18"/>
              </w:rPr>
              <w:t>-</w:t>
            </w:r>
            <w:r w:rsidRPr="0077513F">
              <w:rPr>
                <w:rFonts w:ascii="Arial" w:hAnsi="Arial" w:cs="Arial"/>
                <w:snapToGrid w:val="0"/>
                <w:sz w:val="18"/>
                <w:szCs w:val="18"/>
              </w:rPr>
              <w:tab/>
            </w:r>
            <w:proofErr w:type="spellStart"/>
            <w:r w:rsidRPr="0077513F">
              <w:rPr>
                <w:rFonts w:ascii="Arial" w:hAnsi="Arial" w:cs="Arial"/>
                <w:i/>
                <w:snapToGrid w:val="0"/>
                <w:sz w:val="18"/>
                <w:szCs w:val="18"/>
              </w:rPr>
              <w:t>utcTime-ms</w:t>
            </w:r>
            <w:proofErr w:type="spellEnd"/>
            <w:r w:rsidRPr="0077513F">
              <w:rPr>
                <w:rFonts w:ascii="Arial" w:hAnsi="Arial" w:cs="Arial"/>
                <w:snapToGrid w:val="0"/>
                <w:sz w:val="18"/>
                <w:szCs w:val="18"/>
              </w:rPr>
              <w:t xml:space="preserve"> specifies the fractional part of the </w:t>
            </w:r>
            <w:r w:rsidRPr="0077513F">
              <w:rPr>
                <w:rFonts w:ascii="Arial" w:hAnsi="Arial" w:cs="Arial"/>
                <w:snapToGrid w:val="0"/>
                <w:color w:val="FF0000"/>
                <w:sz w:val="18"/>
                <w:szCs w:val="18"/>
              </w:rPr>
              <w:t xml:space="preserve">UTC time in </w:t>
            </w:r>
            <w:proofErr w:type="spellStart"/>
            <w:r w:rsidRPr="0077513F">
              <w:rPr>
                <w:rFonts w:ascii="Arial" w:hAnsi="Arial" w:cs="Arial"/>
                <w:snapToGrid w:val="0"/>
                <w:color w:val="FF0000"/>
                <w:sz w:val="18"/>
                <w:szCs w:val="18"/>
              </w:rPr>
              <w:t>ms</w:t>
            </w:r>
            <w:proofErr w:type="spellEnd"/>
            <w:r w:rsidRPr="0077513F">
              <w:rPr>
                <w:rFonts w:ascii="Arial" w:hAnsi="Arial" w:cs="Arial"/>
                <w:snapToGrid w:val="0"/>
                <w:color w:val="FF0000"/>
                <w:sz w:val="18"/>
                <w:szCs w:val="18"/>
              </w:rPr>
              <w:t xml:space="preserve"> resolution</w:t>
            </w:r>
            <w:r w:rsidRPr="0077513F">
              <w:rPr>
                <w:rFonts w:ascii="Arial" w:hAnsi="Arial" w:cs="Arial"/>
                <w:snapToGrid w:val="0"/>
                <w:sz w:val="18"/>
                <w:szCs w:val="18"/>
              </w:rPr>
              <w:t>.</w:t>
            </w:r>
          </w:p>
        </w:tc>
      </w:tr>
    </w:tbl>
    <w:p w14:paraId="18C61619" w14:textId="77777777" w:rsidR="0077513F" w:rsidRDefault="0077513F" w:rsidP="005F0F9A"/>
    <w:p w14:paraId="1DA5DF15" w14:textId="77777777" w:rsidR="0077513F" w:rsidRDefault="0077513F" w:rsidP="005F0F9A"/>
    <w:p w14:paraId="7D40866E" w14:textId="77777777" w:rsidR="005F0F9A" w:rsidRDefault="005F0F9A" w:rsidP="005F0F9A">
      <w:pPr>
        <w:rPr>
          <w:b/>
          <w:bCs/>
          <w:u w:val="single"/>
        </w:rPr>
      </w:pPr>
      <w:r>
        <w:rPr>
          <w:b/>
          <w:bCs/>
          <w:u w:val="single"/>
        </w:rPr>
        <w:t>For reference, existing signaling in 38.455 (</w:t>
      </w:r>
      <w:proofErr w:type="spellStart"/>
      <w:r>
        <w:rPr>
          <w:b/>
          <w:bCs/>
          <w:u w:val="single"/>
        </w:rPr>
        <w:t>NRPPa</w:t>
      </w:r>
      <w:proofErr w:type="spellEnd"/>
      <w:r>
        <w:rPr>
          <w:b/>
          <w:bCs/>
          <w:u w:val="single"/>
        </w:rPr>
        <w:t>):</w:t>
      </w:r>
    </w:p>
    <w:p w14:paraId="2F72242C" w14:textId="77777777" w:rsidR="005F0F9A" w:rsidRDefault="005F0F9A" w:rsidP="005F0F9A">
      <w:bookmarkStart w:id="2107" w:name="_Toc113379432"/>
      <w:bookmarkStart w:id="2108" w:name="_Toc155982900"/>
      <w:bookmarkStart w:id="2109" w:name="_Toc64447711"/>
      <w:bookmarkStart w:id="2110" w:name="_Toc112766516"/>
      <w:bookmarkStart w:id="2111" w:name="_Toc106109624"/>
      <w:bookmarkStart w:id="2112" w:name="_Toc99959222"/>
      <w:bookmarkStart w:id="2113" w:name="_Toc88654220"/>
      <w:bookmarkStart w:id="2114" w:name="_Toc120091985"/>
      <w:bookmarkStart w:id="2115" w:name="_Toc56773082"/>
      <w:bookmarkStart w:id="2116" w:name="_Toc99056289"/>
      <w:bookmarkStart w:id="2117" w:name="_Toc51776060"/>
      <w:bookmarkStart w:id="2118" w:name="_Toc74152367"/>
      <w:bookmarkStart w:id="2119" w:name="_Toc105612408"/>
      <w:r>
        <w:t>9.2.42</w:t>
      </w:r>
      <w:r>
        <w:tab/>
      </w:r>
      <w:r>
        <w:tab/>
        <w:t>Time Stamp</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48E2695A" w14:textId="77777777" w:rsidR="005F0F9A" w:rsidRDefault="005F0F9A" w:rsidP="005F0F9A">
      <w:r>
        <w:t>This information element contains the time stamp.</w:t>
      </w:r>
    </w:p>
    <w:tbl>
      <w:tblPr>
        <w:tblW w:w="9720" w:type="dxa"/>
        <w:tblLayout w:type="fixed"/>
        <w:tblLook w:val="04A0" w:firstRow="1" w:lastRow="0" w:firstColumn="1" w:lastColumn="0" w:noHBand="0" w:noVBand="1"/>
      </w:tblPr>
      <w:tblGrid>
        <w:gridCol w:w="2448"/>
        <w:gridCol w:w="1080"/>
        <w:gridCol w:w="1439"/>
        <w:gridCol w:w="1872"/>
        <w:gridCol w:w="2881"/>
      </w:tblGrid>
      <w:tr w:rsidR="005F0F9A" w14:paraId="4E7F4F28"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07278" w14:textId="77777777" w:rsidR="005F0F9A" w:rsidRDefault="005F0F9A" w:rsidP="003A7D8E">
            <w:pPr>
              <w:pStyle w:val="TAH"/>
              <w:keepNext w:val="0"/>
              <w:keepLines w:val="0"/>
              <w:widowControl w:val="0"/>
              <w:spacing w:after="0"/>
            </w:pPr>
            <w:r>
              <w:t>IE/Group Name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43818" w14:textId="77777777" w:rsidR="005F0F9A" w:rsidRDefault="005F0F9A" w:rsidP="003A7D8E">
            <w:pPr>
              <w:pStyle w:val="TAH"/>
              <w:keepNext w:val="0"/>
              <w:keepLines w:val="0"/>
              <w:widowControl w:val="0"/>
              <w:spacing w:after="0"/>
            </w:pPr>
            <w:r>
              <w:t>Presence</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8A3AC" w14:textId="77777777" w:rsidR="005F0F9A" w:rsidRDefault="005F0F9A" w:rsidP="003A7D8E">
            <w:pPr>
              <w:pStyle w:val="TAH"/>
              <w:keepNext w:val="0"/>
              <w:keepLines w:val="0"/>
              <w:widowControl w:val="0"/>
              <w:spacing w:after="0"/>
            </w:pPr>
            <w:r>
              <w:t>Range</w:t>
            </w: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BC4BD" w14:textId="77777777" w:rsidR="005F0F9A" w:rsidRDefault="005F0F9A" w:rsidP="003A7D8E">
            <w:pPr>
              <w:pStyle w:val="TAH"/>
              <w:keepNext w:val="0"/>
              <w:keepLines w:val="0"/>
              <w:widowControl w:val="0"/>
              <w:spacing w:after="0"/>
            </w:pPr>
            <w:r>
              <w:t>IE Type and Reference</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77CE6" w14:textId="77777777" w:rsidR="005F0F9A" w:rsidRDefault="005F0F9A" w:rsidP="003A7D8E">
            <w:pPr>
              <w:pStyle w:val="TAH"/>
              <w:keepNext w:val="0"/>
              <w:keepLines w:val="0"/>
              <w:widowControl w:val="0"/>
              <w:spacing w:after="0"/>
            </w:pPr>
            <w:r>
              <w:t>Semantics Description</w:t>
            </w:r>
          </w:p>
        </w:tc>
      </w:tr>
      <w:tr w:rsidR="005F0F9A" w14:paraId="7A3799C2"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95F0" w14:textId="77777777" w:rsidR="005F0F9A" w:rsidRDefault="005F0F9A" w:rsidP="003A7D8E">
            <w:pPr>
              <w:pStyle w:val="TAL"/>
              <w:keepNext w:val="0"/>
              <w:keepLines w:val="0"/>
              <w:widowControl w:val="0"/>
              <w:spacing w:after="0"/>
            </w:pPr>
            <w:r>
              <w:t>System Frame Number</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DAF3" w14:textId="77777777" w:rsidR="005F0F9A" w:rsidRDefault="005F0F9A" w:rsidP="003A7D8E">
            <w:pPr>
              <w:pStyle w:val="TAL"/>
              <w:keepNext w:val="0"/>
              <w:keepLines w:val="0"/>
              <w:widowControl w:val="0"/>
              <w:spacing w:after="0"/>
            </w:pPr>
            <w:r>
              <w:t>M</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700D"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3590B" w14:textId="77777777" w:rsidR="005F0F9A" w:rsidRDefault="005F0F9A" w:rsidP="003A7D8E">
            <w:pPr>
              <w:pStyle w:val="TAL"/>
              <w:keepNext w:val="0"/>
              <w:keepLines w:val="0"/>
              <w:widowControl w:val="0"/>
              <w:spacing w:after="0"/>
            </w:pPr>
            <w:proofErr w:type="gramStart"/>
            <w:r w:rsidRPr="10372817">
              <w:rPr>
                <w:lang w:val="en-US"/>
              </w:rPr>
              <w:t>INTEGER(</w:t>
            </w:r>
            <w:proofErr w:type="gramEnd"/>
            <w:r w:rsidRPr="10372817">
              <w:rPr>
                <w:lang w:val="en-US"/>
              </w:rPr>
              <w:t>0..1023)</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BEF48" w14:textId="77777777" w:rsidR="005F0F9A" w:rsidRDefault="005F0F9A" w:rsidP="003A7D8E">
            <w:pPr>
              <w:pStyle w:val="TAL"/>
              <w:keepNext w:val="0"/>
              <w:keepLines w:val="0"/>
              <w:widowControl w:val="0"/>
              <w:spacing w:after="0"/>
              <w:rPr>
                <w:bCs/>
              </w:rPr>
            </w:pPr>
          </w:p>
        </w:tc>
      </w:tr>
      <w:tr w:rsidR="005F0F9A" w14:paraId="170E190A"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2AA60" w14:textId="77777777" w:rsidR="005F0F9A" w:rsidRDefault="005F0F9A" w:rsidP="003A7D8E">
            <w:pPr>
              <w:pStyle w:val="TAL"/>
              <w:keepNext w:val="0"/>
              <w:keepLines w:val="0"/>
              <w:widowControl w:val="0"/>
              <w:spacing w:after="0"/>
            </w:pPr>
            <w:r>
              <w:t xml:space="preserve">CHOICE </w:t>
            </w:r>
            <w:r>
              <w:rPr>
                <w:i/>
              </w:rPr>
              <w:t>Slot Index</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F0B4D" w14:textId="77777777" w:rsidR="005F0F9A" w:rsidRDefault="005F0F9A" w:rsidP="003A7D8E">
            <w:pPr>
              <w:pStyle w:val="TAL"/>
              <w:keepNext w:val="0"/>
              <w:keepLines w:val="0"/>
              <w:widowControl w:val="0"/>
              <w:spacing w:after="0"/>
            </w:pPr>
            <w:r>
              <w:t>M</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16E6C"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62330" w14:textId="77777777" w:rsidR="005F0F9A" w:rsidRDefault="005F0F9A" w:rsidP="003A7D8E">
            <w:pPr>
              <w:pStyle w:val="TAL"/>
              <w:keepNext w:val="0"/>
              <w:keepLines w:val="0"/>
              <w:widowControl w:val="0"/>
              <w:spacing w:after="0"/>
            </w:pP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0CF51" w14:textId="77777777" w:rsidR="005F0F9A" w:rsidRDefault="005F0F9A" w:rsidP="003A7D8E">
            <w:pPr>
              <w:pStyle w:val="TAL"/>
              <w:keepNext w:val="0"/>
              <w:keepLines w:val="0"/>
              <w:widowControl w:val="0"/>
              <w:spacing w:after="0"/>
              <w:rPr>
                <w:bCs/>
              </w:rPr>
            </w:pPr>
          </w:p>
        </w:tc>
      </w:tr>
      <w:tr w:rsidR="005F0F9A" w14:paraId="2BA04F02"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35A78" w14:textId="77777777" w:rsidR="005F0F9A" w:rsidRDefault="005F0F9A" w:rsidP="003A7D8E">
            <w:pPr>
              <w:pStyle w:val="TAL"/>
              <w:keepNext w:val="0"/>
              <w:keepLines w:val="0"/>
              <w:widowControl w:val="0"/>
              <w:spacing w:after="0"/>
              <w:ind w:left="142"/>
              <w:rPr>
                <w:i/>
                <w:iCs/>
              </w:rPr>
            </w:pPr>
            <w:r>
              <w:rPr>
                <w:i/>
                <w:iCs/>
              </w:rPr>
              <w:t>&gt;SCS-15</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26C29" w14:textId="77777777" w:rsidR="005F0F9A" w:rsidRDefault="005F0F9A" w:rsidP="003A7D8E">
            <w:pPr>
              <w:pStyle w:val="TAL"/>
              <w:keepNext w:val="0"/>
              <w:keepLines w:val="0"/>
              <w:widowControl w:val="0"/>
              <w:spacing w:after="0"/>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C2E12"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045D4" w14:textId="77777777" w:rsidR="005F0F9A" w:rsidRDefault="005F0F9A" w:rsidP="003A7D8E">
            <w:pPr>
              <w:pStyle w:val="TAL"/>
              <w:keepNext w:val="0"/>
              <w:keepLines w:val="0"/>
              <w:widowControl w:val="0"/>
              <w:spacing w:after="0"/>
            </w:pPr>
            <w:proofErr w:type="gramStart"/>
            <w:r w:rsidRPr="10372817">
              <w:rPr>
                <w:lang w:val="en-US"/>
              </w:rPr>
              <w:t>INTEGER(</w:t>
            </w:r>
            <w:proofErr w:type="gramEnd"/>
            <w:r w:rsidRPr="10372817">
              <w:rPr>
                <w:lang w:val="en-US"/>
              </w:rPr>
              <w:t>0..9)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38EF7" w14:textId="77777777" w:rsidR="005F0F9A" w:rsidRDefault="005F0F9A" w:rsidP="003A7D8E">
            <w:pPr>
              <w:pStyle w:val="TAL"/>
              <w:keepNext w:val="0"/>
              <w:keepLines w:val="0"/>
              <w:widowControl w:val="0"/>
              <w:spacing w:after="0"/>
              <w:rPr>
                <w:bCs/>
              </w:rPr>
            </w:pPr>
          </w:p>
        </w:tc>
      </w:tr>
      <w:tr w:rsidR="005F0F9A" w14:paraId="0FB0A622"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3B8D2" w14:textId="77777777" w:rsidR="005F0F9A" w:rsidRDefault="005F0F9A" w:rsidP="003A7D8E">
            <w:pPr>
              <w:pStyle w:val="TAL"/>
              <w:keepNext w:val="0"/>
              <w:keepLines w:val="0"/>
              <w:widowControl w:val="0"/>
              <w:spacing w:after="0"/>
              <w:ind w:left="142"/>
              <w:rPr>
                <w:i/>
                <w:iCs/>
              </w:rPr>
            </w:pPr>
            <w:r>
              <w:rPr>
                <w:i/>
                <w:iCs/>
              </w:rPr>
              <w:t>&gt;SCS-30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639DC" w14:textId="77777777" w:rsidR="005F0F9A" w:rsidRDefault="005F0F9A" w:rsidP="003A7D8E">
            <w:pPr>
              <w:pStyle w:val="TAL"/>
              <w:keepNext w:val="0"/>
              <w:keepLines w:val="0"/>
              <w:widowControl w:val="0"/>
              <w:spacing w:after="0"/>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AA80"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7DAD3" w14:textId="77777777" w:rsidR="005F0F9A" w:rsidRDefault="005F0F9A" w:rsidP="003A7D8E">
            <w:pPr>
              <w:pStyle w:val="TAL"/>
              <w:keepNext w:val="0"/>
              <w:keepLines w:val="0"/>
              <w:widowControl w:val="0"/>
              <w:spacing w:after="0"/>
            </w:pPr>
            <w:proofErr w:type="gramStart"/>
            <w:r w:rsidRPr="10372817">
              <w:rPr>
                <w:lang w:val="en-US"/>
              </w:rPr>
              <w:t>INTEGER(</w:t>
            </w:r>
            <w:proofErr w:type="gramEnd"/>
            <w:r w:rsidRPr="10372817">
              <w:rPr>
                <w:lang w:val="en-US"/>
              </w:rPr>
              <w:t>0..19)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2A0D4" w14:textId="77777777" w:rsidR="005F0F9A" w:rsidRDefault="005F0F9A" w:rsidP="003A7D8E">
            <w:pPr>
              <w:pStyle w:val="TAL"/>
              <w:keepNext w:val="0"/>
              <w:keepLines w:val="0"/>
              <w:widowControl w:val="0"/>
              <w:spacing w:after="0"/>
              <w:rPr>
                <w:bCs/>
              </w:rPr>
            </w:pPr>
          </w:p>
        </w:tc>
      </w:tr>
      <w:tr w:rsidR="005F0F9A" w14:paraId="522EE8A9"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213E9" w14:textId="77777777" w:rsidR="005F0F9A" w:rsidRDefault="005F0F9A" w:rsidP="003A7D8E">
            <w:pPr>
              <w:pStyle w:val="TAL"/>
              <w:keepNext w:val="0"/>
              <w:keepLines w:val="0"/>
              <w:widowControl w:val="0"/>
              <w:spacing w:after="0"/>
              <w:ind w:left="142"/>
              <w:rPr>
                <w:i/>
                <w:iCs/>
              </w:rPr>
            </w:pPr>
            <w:r>
              <w:rPr>
                <w:i/>
                <w:iCs/>
              </w:rPr>
              <w:t>&gt;SCS-60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295E8" w14:textId="77777777" w:rsidR="005F0F9A" w:rsidRDefault="005F0F9A" w:rsidP="003A7D8E">
            <w:pPr>
              <w:pStyle w:val="TAL"/>
              <w:keepNext w:val="0"/>
              <w:keepLines w:val="0"/>
              <w:widowControl w:val="0"/>
              <w:spacing w:after="0"/>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DAAF8"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49CB9" w14:textId="77777777" w:rsidR="005F0F9A" w:rsidRDefault="005F0F9A" w:rsidP="003A7D8E">
            <w:pPr>
              <w:pStyle w:val="TAL"/>
              <w:keepNext w:val="0"/>
              <w:keepLines w:val="0"/>
              <w:widowControl w:val="0"/>
              <w:spacing w:after="0"/>
            </w:pPr>
            <w:proofErr w:type="gramStart"/>
            <w:r w:rsidRPr="10372817">
              <w:rPr>
                <w:lang w:val="en-US"/>
              </w:rPr>
              <w:t>INTEGER(</w:t>
            </w:r>
            <w:proofErr w:type="gramEnd"/>
            <w:r w:rsidRPr="10372817">
              <w:rPr>
                <w:lang w:val="en-US"/>
              </w:rPr>
              <w:t>0..39)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D3AA0" w14:textId="77777777" w:rsidR="005F0F9A" w:rsidRDefault="005F0F9A" w:rsidP="003A7D8E">
            <w:pPr>
              <w:pStyle w:val="TAL"/>
              <w:keepNext w:val="0"/>
              <w:keepLines w:val="0"/>
              <w:widowControl w:val="0"/>
              <w:spacing w:after="0"/>
              <w:rPr>
                <w:bCs/>
              </w:rPr>
            </w:pPr>
          </w:p>
        </w:tc>
      </w:tr>
      <w:tr w:rsidR="005F0F9A" w14:paraId="6CCA8321"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081BF" w14:textId="77777777" w:rsidR="005F0F9A" w:rsidRDefault="005F0F9A" w:rsidP="003A7D8E">
            <w:pPr>
              <w:pStyle w:val="TAL"/>
              <w:keepNext w:val="0"/>
              <w:keepLines w:val="0"/>
              <w:widowControl w:val="0"/>
              <w:spacing w:after="0"/>
              <w:ind w:left="142"/>
              <w:rPr>
                <w:i/>
                <w:iCs/>
              </w:rPr>
            </w:pPr>
            <w:r>
              <w:rPr>
                <w:i/>
                <w:iCs/>
              </w:rPr>
              <w:t>&gt;SCS-120</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E5ADF" w14:textId="77777777" w:rsidR="005F0F9A" w:rsidRDefault="005F0F9A" w:rsidP="003A7D8E">
            <w:pPr>
              <w:pStyle w:val="TAL"/>
              <w:keepNext w:val="0"/>
              <w:keepLines w:val="0"/>
              <w:widowControl w:val="0"/>
              <w:spacing w:after="0"/>
            </w:pP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0F8CD"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59781" w14:textId="77777777" w:rsidR="005F0F9A" w:rsidRDefault="005F0F9A" w:rsidP="003A7D8E">
            <w:pPr>
              <w:pStyle w:val="TAL"/>
              <w:keepNext w:val="0"/>
              <w:keepLines w:val="0"/>
              <w:widowControl w:val="0"/>
              <w:spacing w:after="0"/>
            </w:pPr>
            <w:proofErr w:type="gramStart"/>
            <w:r w:rsidRPr="10372817">
              <w:rPr>
                <w:lang w:val="en-US"/>
              </w:rPr>
              <w:t>INTEGER(</w:t>
            </w:r>
            <w:proofErr w:type="gramEnd"/>
            <w:r w:rsidRPr="10372817">
              <w:rPr>
                <w:lang w:val="en-US"/>
              </w:rPr>
              <w:t>0..79)</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21133" w14:textId="77777777" w:rsidR="005F0F9A" w:rsidRDefault="005F0F9A" w:rsidP="003A7D8E">
            <w:pPr>
              <w:pStyle w:val="TAL"/>
              <w:keepNext w:val="0"/>
              <w:keepLines w:val="0"/>
              <w:widowControl w:val="0"/>
              <w:spacing w:after="0"/>
              <w:rPr>
                <w:bCs/>
              </w:rPr>
            </w:pPr>
          </w:p>
        </w:tc>
      </w:tr>
      <w:tr w:rsidR="005F0F9A" w14:paraId="62FC850E" w14:textId="77777777" w:rsidTr="10372817">
        <w:tc>
          <w:tcPr>
            <w:tcW w:w="2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56C45" w14:textId="77777777" w:rsidR="005F0F9A" w:rsidRDefault="005F0F9A" w:rsidP="003A7D8E">
            <w:pPr>
              <w:pStyle w:val="TAL"/>
              <w:keepNext w:val="0"/>
              <w:keepLines w:val="0"/>
              <w:widowControl w:val="0"/>
              <w:spacing w:after="0"/>
            </w:pPr>
            <w:r>
              <w:t xml:space="preserve"> Measurement time</w:t>
            </w:r>
          </w:p>
        </w:tc>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76078" w14:textId="77777777" w:rsidR="005F0F9A" w:rsidRDefault="005F0F9A" w:rsidP="003A7D8E">
            <w:pPr>
              <w:pStyle w:val="TAL"/>
              <w:keepNext w:val="0"/>
              <w:keepLines w:val="0"/>
              <w:widowControl w:val="0"/>
              <w:spacing w:after="0"/>
            </w:pPr>
            <w:r>
              <w:t>O</w:t>
            </w:r>
          </w:p>
        </w:tc>
        <w:tc>
          <w:tcPr>
            <w:tcW w:w="1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CA76D" w14:textId="77777777" w:rsidR="005F0F9A" w:rsidRDefault="005F0F9A" w:rsidP="003A7D8E">
            <w:pPr>
              <w:pStyle w:val="TAL"/>
              <w:keepNext w:val="0"/>
              <w:keepLines w:val="0"/>
              <w:widowControl w:val="0"/>
              <w:spacing w:after="0"/>
            </w:pPr>
          </w:p>
        </w:tc>
        <w:tc>
          <w:tcPr>
            <w:tcW w:w="1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FAD2D" w14:textId="77777777" w:rsidR="005F0F9A" w:rsidRDefault="005F0F9A" w:rsidP="003A7D8E">
            <w:pPr>
              <w:pStyle w:val="TAL"/>
              <w:keepNext w:val="0"/>
              <w:keepLines w:val="0"/>
              <w:widowControl w:val="0"/>
              <w:spacing w:after="0"/>
              <w:rPr>
                <w:lang w:val="en-US"/>
              </w:rPr>
            </w:pPr>
            <w:r>
              <w:t>Relative Time 1900</w:t>
            </w:r>
          </w:p>
          <w:p w14:paraId="67839A78" w14:textId="77777777" w:rsidR="005F0F9A" w:rsidRDefault="005F0F9A" w:rsidP="003A7D8E">
            <w:pPr>
              <w:pStyle w:val="TAL"/>
              <w:keepNext w:val="0"/>
              <w:keepLines w:val="0"/>
              <w:widowControl w:val="0"/>
              <w:spacing w:after="0"/>
            </w:pPr>
            <w:r>
              <w:t>9.2.36</w:t>
            </w:r>
          </w:p>
        </w:tc>
        <w:tc>
          <w:tcPr>
            <w:tcW w:w="2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9E900" w14:textId="77777777" w:rsidR="005F0F9A" w:rsidRDefault="005F0F9A" w:rsidP="003A7D8E">
            <w:pPr>
              <w:pStyle w:val="TAL"/>
              <w:keepNext w:val="0"/>
              <w:keepLines w:val="0"/>
              <w:widowControl w:val="0"/>
              <w:spacing w:after="0"/>
              <w:rPr>
                <w:bCs/>
              </w:rPr>
            </w:pPr>
          </w:p>
        </w:tc>
      </w:tr>
    </w:tbl>
    <w:p w14:paraId="0C89650C" w14:textId="77777777" w:rsidR="005F0F9A" w:rsidRDefault="005F0F9A" w:rsidP="005F0F9A"/>
    <w:p w14:paraId="3074F30D" w14:textId="77777777" w:rsidR="0077513F" w:rsidRPr="0077513F" w:rsidRDefault="0077513F" w:rsidP="0077513F">
      <w:pPr>
        <w:rPr>
          <w:lang w:eastAsia="ko-KR"/>
        </w:rPr>
      </w:pPr>
      <w:bookmarkStart w:id="2120" w:name="_Toc51776054"/>
      <w:bookmarkStart w:id="2121" w:name="_Toc56773076"/>
      <w:bookmarkStart w:id="2122" w:name="_Toc64447705"/>
      <w:bookmarkStart w:id="2123" w:name="_Toc74152361"/>
      <w:bookmarkStart w:id="2124" w:name="_Toc88654214"/>
      <w:bookmarkStart w:id="2125" w:name="_Toc99056283"/>
      <w:bookmarkStart w:id="2126" w:name="_Toc99959216"/>
      <w:bookmarkStart w:id="2127" w:name="_Toc105612402"/>
      <w:bookmarkStart w:id="2128" w:name="_Toc106109618"/>
      <w:bookmarkStart w:id="2129" w:name="_Toc112766510"/>
      <w:bookmarkStart w:id="2130" w:name="_Toc113379426"/>
      <w:bookmarkStart w:id="2131" w:name="_Toc120091979"/>
      <w:bookmarkStart w:id="2132" w:name="_Toc155982894"/>
      <w:r w:rsidRPr="0077513F">
        <w:rPr>
          <w:lang w:eastAsia="ko-KR"/>
        </w:rPr>
        <w:t>9.2.36</w:t>
      </w:r>
      <w:r w:rsidRPr="0077513F">
        <w:rPr>
          <w:lang w:eastAsia="ko-KR"/>
        </w:rPr>
        <w:tab/>
      </w:r>
      <w:bookmarkEnd w:id="2120"/>
      <w:bookmarkEnd w:id="2121"/>
      <w:bookmarkEnd w:id="2122"/>
      <w:r w:rsidRPr="0077513F">
        <w:rPr>
          <w:lang w:eastAsia="ko-KR"/>
        </w:rPr>
        <w:t>Relative Time 1900</w:t>
      </w:r>
      <w:bookmarkEnd w:id="2123"/>
      <w:bookmarkEnd w:id="2124"/>
      <w:bookmarkEnd w:id="2125"/>
      <w:bookmarkEnd w:id="2126"/>
      <w:bookmarkEnd w:id="2127"/>
      <w:bookmarkEnd w:id="2128"/>
      <w:bookmarkEnd w:id="2129"/>
      <w:bookmarkEnd w:id="2130"/>
      <w:bookmarkEnd w:id="2131"/>
      <w:bookmarkEnd w:id="2132"/>
    </w:p>
    <w:p w14:paraId="119D0D0C" w14:textId="77777777" w:rsidR="0077513F" w:rsidRPr="0077513F" w:rsidRDefault="0077513F" w:rsidP="0077513F">
      <w:pPr>
        <w:widowControl w:val="0"/>
        <w:overflowPunct w:val="0"/>
        <w:autoSpaceDE w:val="0"/>
        <w:autoSpaceDN w:val="0"/>
        <w:adjustRightInd w:val="0"/>
        <w:textAlignment w:val="baseline"/>
        <w:rPr>
          <w:lang w:eastAsia="ko-KR"/>
        </w:rPr>
      </w:pPr>
      <w:r w:rsidRPr="0077513F">
        <w:rPr>
          <w:lang w:eastAsia="ko-KR"/>
        </w:rPr>
        <w:t xml:space="preserve">This information element indicates the </w:t>
      </w:r>
      <w:proofErr w:type="spellStart"/>
      <w:r w:rsidRPr="0077513F">
        <w:rPr>
          <w:lang w:eastAsia="ko-KR"/>
        </w:rPr>
        <w:t>initialisation</w:t>
      </w:r>
      <w:proofErr w:type="spellEnd"/>
      <w:r w:rsidRPr="0077513F">
        <w:rPr>
          <w:lang w:eastAsia="ko-KR"/>
        </w:rPr>
        <w:t xml:space="preserve"> time (e.g. SFN </w:t>
      </w:r>
      <w:proofErr w:type="spellStart"/>
      <w:r w:rsidRPr="0077513F">
        <w:rPr>
          <w:lang w:eastAsia="ko-KR"/>
        </w:rPr>
        <w:t>Initalisation</w:t>
      </w:r>
      <w:proofErr w:type="spellEnd"/>
      <w:r w:rsidRPr="0077513F">
        <w:rPr>
          <w:lang w:eastAsia="ko-KR"/>
        </w:rPr>
        <w:t xml:space="preserve"> Time for a cell, requested time for an action, </w:t>
      </w:r>
      <w:proofErr w:type="spellStart"/>
      <w:r w:rsidRPr="0077513F">
        <w:rPr>
          <w:lang w:eastAsia="ko-KR"/>
        </w:rPr>
        <w:t>etc</w:t>
      </w:r>
      <w:proofErr w:type="spellEnd"/>
      <w:r w:rsidRPr="0077513F">
        <w:rPr>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513F" w:rsidRPr="0077513F" w14:paraId="19D1A3DF" w14:textId="77777777" w:rsidTr="00E23977">
        <w:trPr>
          <w:tblHeader/>
        </w:trPr>
        <w:tc>
          <w:tcPr>
            <w:tcW w:w="2448" w:type="dxa"/>
          </w:tcPr>
          <w:p w14:paraId="510A383C" w14:textId="77777777" w:rsidR="0077513F" w:rsidRPr="0077513F" w:rsidRDefault="0077513F" w:rsidP="003A7D8E">
            <w:pPr>
              <w:widowControl w:val="0"/>
              <w:overflowPunct w:val="0"/>
              <w:autoSpaceDE w:val="0"/>
              <w:autoSpaceDN w:val="0"/>
              <w:adjustRightInd w:val="0"/>
              <w:spacing w:after="0"/>
              <w:jc w:val="center"/>
              <w:textAlignment w:val="baseline"/>
              <w:rPr>
                <w:rFonts w:ascii="Arial" w:hAnsi="Arial"/>
                <w:b/>
                <w:sz w:val="18"/>
                <w:lang w:eastAsia="ko-KR"/>
              </w:rPr>
            </w:pPr>
            <w:r w:rsidRPr="0077513F">
              <w:rPr>
                <w:rFonts w:ascii="Arial" w:hAnsi="Arial"/>
                <w:b/>
                <w:sz w:val="18"/>
                <w:lang w:eastAsia="ko-KR"/>
              </w:rPr>
              <w:t>IE/Group Name</w:t>
            </w:r>
          </w:p>
        </w:tc>
        <w:tc>
          <w:tcPr>
            <w:tcW w:w="1080" w:type="dxa"/>
          </w:tcPr>
          <w:p w14:paraId="101C3C74" w14:textId="77777777" w:rsidR="0077513F" w:rsidRPr="0077513F" w:rsidRDefault="0077513F" w:rsidP="003A7D8E">
            <w:pPr>
              <w:widowControl w:val="0"/>
              <w:overflowPunct w:val="0"/>
              <w:autoSpaceDE w:val="0"/>
              <w:autoSpaceDN w:val="0"/>
              <w:adjustRightInd w:val="0"/>
              <w:spacing w:after="0"/>
              <w:jc w:val="center"/>
              <w:textAlignment w:val="baseline"/>
              <w:rPr>
                <w:rFonts w:ascii="Arial" w:hAnsi="Arial"/>
                <w:b/>
                <w:sz w:val="18"/>
                <w:lang w:eastAsia="ko-KR"/>
              </w:rPr>
            </w:pPr>
            <w:r w:rsidRPr="0077513F">
              <w:rPr>
                <w:rFonts w:ascii="Arial" w:hAnsi="Arial"/>
                <w:b/>
                <w:sz w:val="18"/>
                <w:lang w:eastAsia="ko-KR"/>
              </w:rPr>
              <w:t>Presence</w:t>
            </w:r>
          </w:p>
        </w:tc>
        <w:tc>
          <w:tcPr>
            <w:tcW w:w="1440" w:type="dxa"/>
          </w:tcPr>
          <w:p w14:paraId="2647DBC6" w14:textId="77777777" w:rsidR="0077513F" w:rsidRPr="0077513F" w:rsidRDefault="0077513F" w:rsidP="003A7D8E">
            <w:pPr>
              <w:widowControl w:val="0"/>
              <w:overflowPunct w:val="0"/>
              <w:autoSpaceDE w:val="0"/>
              <w:autoSpaceDN w:val="0"/>
              <w:adjustRightInd w:val="0"/>
              <w:spacing w:after="0"/>
              <w:jc w:val="center"/>
              <w:textAlignment w:val="baseline"/>
              <w:rPr>
                <w:rFonts w:ascii="Arial" w:hAnsi="Arial"/>
                <w:b/>
                <w:sz w:val="18"/>
                <w:lang w:eastAsia="ko-KR"/>
              </w:rPr>
            </w:pPr>
            <w:r w:rsidRPr="0077513F">
              <w:rPr>
                <w:rFonts w:ascii="Arial" w:hAnsi="Arial"/>
                <w:b/>
                <w:sz w:val="18"/>
                <w:lang w:eastAsia="ko-KR"/>
              </w:rPr>
              <w:t>Range</w:t>
            </w:r>
          </w:p>
        </w:tc>
        <w:tc>
          <w:tcPr>
            <w:tcW w:w="1872" w:type="dxa"/>
          </w:tcPr>
          <w:p w14:paraId="2DC70629" w14:textId="77777777" w:rsidR="0077513F" w:rsidRPr="0077513F" w:rsidRDefault="0077513F" w:rsidP="003A7D8E">
            <w:pPr>
              <w:widowControl w:val="0"/>
              <w:overflowPunct w:val="0"/>
              <w:autoSpaceDE w:val="0"/>
              <w:autoSpaceDN w:val="0"/>
              <w:adjustRightInd w:val="0"/>
              <w:spacing w:after="0"/>
              <w:jc w:val="center"/>
              <w:textAlignment w:val="baseline"/>
              <w:rPr>
                <w:rFonts w:ascii="Arial" w:hAnsi="Arial"/>
                <w:b/>
                <w:sz w:val="18"/>
                <w:lang w:eastAsia="ko-KR"/>
              </w:rPr>
            </w:pPr>
            <w:r w:rsidRPr="0077513F">
              <w:rPr>
                <w:rFonts w:ascii="Arial" w:hAnsi="Arial"/>
                <w:b/>
                <w:sz w:val="18"/>
                <w:lang w:eastAsia="ko-KR"/>
              </w:rPr>
              <w:t>IE Type and Reference</w:t>
            </w:r>
          </w:p>
        </w:tc>
        <w:tc>
          <w:tcPr>
            <w:tcW w:w="2880" w:type="dxa"/>
          </w:tcPr>
          <w:p w14:paraId="47441475" w14:textId="77777777" w:rsidR="0077513F" w:rsidRPr="0077513F" w:rsidRDefault="0077513F" w:rsidP="003A7D8E">
            <w:pPr>
              <w:widowControl w:val="0"/>
              <w:overflowPunct w:val="0"/>
              <w:autoSpaceDE w:val="0"/>
              <w:autoSpaceDN w:val="0"/>
              <w:adjustRightInd w:val="0"/>
              <w:spacing w:after="0"/>
              <w:jc w:val="center"/>
              <w:textAlignment w:val="baseline"/>
              <w:rPr>
                <w:rFonts w:ascii="Arial" w:hAnsi="Arial"/>
                <w:b/>
                <w:sz w:val="18"/>
                <w:lang w:eastAsia="ko-KR"/>
              </w:rPr>
            </w:pPr>
            <w:r w:rsidRPr="0077513F">
              <w:rPr>
                <w:rFonts w:ascii="Arial" w:hAnsi="Arial"/>
                <w:b/>
                <w:sz w:val="18"/>
                <w:lang w:eastAsia="ko-KR"/>
              </w:rPr>
              <w:t>Semantics Description</w:t>
            </w:r>
          </w:p>
        </w:tc>
      </w:tr>
      <w:tr w:rsidR="0077513F" w:rsidRPr="0077513F" w14:paraId="24C84B81" w14:textId="77777777" w:rsidTr="00E23977">
        <w:tc>
          <w:tcPr>
            <w:tcW w:w="2448" w:type="dxa"/>
          </w:tcPr>
          <w:p w14:paraId="1A8873E9" w14:textId="77777777" w:rsidR="0077513F" w:rsidRPr="0077513F" w:rsidRDefault="0077513F" w:rsidP="003A7D8E">
            <w:pPr>
              <w:widowControl w:val="0"/>
              <w:overflowPunct w:val="0"/>
              <w:autoSpaceDE w:val="0"/>
              <w:autoSpaceDN w:val="0"/>
              <w:adjustRightInd w:val="0"/>
              <w:spacing w:after="0"/>
              <w:textAlignment w:val="baseline"/>
              <w:rPr>
                <w:rFonts w:ascii="Arial" w:hAnsi="Arial"/>
                <w:b/>
                <w:bCs/>
                <w:sz w:val="18"/>
                <w:lang w:eastAsia="ko-KR"/>
              </w:rPr>
            </w:pPr>
            <w:r w:rsidRPr="0077513F">
              <w:rPr>
                <w:rFonts w:ascii="Arial" w:hAnsi="Arial"/>
                <w:sz w:val="18"/>
                <w:lang w:eastAsia="ko-KR"/>
              </w:rPr>
              <w:t>Relative Time 1900</w:t>
            </w:r>
          </w:p>
        </w:tc>
        <w:tc>
          <w:tcPr>
            <w:tcW w:w="1080" w:type="dxa"/>
          </w:tcPr>
          <w:p w14:paraId="7FD37992" w14:textId="77777777" w:rsidR="0077513F" w:rsidRPr="0077513F" w:rsidRDefault="0077513F" w:rsidP="003A7D8E">
            <w:pPr>
              <w:widowControl w:val="0"/>
              <w:overflowPunct w:val="0"/>
              <w:autoSpaceDE w:val="0"/>
              <w:autoSpaceDN w:val="0"/>
              <w:adjustRightInd w:val="0"/>
              <w:spacing w:after="0"/>
              <w:textAlignment w:val="baseline"/>
              <w:rPr>
                <w:rFonts w:ascii="Arial" w:hAnsi="Arial"/>
                <w:sz w:val="18"/>
                <w:lang w:eastAsia="ko-KR"/>
              </w:rPr>
            </w:pPr>
            <w:r w:rsidRPr="0077513F">
              <w:rPr>
                <w:rFonts w:ascii="Arial" w:hAnsi="Arial"/>
                <w:sz w:val="18"/>
                <w:lang w:eastAsia="ko-KR"/>
              </w:rPr>
              <w:t>M</w:t>
            </w:r>
          </w:p>
        </w:tc>
        <w:tc>
          <w:tcPr>
            <w:tcW w:w="1440" w:type="dxa"/>
          </w:tcPr>
          <w:p w14:paraId="6EEBE4A0" w14:textId="77777777" w:rsidR="0077513F" w:rsidRPr="0077513F" w:rsidRDefault="0077513F" w:rsidP="003A7D8E">
            <w:pPr>
              <w:widowControl w:val="0"/>
              <w:overflowPunct w:val="0"/>
              <w:autoSpaceDE w:val="0"/>
              <w:autoSpaceDN w:val="0"/>
              <w:adjustRightInd w:val="0"/>
              <w:spacing w:after="0"/>
              <w:textAlignment w:val="baseline"/>
              <w:rPr>
                <w:rFonts w:ascii="Arial" w:hAnsi="Arial"/>
                <w:i/>
                <w:iCs/>
                <w:sz w:val="18"/>
                <w:lang w:eastAsia="ko-KR"/>
              </w:rPr>
            </w:pPr>
          </w:p>
        </w:tc>
        <w:tc>
          <w:tcPr>
            <w:tcW w:w="1872" w:type="dxa"/>
          </w:tcPr>
          <w:p w14:paraId="6AAEC170" w14:textId="77777777" w:rsidR="0077513F" w:rsidRPr="0077513F" w:rsidRDefault="0077513F" w:rsidP="003A7D8E">
            <w:pPr>
              <w:widowControl w:val="0"/>
              <w:overflowPunct w:val="0"/>
              <w:autoSpaceDE w:val="0"/>
              <w:autoSpaceDN w:val="0"/>
              <w:adjustRightInd w:val="0"/>
              <w:spacing w:after="0"/>
              <w:textAlignment w:val="baseline"/>
              <w:rPr>
                <w:rFonts w:ascii="Arial" w:hAnsi="Arial"/>
                <w:sz w:val="18"/>
                <w:lang w:eastAsia="ko-KR"/>
              </w:rPr>
            </w:pPr>
            <w:r w:rsidRPr="0077513F">
              <w:rPr>
                <w:rFonts w:ascii="Arial" w:hAnsi="Arial"/>
                <w:sz w:val="18"/>
                <w:lang w:eastAsia="ko-KR"/>
              </w:rPr>
              <w:t>BIT STRING (</w:t>
            </w:r>
            <w:proofErr w:type="gramStart"/>
            <w:r w:rsidRPr="0077513F">
              <w:rPr>
                <w:rFonts w:ascii="Arial" w:hAnsi="Arial"/>
                <w:sz w:val="18"/>
                <w:lang w:eastAsia="ko-KR"/>
              </w:rPr>
              <w:t>SIZE(</w:t>
            </w:r>
            <w:proofErr w:type="gramEnd"/>
            <w:r w:rsidRPr="0077513F">
              <w:rPr>
                <w:rFonts w:ascii="Arial" w:hAnsi="Arial"/>
                <w:sz w:val="18"/>
                <w:lang w:eastAsia="ko-KR"/>
              </w:rPr>
              <w:t>64))</w:t>
            </w:r>
          </w:p>
        </w:tc>
        <w:tc>
          <w:tcPr>
            <w:tcW w:w="2880" w:type="dxa"/>
          </w:tcPr>
          <w:p w14:paraId="4D3FD482" w14:textId="77777777" w:rsidR="0077513F" w:rsidRPr="0077513F" w:rsidRDefault="0077513F" w:rsidP="003A7D8E">
            <w:pPr>
              <w:widowControl w:val="0"/>
              <w:overflowPunct w:val="0"/>
              <w:autoSpaceDE w:val="0"/>
              <w:autoSpaceDN w:val="0"/>
              <w:adjustRightInd w:val="0"/>
              <w:spacing w:after="0"/>
              <w:textAlignment w:val="baseline"/>
              <w:rPr>
                <w:rFonts w:ascii="Arial" w:eastAsia="SimSun" w:hAnsi="Arial"/>
                <w:bCs/>
                <w:sz w:val="18"/>
                <w:lang w:eastAsia="zh-CN"/>
              </w:rPr>
            </w:pPr>
            <w:r w:rsidRPr="0077513F">
              <w:rPr>
                <w:rFonts w:ascii="Arial" w:eastAsia="SimSun" w:hAnsi="Arial"/>
                <w:bCs/>
                <w:sz w:val="18"/>
                <w:lang w:eastAsia="zh-CN"/>
              </w:rPr>
              <w:t xml:space="preserve">Time in seconds relative to 00:00:00 on 1 January 1900 (calculated as continuous time without leap seconds and traceable to a common time reference) where binary encoding of the integer part is in the first 32 bits and binary encoding of the fraction part in the last 32 bits. </w:t>
            </w:r>
            <w:r w:rsidRPr="0077513F">
              <w:rPr>
                <w:rFonts w:ascii="Arial" w:eastAsia="SimSun" w:hAnsi="Arial"/>
                <w:bCs/>
                <w:color w:val="FF0000"/>
                <w:sz w:val="18"/>
                <w:lang w:eastAsia="zh-CN"/>
              </w:rPr>
              <w:t>The fraction part is expressed with a granularity of 1 /2**32 second</w:t>
            </w:r>
          </w:p>
        </w:tc>
      </w:tr>
    </w:tbl>
    <w:p w14:paraId="33056A42" w14:textId="77777777" w:rsidR="0077513F" w:rsidRPr="0077513F" w:rsidRDefault="0077513F" w:rsidP="0077513F">
      <w:pPr>
        <w:widowControl w:val="0"/>
        <w:overflowPunct w:val="0"/>
        <w:autoSpaceDE w:val="0"/>
        <w:autoSpaceDN w:val="0"/>
        <w:adjustRightInd w:val="0"/>
        <w:textAlignment w:val="baseline"/>
        <w:rPr>
          <w:b/>
          <w:lang w:eastAsia="ko-KR"/>
        </w:rPr>
      </w:pPr>
    </w:p>
    <w:p w14:paraId="3841683F" w14:textId="77777777" w:rsidR="005F0F9A" w:rsidRDefault="005F0F9A" w:rsidP="005F0F9A">
      <w:pPr>
        <w:pStyle w:val="Proposal"/>
        <w:numPr>
          <w:ilvl w:val="0"/>
          <w:numId w:val="0"/>
        </w:numPr>
      </w:pPr>
    </w:p>
    <w:p w14:paraId="24011A2D" w14:textId="267A7F15" w:rsidR="00DA7485" w:rsidRDefault="00DA7485" w:rsidP="00DA7485">
      <w:pPr>
        <w:pStyle w:val="Heading3"/>
      </w:pPr>
      <w:bookmarkStart w:id="2133" w:name="_Toc173851036"/>
      <w:bookmarkStart w:id="2134" w:name="_Toc173940788"/>
      <w:bookmarkStart w:id="2135" w:name="_Toc173851044"/>
      <w:bookmarkStart w:id="2136" w:name="_Toc173940796"/>
      <w:bookmarkStart w:id="2137" w:name="_Toc173851045"/>
      <w:bookmarkStart w:id="2138" w:name="_Toc173940797"/>
      <w:bookmarkStart w:id="2139" w:name="_Toc173851046"/>
      <w:bookmarkStart w:id="2140" w:name="_Toc173940798"/>
      <w:bookmarkStart w:id="2141" w:name="_Toc173851047"/>
      <w:bookmarkStart w:id="2142" w:name="_Toc173940799"/>
      <w:bookmarkStart w:id="2143" w:name="_Toc173851048"/>
      <w:bookmarkStart w:id="2144" w:name="_Toc173940800"/>
      <w:bookmarkStart w:id="2145" w:name="_Ref163213782"/>
      <w:bookmarkStart w:id="2146" w:name="_Toc165991010"/>
      <w:bookmarkStart w:id="2147" w:name="_Toc189845034"/>
      <w:bookmarkEnd w:id="2133"/>
      <w:bookmarkEnd w:id="2134"/>
      <w:bookmarkEnd w:id="2135"/>
      <w:bookmarkEnd w:id="2136"/>
      <w:bookmarkEnd w:id="2137"/>
      <w:bookmarkEnd w:id="2138"/>
      <w:bookmarkEnd w:id="2139"/>
      <w:bookmarkEnd w:id="2140"/>
      <w:bookmarkEnd w:id="2141"/>
      <w:bookmarkEnd w:id="2142"/>
      <w:bookmarkEnd w:id="2143"/>
      <w:bookmarkEnd w:id="2144"/>
      <w:proofErr w:type="spellStart"/>
      <w:r w:rsidRPr="0E238DB8">
        <w:rPr>
          <w:lang w:val="en-US"/>
        </w:rPr>
        <w:t>Signalling</w:t>
      </w:r>
      <w:proofErr w:type="spellEnd"/>
      <w:r w:rsidRPr="0E238DB8">
        <w:rPr>
          <w:lang w:val="en-US"/>
        </w:rPr>
        <w:t xml:space="preserve"> and quality reporting for Part A</w:t>
      </w:r>
      <w:bookmarkEnd w:id="2147"/>
    </w:p>
    <w:p w14:paraId="5955FD26" w14:textId="6B8A72E7" w:rsidR="00DA7485" w:rsidRDefault="00DA7485" w:rsidP="00DA7485">
      <w:r>
        <w:t xml:space="preserve">From the </w:t>
      </w:r>
      <w:r w:rsidR="00850E62">
        <w:t xml:space="preserve">RAN </w:t>
      </w:r>
      <w:r>
        <w:t xml:space="preserve">1 perspective, </w:t>
      </w:r>
      <w:r w:rsidR="00731AE6">
        <w:t>d</w:t>
      </w:r>
      <w:r>
        <w:t xml:space="preserve">ata collection for </w:t>
      </w:r>
      <w:r w:rsidR="00731AE6">
        <w:t>P</w:t>
      </w:r>
      <w:r>
        <w:t>art A is the same procedure as measurement reporting /requests for inference. Additionally, legacy measurement request may be re-used.</w:t>
      </w:r>
    </w:p>
    <w:p w14:paraId="52DD7B9C" w14:textId="4FAFD046" w:rsidR="00DA7485" w:rsidRDefault="00DA7485" w:rsidP="00DA7485">
      <w:r>
        <w:t xml:space="preserve">For </w:t>
      </w:r>
      <w:r w:rsidR="00731AE6">
        <w:t>C</w:t>
      </w:r>
      <w:r>
        <w:t xml:space="preserve">ase 1 and </w:t>
      </w:r>
      <w:r w:rsidR="00731AE6">
        <w:t>C</w:t>
      </w:r>
      <w:r>
        <w:t xml:space="preserve">ase 2a, data collection for </w:t>
      </w:r>
      <w:r w:rsidR="00731AE6">
        <w:t>P</w:t>
      </w:r>
      <w:r>
        <w:t xml:space="preserve">art A between a UE and another PRU UEs is already supported by specification. For data collection between non-PRU UEs, 3GPP should not specify a method for data collection. Rather, an OTT solution is assumed. </w:t>
      </w:r>
    </w:p>
    <w:p w14:paraId="15DC0397" w14:textId="6096D5AF" w:rsidR="00DA7485" w:rsidRPr="00D17048" w:rsidRDefault="00BE4C4A" w:rsidP="00DA7485">
      <w:pPr>
        <w:pStyle w:val="Observation"/>
      </w:pPr>
      <w:bookmarkStart w:id="2148" w:name="_Toc189845084"/>
      <w:r>
        <w:t>From the RAN1 perspective, c</w:t>
      </w:r>
      <w:r w:rsidR="00DA7485">
        <w:t xml:space="preserve">urrent specification support for </w:t>
      </w:r>
      <w:r>
        <w:t>P</w:t>
      </w:r>
      <w:r w:rsidR="00DA7485">
        <w:t xml:space="preserve">art A data collection in </w:t>
      </w:r>
      <w:r>
        <w:t>C</w:t>
      </w:r>
      <w:r w:rsidR="00DA7485">
        <w:t>ase 1 is sufficient.</w:t>
      </w:r>
      <w:bookmarkEnd w:id="2148"/>
    </w:p>
    <w:p w14:paraId="34826B42" w14:textId="5871F0FC" w:rsidR="00DA7485" w:rsidRDefault="00DA7485" w:rsidP="00DA7485">
      <w:r>
        <w:t xml:space="preserve">For </w:t>
      </w:r>
      <w:r w:rsidR="004858E6">
        <w:t>C</w:t>
      </w:r>
      <w:r>
        <w:t xml:space="preserve">ase 3b and 2b, data collection for </w:t>
      </w:r>
      <w:r w:rsidR="00B90593">
        <w:t>P</w:t>
      </w:r>
      <w:r>
        <w:t xml:space="preserve">art A should not be different from measurement request during inference. For </w:t>
      </w:r>
      <w:r w:rsidR="004858E6">
        <w:t>C</w:t>
      </w:r>
      <w:r>
        <w:t xml:space="preserve">ase 3a with model in the </w:t>
      </w:r>
      <w:proofErr w:type="spellStart"/>
      <w:r>
        <w:t>gNB</w:t>
      </w:r>
      <w:proofErr w:type="spellEnd"/>
      <w:r w:rsidR="008842FE">
        <w:t xml:space="preserve"> (CU if split architecture)</w:t>
      </w:r>
      <w:r>
        <w:t xml:space="preserve"> the situation is the same. </w:t>
      </w:r>
    </w:p>
    <w:p w14:paraId="0A598DAF" w14:textId="5AB5AA7A" w:rsidR="00DA7485" w:rsidRPr="00D17048" w:rsidRDefault="00BE4C4A" w:rsidP="00DA7485">
      <w:pPr>
        <w:pStyle w:val="Observation"/>
      </w:pPr>
      <w:bookmarkStart w:id="2149" w:name="_Toc189845085"/>
      <w:r>
        <w:t>From the RAN1 perspective, P</w:t>
      </w:r>
      <w:r w:rsidR="00DA7485">
        <w:t xml:space="preserve">art A data collection in </w:t>
      </w:r>
      <w:r>
        <w:t>C</w:t>
      </w:r>
      <w:r w:rsidR="00DA7485">
        <w:t>ase 2b and 3b is identical to measurement reporting for inference.</w:t>
      </w:r>
      <w:bookmarkEnd w:id="2149"/>
    </w:p>
    <w:p w14:paraId="289D29B9" w14:textId="6F52B263" w:rsidR="00DA7485" w:rsidRDefault="00DA7485" w:rsidP="00DA7485">
      <w:r>
        <w:t xml:space="preserve">For </w:t>
      </w:r>
      <w:r w:rsidR="004858E6">
        <w:t>C</w:t>
      </w:r>
      <w:r>
        <w:t xml:space="preserve">ase 3a with model in the TRP, the TRP can handle its own measurements. </w:t>
      </w:r>
      <w:proofErr w:type="gramStart"/>
      <w:r>
        <w:t>Thus</w:t>
      </w:r>
      <w:proofErr w:type="gramEnd"/>
      <w:r>
        <w:t xml:space="preserve"> measurement request for </w:t>
      </w:r>
      <w:r w:rsidR="00B90593">
        <w:t>P</w:t>
      </w:r>
      <w:r>
        <w:t xml:space="preserve">art A in </w:t>
      </w:r>
      <w:r w:rsidR="008842FE">
        <w:t>C</w:t>
      </w:r>
      <w:r>
        <w:t xml:space="preserve">ase 3a is not an issue. </w:t>
      </w:r>
    </w:p>
    <w:p w14:paraId="30566C0F" w14:textId="3CE9CF88" w:rsidR="00DA7485" w:rsidRPr="00D17048" w:rsidRDefault="00DA7485" w:rsidP="00DA7485">
      <w:pPr>
        <w:pStyle w:val="Observation"/>
      </w:pPr>
      <w:bookmarkStart w:id="2150" w:name="_Toc189845086"/>
      <w:r>
        <w:t xml:space="preserve">From the RAN1 perspective, </w:t>
      </w:r>
      <w:r w:rsidR="00B90593">
        <w:t>P</w:t>
      </w:r>
      <w:r>
        <w:t xml:space="preserve">art A data collection in </w:t>
      </w:r>
      <w:r w:rsidR="00DA6EB4">
        <w:t>C</w:t>
      </w:r>
      <w:r>
        <w:t>ase 3a is either up to the network implementation or identical to measurement reporting for inference.</w:t>
      </w:r>
      <w:bookmarkEnd w:id="2150"/>
      <w:r>
        <w:t xml:space="preserve">  </w:t>
      </w:r>
    </w:p>
    <w:p w14:paraId="7E7C4AB8" w14:textId="58438F94" w:rsidR="00DA7485" w:rsidRDefault="00DA7485" w:rsidP="00DA7485">
      <w:r>
        <w:t xml:space="preserve">Based on this analysis, RAN1 does not need further discussion on specific procedure for </w:t>
      </w:r>
      <w:r w:rsidR="00B90593">
        <w:t>P</w:t>
      </w:r>
      <w:r>
        <w:t xml:space="preserve">art A data collection.  </w:t>
      </w:r>
    </w:p>
    <w:p w14:paraId="014B7BCB" w14:textId="32E7FFC7" w:rsidR="00DA7485" w:rsidRDefault="00DA7485" w:rsidP="00DA7485">
      <w:pPr>
        <w:pStyle w:val="Proposal"/>
      </w:pPr>
      <w:bookmarkStart w:id="2151" w:name="_Toc189845139"/>
      <w:r>
        <w:t xml:space="preserve">RAN1 does not need to discuss further </w:t>
      </w:r>
      <w:proofErr w:type="spellStart"/>
      <w:r>
        <w:t>signalling</w:t>
      </w:r>
      <w:proofErr w:type="spellEnd"/>
      <w:r>
        <w:t xml:space="preserve"> to enable </w:t>
      </w:r>
      <w:r w:rsidR="00B90593">
        <w:t>P</w:t>
      </w:r>
      <w:r>
        <w:t xml:space="preserve">art A data collection.  Measurement reporting is jointly discussed for </w:t>
      </w:r>
      <w:r w:rsidR="00B90593">
        <w:t xml:space="preserve">training </w:t>
      </w:r>
      <w:r>
        <w:t>data collection and inference.</w:t>
      </w:r>
      <w:bookmarkEnd w:id="2151"/>
    </w:p>
    <w:p w14:paraId="4D4A381D" w14:textId="77777777" w:rsidR="00F7065A" w:rsidRDefault="00DA7485" w:rsidP="00DA7485">
      <w:r>
        <w:t>For quality indication of model input, i.e. Part A, the measurement quality can also</w:t>
      </w:r>
      <w:r w:rsidR="00F7065A">
        <w:t xml:space="preserve"> be</w:t>
      </w:r>
      <w:r>
        <w:t xml:space="preserve"> </w:t>
      </w:r>
      <w:r w:rsidR="00F7065A">
        <w:t>jointly discussed for training data collection and inference, since</w:t>
      </w:r>
      <w:r>
        <w:t xml:space="preserve"> the same measurement quality indicator type is </w:t>
      </w:r>
      <w:r w:rsidR="00F7065A">
        <w:t>expected to be</w:t>
      </w:r>
      <w:r>
        <w:t xml:space="preserve"> used for measurement reported during inference. </w:t>
      </w:r>
    </w:p>
    <w:p w14:paraId="47D8D377" w14:textId="0F5EE8FE" w:rsidR="00DA7485" w:rsidRDefault="00F7065A" w:rsidP="00DA7485">
      <w:r>
        <w:t xml:space="preserve">Regarding timing measurements in Part A, e.g., the sample timing in PDP and DP, </w:t>
      </w:r>
      <w:r w:rsidR="00AF54A2">
        <w:t xml:space="preserve">it was agreed in RAN1#118bis that </w:t>
      </w:r>
      <w:r>
        <w:t>t</w:t>
      </w:r>
      <w:r w:rsidR="00DA7485" w:rsidRPr="00B250EE">
        <w:t xml:space="preserve">he </w:t>
      </w:r>
      <w:r>
        <w:t xml:space="preserve">existing </w:t>
      </w:r>
      <w:r w:rsidR="00DA7485" w:rsidRPr="00B250EE">
        <w:t xml:space="preserve">IE </w:t>
      </w:r>
      <w:r w:rsidR="00AF54A2" w:rsidRPr="00AF54A2">
        <w:rPr>
          <w:lang w:val="en-GB"/>
        </w:rPr>
        <w:t>for timing quality</w:t>
      </w:r>
      <w:r w:rsidR="00AF54A2">
        <w:rPr>
          <w:lang w:val="en-GB"/>
        </w:rPr>
        <w:t xml:space="preserve"> is reused</w:t>
      </w:r>
      <w:r w:rsidR="00AF54A2" w:rsidRPr="00AF54A2">
        <w:rPr>
          <w:lang w:val="en-GB"/>
        </w:rPr>
        <w:t>, i.e., NR-</w:t>
      </w:r>
      <w:proofErr w:type="spellStart"/>
      <w:r w:rsidR="00AF54A2" w:rsidRPr="00AF54A2">
        <w:rPr>
          <w:lang w:val="en-GB"/>
        </w:rPr>
        <w:t>TimingQuality</w:t>
      </w:r>
      <w:proofErr w:type="spellEnd"/>
      <w:r w:rsidR="00AF54A2" w:rsidRPr="00AF54A2">
        <w:rPr>
          <w:lang w:val="en-GB"/>
        </w:rPr>
        <w:t xml:space="preserve"> in 37.355 and IE “Timing Measurement Quality” in 38.455</w:t>
      </w:r>
      <w:r w:rsidR="00DA7485" w:rsidRPr="00B250EE">
        <w:t>.</w:t>
      </w:r>
    </w:p>
    <w:p w14:paraId="19D37D2B" w14:textId="75EC27CD" w:rsidR="00F7065A" w:rsidRPr="00F7065A" w:rsidRDefault="00F7065A" w:rsidP="00F7065A">
      <w:r w:rsidRPr="00F7065A">
        <w:t>Re</w:t>
      </w:r>
      <w:r>
        <w:t xml:space="preserve">garding power measurements in Part A for PDP, quality indicator </w:t>
      </w:r>
      <w:proofErr w:type="gramStart"/>
      <w:r>
        <w:t>similar to</w:t>
      </w:r>
      <w:proofErr w:type="gramEnd"/>
      <w:r>
        <w:t xml:space="preserve"> </w:t>
      </w:r>
      <w:r w:rsidRPr="00F7065A">
        <w:rPr>
          <w:i/>
        </w:rPr>
        <w:t>NR-</w:t>
      </w:r>
      <w:proofErr w:type="spellStart"/>
      <w:r w:rsidRPr="00F7065A">
        <w:rPr>
          <w:i/>
          <w:iCs/>
        </w:rPr>
        <w:t>TimingQuality</w:t>
      </w:r>
      <w:proofErr w:type="spellEnd"/>
      <w:r>
        <w:t xml:space="preserve"> can be provided. An example is </w:t>
      </w:r>
      <w:r w:rsidR="00D939A7">
        <w:t>shown</w:t>
      </w:r>
      <w:r>
        <w:t xml:space="preserve"> below.</w:t>
      </w:r>
    </w:p>
    <w:p w14:paraId="2AAC9634" w14:textId="77777777" w:rsidR="00F7065A" w:rsidRPr="00F7065A" w:rsidRDefault="00F7065A" w:rsidP="00F7065A">
      <w:pPr>
        <w:pStyle w:val="PL"/>
      </w:pPr>
      <w:r w:rsidRPr="00F7065A">
        <w:rPr>
          <w:snapToGrid w:val="0"/>
        </w:rPr>
        <w:t xml:space="preserve">NR-PowerQuality-r19 </w:t>
      </w:r>
      <w:r w:rsidRPr="00F7065A">
        <w:t>::= SEQUENCE {</w:t>
      </w:r>
    </w:p>
    <w:p w14:paraId="3A0B2188" w14:textId="0C7A49EC" w:rsidR="00F7065A" w:rsidRPr="00F7065A" w:rsidRDefault="00F7065A" w:rsidP="00F7065A">
      <w:pPr>
        <w:pStyle w:val="PL"/>
      </w:pPr>
      <w:r w:rsidRPr="00F7065A">
        <w:tab/>
        <w:t>powerQualityValue-r19</w:t>
      </w:r>
      <w:r w:rsidRPr="00F7065A">
        <w:tab/>
      </w:r>
      <w:r w:rsidRPr="00F7065A">
        <w:tab/>
      </w:r>
      <w:r w:rsidR="00D939A7">
        <w:tab/>
      </w:r>
      <w:r w:rsidRPr="00F7065A">
        <w:rPr>
          <w:snapToGrid w:val="0"/>
        </w:rPr>
        <w:t>INTEGER (0..9),</w:t>
      </w:r>
    </w:p>
    <w:p w14:paraId="581233AC" w14:textId="77777777" w:rsidR="00F7065A" w:rsidRPr="00F7065A" w:rsidRDefault="00F7065A" w:rsidP="00F7065A">
      <w:pPr>
        <w:pStyle w:val="PL"/>
        <w:rPr>
          <w:snapToGrid w:val="0"/>
        </w:rPr>
      </w:pPr>
      <w:r w:rsidRPr="00F7065A">
        <w:rPr>
          <w:snapToGrid w:val="0"/>
        </w:rPr>
        <w:tab/>
        <w:t>powerQualityResolution-r19</w:t>
      </w:r>
      <w:r w:rsidRPr="00F7065A">
        <w:rPr>
          <w:snapToGrid w:val="0"/>
        </w:rPr>
        <w:tab/>
      </w:r>
      <w:r w:rsidRPr="00F7065A">
        <w:rPr>
          <w:snapToGrid w:val="0"/>
        </w:rPr>
        <w:tab/>
      </w:r>
      <w:r w:rsidRPr="00F7065A">
        <w:t>ENUMERATED {dBdot1, dB1,…}</w:t>
      </w:r>
      <w:r w:rsidRPr="00F7065A">
        <w:rPr>
          <w:snapToGrid w:val="0"/>
        </w:rPr>
        <w:t>,</w:t>
      </w:r>
    </w:p>
    <w:p w14:paraId="5AE2FE02" w14:textId="77777777" w:rsidR="00F7065A" w:rsidRPr="00F7065A" w:rsidRDefault="00F7065A" w:rsidP="00F7065A">
      <w:pPr>
        <w:pStyle w:val="PL"/>
        <w:rPr>
          <w:snapToGrid w:val="0"/>
        </w:rPr>
      </w:pPr>
      <w:r w:rsidRPr="00F7065A">
        <w:rPr>
          <w:snapToGrid w:val="0"/>
        </w:rPr>
        <w:tab/>
        <w:t>...</w:t>
      </w:r>
    </w:p>
    <w:p w14:paraId="51377076" w14:textId="77777777" w:rsidR="00F7065A" w:rsidRPr="00BF49CC" w:rsidRDefault="00F7065A" w:rsidP="00F7065A">
      <w:pPr>
        <w:pStyle w:val="PL"/>
      </w:pPr>
      <w:r w:rsidRPr="00F7065A">
        <w:t>}</w:t>
      </w:r>
    </w:p>
    <w:p w14:paraId="56E2419F" w14:textId="77777777" w:rsidR="00F7065A" w:rsidRDefault="00F7065A" w:rsidP="00F7065A"/>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F7065A" w:rsidRPr="00F1068D" w14:paraId="2C16ECFA" w14:textId="77777777" w:rsidTr="0091081A">
        <w:trPr>
          <w:cantSplit/>
          <w:tblHeader/>
        </w:trPr>
        <w:tc>
          <w:tcPr>
            <w:tcW w:w="9697" w:type="dxa"/>
          </w:tcPr>
          <w:p w14:paraId="40FC5A09" w14:textId="77777777" w:rsidR="00F7065A" w:rsidRPr="00F1068D" w:rsidRDefault="00F7065A" w:rsidP="00500110">
            <w:pPr>
              <w:widowControl w:val="0"/>
              <w:spacing w:after="0"/>
              <w:jc w:val="center"/>
              <w:rPr>
                <w:rFonts w:ascii="Arial" w:eastAsia="Times New Roman" w:hAnsi="Arial" w:cs="Times New Roman"/>
                <w:b/>
                <w:sz w:val="18"/>
                <w:szCs w:val="20"/>
              </w:rPr>
            </w:pPr>
            <w:r w:rsidRPr="00F1068D">
              <w:rPr>
                <w:rFonts w:ascii="Arial" w:eastAsia="Times New Roman" w:hAnsi="Arial" w:cs="Times New Roman"/>
                <w:b/>
                <w:i/>
                <w:sz w:val="18"/>
                <w:szCs w:val="20"/>
              </w:rPr>
              <w:t>NR-</w:t>
            </w:r>
            <w:proofErr w:type="spellStart"/>
            <w:r>
              <w:rPr>
                <w:rFonts w:ascii="Arial" w:eastAsia="Times New Roman" w:hAnsi="Arial" w:cs="Times New Roman"/>
                <w:b/>
                <w:i/>
                <w:sz w:val="18"/>
                <w:szCs w:val="20"/>
              </w:rPr>
              <w:t>Power</w:t>
            </w:r>
            <w:r w:rsidRPr="00F1068D">
              <w:rPr>
                <w:rFonts w:ascii="Arial" w:eastAsia="Times New Roman" w:hAnsi="Arial" w:cs="Times New Roman"/>
                <w:b/>
                <w:i/>
                <w:sz w:val="18"/>
                <w:szCs w:val="20"/>
              </w:rPr>
              <w:t>Quality</w:t>
            </w:r>
            <w:proofErr w:type="spellEnd"/>
            <w:r w:rsidRPr="00F1068D">
              <w:rPr>
                <w:rFonts w:ascii="Arial" w:eastAsia="Times New Roman" w:hAnsi="Arial" w:cs="Times New Roman"/>
                <w:b/>
                <w:i/>
                <w:sz w:val="18"/>
                <w:szCs w:val="20"/>
              </w:rPr>
              <w:t xml:space="preserve"> </w:t>
            </w:r>
            <w:r w:rsidRPr="00F1068D">
              <w:rPr>
                <w:rFonts w:ascii="Arial" w:eastAsia="Times New Roman" w:hAnsi="Arial" w:cs="Times New Roman"/>
                <w:b/>
                <w:sz w:val="18"/>
                <w:szCs w:val="20"/>
              </w:rPr>
              <w:t>field descriptions</w:t>
            </w:r>
          </w:p>
        </w:tc>
      </w:tr>
      <w:tr w:rsidR="00F7065A" w:rsidRPr="00F1068D" w14:paraId="15FE7A71" w14:textId="77777777" w:rsidTr="0091081A">
        <w:trPr>
          <w:cantSplit/>
        </w:trPr>
        <w:tc>
          <w:tcPr>
            <w:tcW w:w="9697" w:type="dxa"/>
          </w:tcPr>
          <w:p w14:paraId="068E0745" w14:textId="77777777" w:rsidR="00F7065A" w:rsidRPr="00154503" w:rsidRDefault="00F7065A" w:rsidP="00500110">
            <w:pPr>
              <w:keepNext/>
              <w:keepLines/>
              <w:spacing w:after="0"/>
              <w:rPr>
                <w:rFonts w:ascii="Arial" w:eastAsia="Times New Roman" w:hAnsi="Arial" w:cs="Times New Roman"/>
                <w:sz w:val="18"/>
                <w:szCs w:val="18"/>
              </w:rPr>
            </w:pPr>
            <w:proofErr w:type="spellStart"/>
            <w:r w:rsidRPr="00154503">
              <w:rPr>
                <w:rFonts w:ascii="Arial" w:eastAsia="Times New Roman" w:hAnsi="Arial" w:cs="Times New Roman"/>
                <w:b/>
                <w:i/>
                <w:sz w:val="18"/>
                <w:szCs w:val="18"/>
              </w:rPr>
              <w:t>powerQualityValue</w:t>
            </w:r>
            <w:proofErr w:type="spellEnd"/>
          </w:p>
          <w:p w14:paraId="11B98A62" w14:textId="01EE8363" w:rsidR="00F7065A" w:rsidRPr="00154503" w:rsidRDefault="00F7065A" w:rsidP="00500110">
            <w:pPr>
              <w:keepNext/>
              <w:keepLines/>
              <w:widowControl w:val="0"/>
              <w:spacing w:after="0"/>
              <w:rPr>
                <w:rFonts w:ascii="Arial" w:eastAsia="Times New Roman" w:hAnsi="Arial" w:cs="Times New Roman"/>
                <w:sz w:val="18"/>
                <w:szCs w:val="18"/>
              </w:rPr>
            </w:pPr>
            <w:r w:rsidRPr="00154503">
              <w:rPr>
                <w:rFonts w:ascii="Arial" w:eastAsia="Times New Roman" w:hAnsi="Arial" w:cs="Times New Roman"/>
                <w:sz w:val="18"/>
                <w:szCs w:val="18"/>
              </w:rPr>
              <w:t xml:space="preserve">This field provides an estimate of uncertainty </w:t>
            </w:r>
            <w:r w:rsidRPr="00DF2B5B">
              <w:rPr>
                <w:rFonts w:ascii="Arial" w:hAnsi="Arial" w:cs="Arial"/>
                <w:sz w:val="18"/>
                <w:szCs w:val="18"/>
                <w:lang w:eastAsia="zh-CN"/>
              </w:rPr>
              <w:t>±</w:t>
            </w:r>
            <w:r>
              <w:rPr>
                <w:rFonts w:ascii="Arial" w:hAnsi="Arial" w:cs="Arial"/>
                <w:sz w:val="18"/>
                <w:szCs w:val="18"/>
                <w:lang w:eastAsia="zh-CN"/>
              </w:rPr>
              <w:t>X dB</w:t>
            </w:r>
            <w:r w:rsidRPr="00154503">
              <w:rPr>
                <w:rFonts w:ascii="Arial" w:eastAsia="Times New Roman" w:hAnsi="Arial" w:cs="Times New Roman"/>
                <w:sz w:val="18"/>
                <w:szCs w:val="18"/>
              </w:rPr>
              <w:t xml:space="preserve"> of the power value for which the IE </w:t>
            </w:r>
            <w:r w:rsidRPr="00154503">
              <w:rPr>
                <w:rFonts w:ascii="Arial" w:eastAsia="Times New Roman" w:hAnsi="Arial" w:cs="Times New Roman"/>
                <w:i/>
                <w:sz w:val="18"/>
                <w:szCs w:val="18"/>
              </w:rPr>
              <w:t>NR-</w:t>
            </w:r>
            <w:proofErr w:type="spellStart"/>
            <w:r w:rsidRPr="00154503">
              <w:rPr>
                <w:rFonts w:ascii="Arial" w:eastAsia="Times New Roman" w:hAnsi="Arial" w:cs="Times New Roman"/>
                <w:i/>
                <w:sz w:val="18"/>
                <w:szCs w:val="18"/>
              </w:rPr>
              <w:t>PowerQuality</w:t>
            </w:r>
            <w:proofErr w:type="spellEnd"/>
            <w:r w:rsidRPr="00154503">
              <w:rPr>
                <w:rFonts w:ascii="Arial" w:eastAsia="Times New Roman" w:hAnsi="Arial" w:cs="Times New Roman"/>
                <w:i/>
                <w:sz w:val="18"/>
                <w:szCs w:val="18"/>
              </w:rPr>
              <w:t xml:space="preserve"> </w:t>
            </w:r>
            <w:r w:rsidRPr="00154503">
              <w:rPr>
                <w:rFonts w:ascii="Arial" w:eastAsia="Times New Roman" w:hAnsi="Arial" w:cs="Times New Roman"/>
                <w:sz w:val="18"/>
                <w:szCs w:val="18"/>
              </w:rPr>
              <w:t xml:space="preserve">is </w:t>
            </w:r>
            <w:r w:rsidRPr="003163C2">
              <w:rPr>
                <w:rFonts w:ascii="Arial" w:eastAsia="Times New Roman" w:hAnsi="Arial" w:cs="Times New Roman"/>
                <w:sz w:val="18"/>
                <w:szCs w:val="18"/>
              </w:rPr>
              <w:t xml:space="preserve">provided in units of </w:t>
            </w:r>
            <w:proofErr w:type="spellStart"/>
            <w:r w:rsidRPr="003163C2">
              <w:rPr>
                <w:rFonts w:ascii="Arial" w:eastAsia="Times New Roman" w:hAnsi="Arial" w:cs="Times New Roman"/>
                <w:sz w:val="18"/>
                <w:szCs w:val="18"/>
              </w:rPr>
              <w:t>dB.</w:t>
            </w:r>
            <w:proofErr w:type="spellEnd"/>
            <w:r w:rsidRPr="00154503">
              <w:rPr>
                <w:rFonts w:ascii="Arial" w:eastAsia="Times New Roman" w:hAnsi="Arial" w:cs="Times New Roman"/>
                <w:sz w:val="18"/>
                <w:szCs w:val="18"/>
              </w:rPr>
              <w:t xml:space="preserve"> Represents the deviation (uncertainty) in power as compared to what is reported </w:t>
            </w:r>
            <w:r>
              <w:rPr>
                <w:rFonts w:ascii="Arial" w:eastAsia="Times New Roman" w:hAnsi="Arial" w:cs="Times New Roman"/>
                <w:sz w:val="18"/>
                <w:szCs w:val="18"/>
              </w:rPr>
              <w:t>for power level</w:t>
            </w:r>
            <w:r w:rsidRPr="00154503">
              <w:rPr>
                <w:rFonts w:ascii="Arial" w:eastAsia="Times New Roman" w:hAnsi="Arial" w:cs="Times New Roman"/>
                <w:sz w:val="18"/>
                <w:szCs w:val="18"/>
              </w:rPr>
              <w:t xml:space="preserve">. </w:t>
            </w:r>
            <w:r w:rsidRPr="00154503">
              <w:rPr>
                <w:rFonts w:ascii="Arial" w:eastAsia="Times New Roman" w:hAnsi="Arial" w:cs="Arial"/>
                <w:sz w:val="18"/>
                <w:szCs w:val="18"/>
              </w:rPr>
              <w:t>Scale factor</w:t>
            </w:r>
            <w:r w:rsidRPr="00154503">
              <w:rPr>
                <w:rFonts w:ascii="Arial" w:eastAsia="Times New Roman" w:hAnsi="Arial" w:cs="Times New Roman"/>
                <w:sz w:val="18"/>
                <w:szCs w:val="18"/>
              </w:rPr>
              <w:t xml:space="preserve"> is provided in </w:t>
            </w:r>
            <w:proofErr w:type="spellStart"/>
            <w:r w:rsidRPr="003163C2">
              <w:rPr>
                <w:rFonts w:ascii="Arial" w:eastAsia="Times New Roman" w:hAnsi="Arial" w:cs="Times New Roman"/>
                <w:i/>
                <w:sz w:val="18"/>
                <w:szCs w:val="18"/>
              </w:rPr>
              <w:t>powerQualityResolution</w:t>
            </w:r>
            <w:proofErr w:type="spellEnd"/>
            <w:r w:rsidRPr="00154503">
              <w:rPr>
                <w:rFonts w:ascii="Arial" w:eastAsia="Times New Roman" w:hAnsi="Arial" w:cs="Times New Roman"/>
                <w:sz w:val="18"/>
                <w:szCs w:val="18"/>
              </w:rPr>
              <w:t>.</w:t>
            </w:r>
          </w:p>
        </w:tc>
      </w:tr>
      <w:tr w:rsidR="00F7065A" w:rsidRPr="00F1068D" w14:paraId="6744F832" w14:textId="77777777" w:rsidTr="0091081A">
        <w:trPr>
          <w:cantSplit/>
        </w:trPr>
        <w:tc>
          <w:tcPr>
            <w:tcW w:w="9697" w:type="dxa"/>
          </w:tcPr>
          <w:p w14:paraId="5EABF44D" w14:textId="77777777" w:rsidR="00F7065A" w:rsidRPr="00F1068D" w:rsidRDefault="00F7065A" w:rsidP="00500110">
            <w:pPr>
              <w:keepNext/>
              <w:keepLines/>
              <w:spacing w:after="0"/>
              <w:rPr>
                <w:rFonts w:ascii="Arial" w:eastAsia="Times New Roman" w:hAnsi="Arial" w:cs="Times New Roman"/>
                <w:sz w:val="18"/>
              </w:rPr>
            </w:pPr>
            <w:proofErr w:type="spellStart"/>
            <w:r w:rsidRPr="00065613">
              <w:rPr>
                <w:rFonts w:ascii="Arial" w:eastAsia="Times New Roman" w:hAnsi="Arial" w:cs="Times New Roman"/>
                <w:b/>
                <w:i/>
                <w:sz w:val="18"/>
              </w:rPr>
              <w:t>power</w:t>
            </w:r>
            <w:r w:rsidRPr="00F1068D">
              <w:rPr>
                <w:rFonts w:ascii="Arial" w:eastAsia="Times New Roman" w:hAnsi="Arial" w:cs="Times New Roman"/>
                <w:b/>
                <w:i/>
                <w:sz w:val="18"/>
              </w:rPr>
              <w:t>QualityResolution</w:t>
            </w:r>
            <w:proofErr w:type="spellEnd"/>
          </w:p>
          <w:p w14:paraId="05C8111B" w14:textId="77777777" w:rsidR="00F7065A" w:rsidRPr="00F1068D" w:rsidRDefault="00F7065A" w:rsidP="00500110">
            <w:pPr>
              <w:keepNext/>
              <w:keepLines/>
              <w:widowControl w:val="0"/>
              <w:spacing w:after="0"/>
              <w:rPr>
                <w:rFonts w:ascii="Arial" w:eastAsia="Times New Roman" w:hAnsi="Arial" w:cs="Times New Roman"/>
                <w:sz w:val="18"/>
                <w:szCs w:val="20"/>
              </w:rPr>
            </w:pPr>
            <w:r w:rsidRPr="00F1068D">
              <w:rPr>
                <w:rFonts w:ascii="Arial" w:eastAsia="Times New Roman" w:hAnsi="Arial" w:cs="Times New Roman"/>
                <w:sz w:val="18"/>
              </w:rPr>
              <w:t xml:space="preserve">This field provides the resolution used in the </w:t>
            </w:r>
            <w:proofErr w:type="spellStart"/>
            <w:r w:rsidRPr="00065613">
              <w:rPr>
                <w:rFonts w:ascii="Arial" w:eastAsia="Times New Roman" w:hAnsi="Arial" w:cs="Times New Roman"/>
                <w:i/>
                <w:sz w:val="18"/>
                <w:szCs w:val="20"/>
              </w:rPr>
              <w:t>power</w:t>
            </w:r>
            <w:r w:rsidRPr="00F1068D">
              <w:rPr>
                <w:rFonts w:ascii="Arial" w:eastAsia="Times New Roman" w:hAnsi="Arial" w:cs="Times New Roman"/>
                <w:i/>
                <w:sz w:val="18"/>
                <w:szCs w:val="20"/>
              </w:rPr>
              <w:t>QualityValue</w:t>
            </w:r>
            <w:proofErr w:type="spellEnd"/>
            <w:r w:rsidRPr="00F1068D">
              <w:rPr>
                <w:rFonts w:ascii="Arial" w:eastAsia="Times New Roman" w:hAnsi="Arial" w:cs="Times New Roman"/>
                <w:sz w:val="18"/>
              </w:rPr>
              <w:t xml:space="preserve"> field. Enumerated values </w:t>
            </w:r>
            <w:r>
              <w:rPr>
                <w:rFonts w:ascii="Arial" w:eastAsia="Times New Roman" w:hAnsi="Arial" w:cs="Times New Roman"/>
                <w:i/>
                <w:sz w:val="18"/>
                <w:szCs w:val="20"/>
              </w:rPr>
              <w:t>dB</w:t>
            </w:r>
            <w:r w:rsidRPr="00F1068D">
              <w:rPr>
                <w:rFonts w:ascii="Arial" w:eastAsia="Times New Roman" w:hAnsi="Arial" w:cs="Times New Roman"/>
                <w:i/>
                <w:sz w:val="18"/>
                <w:szCs w:val="20"/>
              </w:rPr>
              <w:t>dot1</w:t>
            </w:r>
            <w:r w:rsidRPr="00F1068D">
              <w:rPr>
                <w:rFonts w:ascii="Arial" w:eastAsia="Times New Roman" w:hAnsi="Arial" w:cs="Times New Roman"/>
                <w:sz w:val="18"/>
                <w:szCs w:val="20"/>
              </w:rPr>
              <w:t xml:space="preserve">, </w:t>
            </w:r>
            <w:r>
              <w:rPr>
                <w:rFonts w:ascii="Arial" w:eastAsia="Times New Roman" w:hAnsi="Arial" w:cs="Times New Roman"/>
                <w:i/>
                <w:sz w:val="18"/>
                <w:szCs w:val="20"/>
              </w:rPr>
              <w:t>dB</w:t>
            </w:r>
            <w:r w:rsidRPr="00F1068D">
              <w:rPr>
                <w:rFonts w:ascii="Arial" w:eastAsia="Times New Roman" w:hAnsi="Arial" w:cs="Times New Roman"/>
                <w:i/>
                <w:sz w:val="18"/>
                <w:szCs w:val="20"/>
              </w:rPr>
              <w:t>1</w:t>
            </w:r>
            <w:r w:rsidRPr="00F1068D">
              <w:rPr>
                <w:rFonts w:ascii="Arial" w:eastAsia="Times New Roman" w:hAnsi="Arial" w:cs="Times New Roman"/>
                <w:sz w:val="18"/>
                <w:szCs w:val="20"/>
              </w:rPr>
              <w:t xml:space="preserve"> correspond to 0.1, 1</w:t>
            </w:r>
            <w:r>
              <w:rPr>
                <w:rFonts w:ascii="Arial" w:eastAsia="Times New Roman" w:hAnsi="Arial" w:cs="Times New Roman"/>
                <w:sz w:val="18"/>
                <w:szCs w:val="20"/>
              </w:rPr>
              <w:t xml:space="preserve"> dB</w:t>
            </w:r>
            <w:r w:rsidRPr="00F1068D">
              <w:rPr>
                <w:rFonts w:ascii="Arial" w:eastAsia="Times New Roman" w:hAnsi="Arial" w:cs="Times New Roman"/>
                <w:sz w:val="18"/>
                <w:szCs w:val="20"/>
              </w:rPr>
              <w:t>, respectively.</w:t>
            </w:r>
          </w:p>
        </w:tc>
      </w:tr>
    </w:tbl>
    <w:p w14:paraId="15207920" w14:textId="77777777" w:rsidR="00F7065A" w:rsidRPr="00955953" w:rsidRDefault="00F7065A" w:rsidP="00DA7485">
      <w:pPr>
        <w:rPr>
          <w:lang w:val="sv-SE"/>
        </w:rPr>
      </w:pPr>
    </w:p>
    <w:p w14:paraId="5137FE32" w14:textId="77777777" w:rsidR="0026621E" w:rsidRPr="00955953" w:rsidRDefault="0026621E" w:rsidP="0026621E">
      <w:pPr>
        <w:rPr>
          <w:lang w:val="sv-SE"/>
        </w:rPr>
      </w:pPr>
      <w:r>
        <w:rPr>
          <w:lang w:val="sv-SE"/>
        </w:rPr>
        <w:t>The power quality indicator is provided for the entire PDP measurement, i.e., not for individual sample/path of the PDP. This is because all the sample/path are for the same channel measurement, and are detected by the same receiver.</w:t>
      </w:r>
    </w:p>
    <w:p w14:paraId="538EC615" w14:textId="77777777" w:rsidR="0026621E" w:rsidRPr="00955953" w:rsidRDefault="0026621E" w:rsidP="00DA7485">
      <w:pPr>
        <w:rPr>
          <w:lang w:val="sv-SE"/>
        </w:rPr>
      </w:pPr>
    </w:p>
    <w:p w14:paraId="6588C458" w14:textId="3E738BD4" w:rsidR="0015010E" w:rsidRDefault="0015010E" w:rsidP="00850E62">
      <w:pPr>
        <w:pStyle w:val="Proposal"/>
      </w:pPr>
      <w:bookmarkStart w:id="2152" w:name="_Toc189845140"/>
      <w:r>
        <w:t xml:space="preserve">For training data collection in all cases, </w:t>
      </w:r>
      <w:r w:rsidR="0026621E">
        <w:t>a power</w:t>
      </w:r>
      <w:r>
        <w:t xml:space="preserve"> </w:t>
      </w:r>
      <w:r w:rsidR="00F43ECB">
        <w:t xml:space="preserve">quality is provided for </w:t>
      </w:r>
      <w:r w:rsidR="007B1018">
        <w:t>the entire</w:t>
      </w:r>
      <w:r w:rsidR="0026621E">
        <w:t xml:space="preserve"> </w:t>
      </w:r>
      <w:r w:rsidR="00F43ECB">
        <w:t>PDP</w:t>
      </w:r>
      <w:r w:rsidR="0026621E">
        <w:t xml:space="preserve"> measurement</w:t>
      </w:r>
      <w:r w:rsidR="00F43ECB">
        <w:t xml:space="preserve"> in </w:t>
      </w:r>
      <w:r>
        <w:t>Part A</w:t>
      </w:r>
      <w:r w:rsidR="00F43ECB">
        <w:t xml:space="preserve"> in units of </w:t>
      </w:r>
      <w:proofErr w:type="spellStart"/>
      <w:r w:rsidR="00F43ECB">
        <w:t>dB.</w:t>
      </w:r>
      <w:proofErr w:type="spellEnd"/>
      <w:r w:rsidR="00F43ECB">
        <w:t xml:space="preserve"> The </w:t>
      </w:r>
      <w:r w:rsidR="004470D6">
        <w:t xml:space="preserve">candidate </w:t>
      </w:r>
      <w:r w:rsidR="00F43ECB">
        <w:t>resolution include</w:t>
      </w:r>
      <w:r w:rsidR="009F6C8A">
        <w:t>s</w:t>
      </w:r>
      <w:r w:rsidR="00F43ECB">
        <w:t xml:space="preserve"> 0.1 dB and 1 </w:t>
      </w:r>
      <w:proofErr w:type="spellStart"/>
      <w:r w:rsidR="00F43ECB">
        <w:t>dB.</w:t>
      </w:r>
      <w:bookmarkEnd w:id="2152"/>
      <w:proofErr w:type="spellEnd"/>
    </w:p>
    <w:p w14:paraId="3889A6EF" w14:textId="77777777" w:rsidR="00F7065A" w:rsidRDefault="00F7065A" w:rsidP="009F6C8A">
      <w:pPr>
        <w:pStyle w:val="Proposal"/>
        <w:numPr>
          <w:ilvl w:val="0"/>
          <w:numId w:val="0"/>
        </w:numPr>
      </w:pPr>
    </w:p>
    <w:p w14:paraId="3F02698C" w14:textId="77777777" w:rsidR="00B90593" w:rsidRDefault="00B90593" w:rsidP="00B90593">
      <w:pPr>
        <w:rPr>
          <w:b/>
          <w:bCs/>
          <w:u w:val="single"/>
        </w:rPr>
      </w:pPr>
      <w:bookmarkStart w:id="2153" w:name="_Toc52547837"/>
      <w:bookmarkStart w:id="2154" w:name="_Toc171549857"/>
      <w:bookmarkStart w:id="2155" w:name="_Toc52547307"/>
      <w:bookmarkStart w:id="2156" w:name="_Toc46486432"/>
      <w:bookmarkStart w:id="2157" w:name="_Toc52546777"/>
      <w:bookmarkStart w:id="2158" w:name="_Toc52548367"/>
      <w:r>
        <w:rPr>
          <w:b/>
          <w:bCs/>
          <w:u w:val="single"/>
        </w:rPr>
        <w:t>For reference, existing signaling in 37.355 (LPP):</w:t>
      </w:r>
    </w:p>
    <w:p w14:paraId="75541782" w14:textId="38661362" w:rsidR="00B90593" w:rsidRDefault="00B90593" w:rsidP="00B90593">
      <w:r>
        <w:t>–</w:t>
      </w:r>
      <w:r>
        <w:tab/>
        <w:t>NR-</w:t>
      </w:r>
      <w:proofErr w:type="spellStart"/>
      <w:r>
        <w:t>TimingQuality</w:t>
      </w:r>
      <w:bookmarkEnd w:id="2153"/>
      <w:bookmarkEnd w:id="2154"/>
      <w:bookmarkEnd w:id="2155"/>
      <w:bookmarkEnd w:id="2156"/>
      <w:bookmarkEnd w:id="2157"/>
      <w:bookmarkEnd w:id="2158"/>
      <w:proofErr w:type="spellEnd"/>
    </w:p>
    <w:p w14:paraId="3616D89A" w14:textId="77777777" w:rsidR="00B90593" w:rsidRDefault="00B90593" w:rsidP="00B90593">
      <w:pPr>
        <w:keepLines/>
      </w:pPr>
      <w:r>
        <w:t xml:space="preserve">The IE </w:t>
      </w:r>
      <w:r>
        <w:rPr>
          <w:i/>
        </w:rPr>
        <w:t>NR-</w:t>
      </w:r>
      <w:proofErr w:type="spellStart"/>
      <w:r>
        <w:rPr>
          <w:i/>
        </w:rPr>
        <w:t>TimingQuality</w:t>
      </w:r>
      <w:proofErr w:type="spellEnd"/>
      <w:r>
        <w:rPr>
          <w:i/>
        </w:rPr>
        <w:t xml:space="preserve"> </w:t>
      </w:r>
      <w:r>
        <w:t>defines the quality of a timing value (e.g., of a TOA measurement).</w:t>
      </w:r>
    </w:p>
    <w:p w14:paraId="258067E2" w14:textId="77777777" w:rsidR="00B90593" w:rsidRDefault="00B90593" w:rsidP="00B90593">
      <w:pPr>
        <w:pStyle w:val="PL"/>
      </w:pPr>
      <w:r>
        <w:t>-- ASN1START</w:t>
      </w:r>
    </w:p>
    <w:p w14:paraId="4A1E1E12" w14:textId="77777777" w:rsidR="00B90593" w:rsidRDefault="00B90593" w:rsidP="00B90593">
      <w:pPr>
        <w:pStyle w:val="PL"/>
      </w:pPr>
    </w:p>
    <w:p w14:paraId="007471A2" w14:textId="77777777" w:rsidR="00B90593" w:rsidRDefault="00B90593" w:rsidP="00B90593">
      <w:pPr>
        <w:pStyle w:val="PL"/>
      </w:pPr>
      <w:bookmarkStart w:id="2159" w:name="_Hlk176420089"/>
      <w:r>
        <w:t>NR-TimingQuality-r16</w:t>
      </w:r>
      <w:bookmarkEnd w:id="2159"/>
      <w:r>
        <w:t xml:space="preserve"> ::= SEQUENCE {</w:t>
      </w:r>
    </w:p>
    <w:p w14:paraId="0E380635" w14:textId="77777777" w:rsidR="00B90593" w:rsidRDefault="00B90593" w:rsidP="00B90593">
      <w:pPr>
        <w:pStyle w:val="PL"/>
      </w:pPr>
      <w:r>
        <w:tab/>
        <w:t>timingQualityValue-r16</w:t>
      </w:r>
      <w:r>
        <w:tab/>
      </w:r>
      <w:r>
        <w:tab/>
      </w:r>
      <w:r>
        <w:tab/>
        <w:t>INTEGER (0..31),</w:t>
      </w:r>
    </w:p>
    <w:p w14:paraId="1652D522" w14:textId="77777777" w:rsidR="00B90593" w:rsidRDefault="00B90593" w:rsidP="00B90593">
      <w:pPr>
        <w:pStyle w:val="PL"/>
      </w:pPr>
      <w:r>
        <w:tab/>
        <w:t>timingQualityResolution-r16</w:t>
      </w:r>
      <w:r>
        <w:tab/>
      </w:r>
      <w:r>
        <w:tab/>
        <w:t>ENUMERATED {mdot1, m1, m10, m30, …},</w:t>
      </w:r>
    </w:p>
    <w:p w14:paraId="02C728F9" w14:textId="77777777" w:rsidR="00B90593" w:rsidRDefault="00B90593" w:rsidP="00B90593">
      <w:pPr>
        <w:pStyle w:val="PL"/>
      </w:pPr>
      <w:r>
        <w:tab/>
        <w:t>…</w:t>
      </w:r>
    </w:p>
    <w:p w14:paraId="2D7B8959" w14:textId="77777777" w:rsidR="00B90593" w:rsidRDefault="00B90593" w:rsidP="00B90593">
      <w:pPr>
        <w:pStyle w:val="PL"/>
      </w:pPr>
      <w:r>
        <w:t>}</w:t>
      </w:r>
    </w:p>
    <w:p w14:paraId="7750F5F5" w14:textId="77777777" w:rsidR="00B90593" w:rsidRDefault="00B90593" w:rsidP="00B90593">
      <w:pPr>
        <w:pStyle w:val="PL"/>
      </w:pPr>
    </w:p>
    <w:p w14:paraId="77F8B04C" w14:textId="77777777" w:rsidR="00B90593" w:rsidRDefault="00B90593" w:rsidP="00B90593">
      <w:pPr>
        <w:pStyle w:val="PL"/>
      </w:pPr>
      <w:r>
        <w:t>-- ASN1STOP</w:t>
      </w:r>
    </w:p>
    <w:p w14:paraId="1A90589C" w14:textId="77777777" w:rsidR="00B90593" w:rsidRDefault="00B90593" w:rsidP="00B90593">
      <w:pPr>
        <w:rPr>
          <w:iCs/>
        </w:rPr>
      </w:pPr>
    </w:p>
    <w:tbl>
      <w:tblPr>
        <w:tblW w:w="9639" w:type="dxa"/>
        <w:tblInd w:w="108" w:type="dxa"/>
        <w:tblLayout w:type="fixed"/>
        <w:tblLook w:val="04A0" w:firstRow="1" w:lastRow="0" w:firstColumn="1" w:lastColumn="0" w:noHBand="0" w:noVBand="1"/>
      </w:tblPr>
      <w:tblGrid>
        <w:gridCol w:w="9639"/>
      </w:tblGrid>
      <w:tr w:rsidR="00B90593" w14:paraId="68D4440F" w14:textId="77777777" w:rsidTr="43D299E5">
        <w:trPr>
          <w:cantSplit/>
          <w:tblHeader/>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A41C09" w14:textId="77777777" w:rsidR="00B90593" w:rsidRDefault="00B90593">
            <w:pPr>
              <w:pStyle w:val="TAH"/>
              <w:keepNext w:val="0"/>
              <w:keepLines w:val="0"/>
              <w:widowControl w:val="0"/>
              <w:spacing w:after="0"/>
            </w:pPr>
            <w:r w:rsidRPr="43D299E5">
              <w:rPr>
                <w:i/>
                <w:lang w:val="en-US"/>
              </w:rPr>
              <w:t>NR-</w:t>
            </w:r>
            <w:proofErr w:type="spellStart"/>
            <w:r w:rsidRPr="43D299E5">
              <w:rPr>
                <w:i/>
                <w:lang w:val="en-US"/>
              </w:rPr>
              <w:t>TimingQuality</w:t>
            </w:r>
            <w:proofErr w:type="spellEnd"/>
            <w:r w:rsidRPr="43D299E5">
              <w:rPr>
                <w:i/>
                <w:lang w:val="en-US"/>
              </w:rPr>
              <w:t xml:space="preserve"> </w:t>
            </w:r>
            <w:r w:rsidRPr="43D299E5">
              <w:rPr>
                <w:lang w:val="en-US"/>
              </w:rPr>
              <w:t>field descriptions</w:t>
            </w:r>
          </w:p>
        </w:tc>
      </w:tr>
      <w:tr w:rsidR="00B90593" w14:paraId="5A17DDF2" w14:textId="77777777" w:rsidTr="43D299E5">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43D588" w14:textId="77777777" w:rsidR="00B90593" w:rsidRDefault="00B90593">
            <w:pPr>
              <w:pStyle w:val="TAL"/>
              <w:widowControl w:val="0"/>
              <w:spacing w:after="0"/>
              <w:rPr>
                <w:lang w:val="en-US"/>
              </w:rPr>
            </w:pPr>
            <w:proofErr w:type="spellStart"/>
            <w:r>
              <w:rPr>
                <w:b/>
                <w:i/>
                <w:lang w:val="en-US"/>
              </w:rPr>
              <w:t>timingQualityValue</w:t>
            </w:r>
            <w:proofErr w:type="spellEnd"/>
          </w:p>
          <w:p w14:paraId="6F639354" w14:textId="77777777" w:rsidR="00B90593" w:rsidRDefault="00B90593">
            <w:pPr>
              <w:pStyle w:val="TAL"/>
              <w:widowControl w:val="0"/>
              <w:spacing w:after="0"/>
              <w:rPr>
                <w:lang w:val="en-US"/>
              </w:rPr>
            </w:pPr>
            <w:r>
              <w:rPr>
                <w:lang w:val="en-US"/>
              </w:rPr>
              <w:t xml:space="preserve">This field provides an estimate of </w:t>
            </w:r>
            <w:r>
              <w:rPr>
                <w:color w:val="FF0000"/>
                <w:lang w:val="en-US"/>
              </w:rPr>
              <w:t xml:space="preserve">uncertainty </w:t>
            </w:r>
            <w:r>
              <w:rPr>
                <w:lang w:val="en-US"/>
              </w:rPr>
              <w:t xml:space="preserve">of the timing value for which the IE </w:t>
            </w:r>
            <w:r>
              <w:rPr>
                <w:i/>
                <w:lang w:val="en-US"/>
              </w:rPr>
              <w:t>NR-</w:t>
            </w:r>
            <w:proofErr w:type="spellStart"/>
            <w:r>
              <w:rPr>
                <w:i/>
                <w:lang w:val="en-US"/>
              </w:rPr>
              <w:t>TimingQuality</w:t>
            </w:r>
            <w:proofErr w:type="spellEnd"/>
            <w:r>
              <w:rPr>
                <w:i/>
                <w:lang w:val="en-US"/>
              </w:rPr>
              <w:t xml:space="preserve"> </w:t>
            </w:r>
            <w:r>
              <w:rPr>
                <w:iCs/>
                <w:lang w:val="en-US"/>
              </w:rPr>
              <w:t xml:space="preserve">is provided in </w:t>
            </w:r>
            <w:r>
              <w:rPr>
                <w:iCs/>
                <w:color w:val="FF0000"/>
                <w:lang w:val="en-US"/>
              </w:rPr>
              <w:t xml:space="preserve">units of </w:t>
            </w:r>
            <w:proofErr w:type="spellStart"/>
            <w:r>
              <w:rPr>
                <w:iCs/>
                <w:color w:val="FF0000"/>
                <w:lang w:val="en-US"/>
              </w:rPr>
              <w:t>metres</w:t>
            </w:r>
            <w:proofErr w:type="spellEnd"/>
            <w:r>
              <w:rPr>
                <w:color w:val="FF0000"/>
                <w:lang w:val="en-US"/>
              </w:rPr>
              <w:t>.</w:t>
            </w:r>
          </w:p>
        </w:tc>
      </w:tr>
      <w:tr w:rsidR="00B90593" w14:paraId="0D66841D" w14:textId="77777777" w:rsidTr="43D299E5">
        <w:trPr>
          <w:cantSplit/>
        </w:trPr>
        <w:tc>
          <w:tcPr>
            <w:tcW w:w="963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0AA846C" w14:textId="77777777" w:rsidR="00B90593" w:rsidRDefault="00B90593">
            <w:pPr>
              <w:pStyle w:val="TAL"/>
              <w:widowControl w:val="0"/>
              <w:spacing w:after="0"/>
              <w:rPr>
                <w:lang w:val="en-US"/>
              </w:rPr>
            </w:pPr>
            <w:proofErr w:type="spellStart"/>
            <w:r>
              <w:rPr>
                <w:b/>
                <w:i/>
                <w:lang w:val="en-US"/>
              </w:rPr>
              <w:t>timingQualityResolution</w:t>
            </w:r>
            <w:proofErr w:type="spellEnd"/>
          </w:p>
          <w:p w14:paraId="08A71893" w14:textId="77777777" w:rsidR="00B90593" w:rsidRDefault="00B90593">
            <w:pPr>
              <w:pStyle w:val="TAL"/>
              <w:widowControl w:val="0"/>
              <w:spacing w:after="0"/>
              <w:rPr>
                <w:lang w:val="en-US"/>
              </w:rPr>
            </w:pPr>
            <w:r>
              <w:rPr>
                <w:lang w:val="en-US"/>
              </w:rPr>
              <w:t xml:space="preserve">This field provides the resolution used in the </w:t>
            </w:r>
            <w:proofErr w:type="spellStart"/>
            <w:r>
              <w:rPr>
                <w:i/>
                <w:iCs/>
                <w:lang w:val="en-US"/>
              </w:rPr>
              <w:t>timingQualityValue</w:t>
            </w:r>
            <w:proofErr w:type="spellEnd"/>
            <w:r>
              <w:rPr>
                <w:lang w:val="en-US"/>
              </w:rPr>
              <w:t xml:space="preserve"> field. Enumerated values </w:t>
            </w:r>
            <w:r>
              <w:rPr>
                <w:i/>
                <w:iCs/>
                <w:lang w:val="en-US"/>
              </w:rPr>
              <w:t>mdot1</w:t>
            </w:r>
            <w:r>
              <w:rPr>
                <w:lang w:val="en-US"/>
              </w:rPr>
              <w:t xml:space="preserve">, </w:t>
            </w:r>
            <w:r>
              <w:rPr>
                <w:i/>
                <w:iCs/>
                <w:lang w:val="en-US"/>
              </w:rPr>
              <w:t>m1</w:t>
            </w:r>
            <w:r>
              <w:rPr>
                <w:lang w:val="en-US"/>
              </w:rPr>
              <w:t xml:space="preserve">, </w:t>
            </w:r>
            <w:r>
              <w:rPr>
                <w:i/>
                <w:iCs/>
                <w:lang w:val="en-US"/>
              </w:rPr>
              <w:t>m10</w:t>
            </w:r>
            <w:r>
              <w:rPr>
                <w:lang w:val="en-US"/>
              </w:rPr>
              <w:t xml:space="preserve">, </w:t>
            </w:r>
            <w:r>
              <w:rPr>
                <w:i/>
                <w:iCs/>
                <w:lang w:val="en-US"/>
              </w:rPr>
              <w:t>m30</w:t>
            </w:r>
            <w:r>
              <w:rPr>
                <w:lang w:val="en-US"/>
              </w:rPr>
              <w:t xml:space="preserve"> correspond to </w:t>
            </w:r>
            <w:r w:rsidRPr="00DA6EB4">
              <w:rPr>
                <w:color w:val="FF0000"/>
                <w:lang w:val="en-US"/>
              </w:rPr>
              <w:t>0.1</w:t>
            </w:r>
            <w:r>
              <w:rPr>
                <w:lang w:val="en-US"/>
              </w:rPr>
              <w:t xml:space="preserve">, 1, 10, 30 </w:t>
            </w:r>
            <w:proofErr w:type="spellStart"/>
            <w:r>
              <w:rPr>
                <w:lang w:val="en-US"/>
              </w:rPr>
              <w:t>metres</w:t>
            </w:r>
            <w:proofErr w:type="spellEnd"/>
            <w:r>
              <w:rPr>
                <w:lang w:val="en-US"/>
              </w:rPr>
              <w:t>, respectively.</w:t>
            </w:r>
          </w:p>
        </w:tc>
      </w:tr>
    </w:tbl>
    <w:p w14:paraId="42B27BC3" w14:textId="77777777" w:rsidR="00B90593" w:rsidRPr="00850E62" w:rsidRDefault="00B90593">
      <w:pPr>
        <w:pStyle w:val="Proposal"/>
        <w:numPr>
          <w:ilvl w:val="0"/>
          <w:numId w:val="0"/>
        </w:numPr>
      </w:pPr>
    </w:p>
    <w:p w14:paraId="2C16851F" w14:textId="77777777" w:rsidR="00DA7485" w:rsidRDefault="00DA7485" w:rsidP="00DA7485">
      <w:pPr>
        <w:pStyle w:val="Heading3"/>
      </w:pPr>
      <w:bookmarkStart w:id="2160" w:name="_Toc189845035"/>
      <w:proofErr w:type="spellStart"/>
      <w:r w:rsidRPr="0E238DB8">
        <w:rPr>
          <w:lang w:val="en-US"/>
        </w:rPr>
        <w:lastRenderedPageBreak/>
        <w:t>Signalling</w:t>
      </w:r>
      <w:proofErr w:type="spellEnd"/>
      <w:r w:rsidRPr="0E238DB8">
        <w:rPr>
          <w:lang w:val="en-US"/>
        </w:rPr>
        <w:t xml:space="preserve"> and quality reporting for Part B</w:t>
      </w:r>
      <w:bookmarkEnd w:id="2160"/>
    </w:p>
    <w:p w14:paraId="76FDC768" w14:textId="54971005" w:rsidR="00DA7485" w:rsidRPr="008B2BAD" w:rsidRDefault="002755B3" w:rsidP="00DA7485">
      <w:r>
        <w:t>For training data collection of Part B, t</w:t>
      </w:r>
      <w:r w:rsidR="00DA7485">
        <w:t>he label</w:t>
      </w:r>
      <w:r w:rsidR="00DB1B6D">
        <w:t xml:space="preserve"> generation entitie</w:t>
      </w:r>
      <w:r w:rsidR="00DA7485">
        <w:t xml:space="preserve">s for each case </w:t>
      </w:r>
      <w:proofErr w:type="gramStart"/>
      <w:r w:rsidR="00DA7485">
        <w:t>is</w:t>
      </w:r>
      <w:proofErr w:type="gramEnd"/>
      <w:r w:rsidR="00DA7485">
        <w:t xml:space="preserve"> already agreed by RAN1.  </w:t>
      </w:r>
      <w:r>
        <w:t>T</w:t>
      </w:r>
      <w:r w:rsidR="00DA7485">
        <w:t>he working assumption</w:t>
      </w:r>
      <w:r>
        <w:t>s</w:t>
      </w:r>
      <w:r w:rsidR="00DA7485">
        <w:t xml:space="preserve"> could be confirmed </w:t>
      </w:r>
      <w:proofErr w:type="gramStart"/>
      <w:r w:rsidR="00DA7485">
        <w:t>in order to</w:t>
      </w:r>
      <w:proofErr w:type="gramEnd"/>
      <w:r w:rsidR="00DA7485">
        <w:t xml:space="preserve"> close the discussion. </w:t>
      </w:r>
    </w:p>
    <w:p w14:paraId="733E27F8" w14:textId="09E3C355" w:rsidR="00DA7485" w:rsidRPr="00AE0323" w:rsidRDefault="00DA7485" w:rsidP="00DA7485">
      <w:pPr>
        <w:pStyle w:val="Proposal"/>
      </w:pPr>
      <w:bookmarkStart w:id="2161" w:name="_Toc189845141"/>
      <w:r w:rsidRPr="00AE0323">
        <w:t>Confirm the existing WAs on label generation for all cases and send the agreements to RAN2.</w:t>
      </w:r>
      <w:bookmarkEnd w:id="2161"/>
    </w:p>
    <w:p w14:paraId="3131B088" w14:textId="38D61659" w:rsidR="00535693" w:rsidRDefault="00535693" w:rsidP="00535693">
      <w:pPr>
        <w:tabs>
          <w:tab w:val="left" w:pos="2123"/>
        </w:tabs>
      </w:pPr>
    </w:p>
    <w:p w14:paraId="0FD27EC2" w14:textId="7745288C" w:rsidR="0047717E" w:rsidRDefault="51BB65DC" w:rsidP="00535693">
      <w:pPr>
        <w:tabs>
          <w:tab w:val="left" w:pos="2123"/>
        </w:tabs>
      </w:pPr>
      <w:r>
        <w:t xml:space="preserve">Regarding ground truth label in Part B, in our view, the training dataset is agnostic of the model architecture and model training methodology. </w:t>
      </w:r>
      <w:r w:rsidR="6706DCA1">
        <w:t>To reduce the burden of collecting, storing, and updating training datasets, a same training dataset should be usable to train a variety of AI/ML models for positioning.</w:t>
      </w:r>
    </w:p>
    <w:p w14:paraId="771E92C4" w14:textId="7CF40E66" w:rsidR="0047717E" w:rsidRDefault="51BB65DC" w:rsidP="005925D5">
      <w:pPr>
        <w:pStyle w:val="ListParagraph"/>
        <w:numPr>
          <w:ilvl w:val="0"/>
          <w:numId w:val="92"/>
        </w:numPr>
        <w:tabs>
          <w:tab w:val="left" w:pos="2123"/>
        </w:tabs>
      </w:pPr>
      <w:r>
        <w:t xml:space="preserve">For DL measurement, it should be possible to use the same collected training dataset to train a model for Case 1, and/or 2a, and/or 2b. </w:t>
      </w:r>
    </w:p>
    <w:p w14:paraId="29B6B718" w14:textId="72621BF3" w:rsidR="0047717E" w:rsidRDefault="51BB65DC" w:rsidP="005925D5">
      <w:pPr>
        <w:pStyle w:val="ListParagraph"/>
        <w:numPr>
          <w:ilvl w:val="0"/>
          <w:numId w:val="92"/>
        </w:numPr>
        <w:tabs>
          <w:tab w:val="left" w:pos="2123"/>
        </w:tabs>
      </w:pPr>
      <w:r>
        <w:t xml:space="preserve">For UL measurement, it should be possible to use the same collected training dataset to train a model for Case 3a and/or 3b. </w:t>
      </w:r>
    </w:p>
    <w:p w14:paraId="0211AC08" w14:textId="53B1AEBA" w:rsidR="00535693" w:rsidRDefault="6706DCA1" w:rsidP="005925D5">
      <w:pPr>
        <w:pStyle w:val="ListParagraph"/>
        <w:numPr>
          <w:ilvl w:val="0"/>
          <w:numId w:val="92"/>
        </w:numPr>
        <w:tabs>
          <w:tab w:val="left" w:pos="2123"/>
        </w:tabs>
      </w:pPr>
      <w:r>
        <w:t>F</w:t>
      </w:r>
      <w:r w:rsidR="51BB65DC">
        <w:t xml:space="preserve">or AI/ML assisted positioning, it should be possible to </w:t>
      </w:r>
      <w:r>
        <w:t xml:space="preserve">use </w:t>
      </w:r>
      <w:r w:rsidR="51BB65DC">
        <w:t>the same collected training dataset to train a model</w:t>
      </w:r>
      <w:r>
        <w:t xml:space="preserve"> that produces {timing measurement} as output, or produces {timing measurement, LOS/NLOS indicator} as output.</w:t>
      </w:r>
    </w:p>
    <w:p w14:paraId="506C8BBC" w14:textId="59A279F1" w:rsidR="00535693" w:rsidRDefault="6706DCA1" w:rsidP="00535693">
      <w:pPr>
        <w:tabs>
          <w:tab w:val="left" w:pos="2123"/>
        </w:tabs>
      </w:pPr>
      <w:r>
        <w:t>The details of whether/how to train a range of models using a given training dataset is up to each vendors’ design choice.</w:t>
      </w:r>
    </w:p>
    <w:p w14:paraId="10BC9D90" w14:textId="0464A81D" w:rsidR="00753112" w:rsidRDefault="6FE56628" w:rsidP="00535693">
      <w:r>
        <w:t>Considering the above, for all the positioning cases, the ground truth label should be collected in the format of UE/PRU location coordinates (x, y, z).</w:t>
      </w:r>
      <w:r w:rsidR="76D1046A">
        <w:t xml:space="preserve"> This has the benefit of convenient data collection (as compared to ground truth for RTOA or LOS/NLOS indicator, for example)</w:t>
      </w:r>
      <w:r w:rsidR="6FB265E3">
        <w:t>. This also makes the training dataset</w:t>
      </w:r>
      <w:r w:rsidR="76D1046A">
        <w:t xml:space="preserve"> </w:t>
      </w:r>
      <w:r w:rsidR="6FB265E3">
        <w:t xml:space="preserve">versatile and </w:t>
      </w:r>
      <w:r w:rsidR="76D1046A">
        <w:t>general</w:t>
      </w:r>
      <w:r w:rsidR="6FB265E3">
        <w:t>ly</w:t>
      </w:r>
      <w:r w:rsidR="76D1046A">
        <w:t xml:space="preserve"> applicab</w:t>
      </w:r>
      <w:r w:rsidR="6FB265E3">
        <w:t>le</w:t>
      </w:r>
      <w:r w:rsidR="76D1046A">
        <w:t xml:space="preserve"> to all positioning cases. </w:t>
      </w:r>
      <w:r>
        <w:t xml:space="preserve"> </w:t>
      </w:r>
    </w:p>
    <w:p w14:paraId="75C0E267" w14:textId="10BA0F9B" w:rsidR="00DC6FDE" w:rsidRDefault="76D1046A" w:rsidP="00535693">
      <w:r>
        <w:t>Then, depending on the design choice of the model, the collected label can be further processed either before model training or during model training.</w:t>
      </w:r>
      <w:r w:rsidR="2AD6984B">
        <w:t xml:space="preserve"> The details are up to implementation.</w:t>
      </w:r>
      <w:r w:rsidR="6FE56628">
        <w:t xml:space="preserve"> </w:t>
      </w:r>
      <w:r>
        <w:t>For example, if it is desired to train a Case 3</w:t>
      </w:r>
      <w:r w:rsidR="6FB265E3">
        <w:t>a</w:t>
      </w:r>
      <w:r>
        <w:t xml:space="preserve"> </w:t>
      </w:r>
      <w:r w:rsidR="6FB265E3">
        <w:t xml:space="preserve">(or 2a) </w:t>
      </w:r>
      <w:r>
        <w:t xml:space="preserve">model with RTOA as model output, then the RTOA ground truth can be calculated from the collected UE/PRU location coordinates (x, y, z), based on the knowledge of TRP locations. Similarly, if it is desired to train a Case 3a </w:t>
      </w:r>
      <w:r w:rsidR="6FB265E3">
        <w:t>(or 2a)</w:t>
      </w:r>
      <w:r>
        <w:t xml:space="preserve"> model with </w:t>
      </w:r>
      <w:r w:rsidR="6FB265E3">
        <w:t>LOS/NLOS indicator</w:t>
      </w:r>
      <w:r>
        <w:t xml:space="preserve"> as model output, then the </w:t>
      </w:r>
      <w:r w:rsidR="2AD6984B">
        <w:t>model training procedure can be designed to use coordinates (x, y, z) as proxy labels</w:t>
      </w:r>
      <w:r>
        <w:t>.</w:t>
      </w:r>
    </w:p>
    <w:p w14:paraId="3DF70C41" w14:textId="5EBC6662" w:rsidR="00713619" w:rsidRDefault="00D16E99" w:rsidP="00713619">
      <w:r>
        <w:t xml:space="preserve">In the most straight-forward manner, for </w:t>
      </w:r>
      <w:r w:rsidR="00BF07CD">
        <w:t>assisted AI/ML positioning (</w:t>
      </w:r>
      <w:r>
        <w:t>Case 2a/3a</w:t>
      </w:r>
      <w:r w:rsidR="00BF07CD">
        <w:t>)</w:t>
      </w:r>
      <w:r>
        <w:t>, t</w:t>
      </w:r>
      <w:r w:rsidR="00713619">
        <w:t>raining data collection direct</w:t>
      </w:r>
      <w:r>
        <w:t>ly collects</w:t>
      </w:r>
      <w:r w:rsidR="00713619">
        <w:t xml:space="preserve"> ground-truth labels on radio measurements, which can be difficult, costly, and even impossible to obtain. It is possible to circumvent those issues by using "ground truth" position data as indirect labels, rather than directly labelling radio measurements. </w:t>
      </w:r>
    </w:p>
    <w:p w14:paraId="499DF2A1" w14:textId="77777777" w:rsidR="00713619" w:rsidRDefault="00713619" w:rsidP="00713619">
      <w:r>
        <w:lastRenderedPageBreak/>
        <w:t xml:space="preserve">If the estimated UE position </w:t>
      </w:r>
      <m:oMath>
        <m:acc>
          <m:accPr>
            <m:ctrlPr>
              <w:rPr>
                <w:rFonts w:ascii="Cambria Math" w:hAnsi="Cambria Math"/>
                <w:i/>
              </w:rPr>
            </m:ctrlPr>
          </m:accPr>
          <m:e>
            <m:r>
              <m:rPr>
                <m:sty m:val="b"/>
              </m:rPr>
              <w:rPr>
                <w:rFonts w:ascii="Cambria Math" w:hAnsi="Cambria Math"/>
              </w:rPr>
              <m:t>p</m:t>
            </m:r>
          </m:e>
        </m:acc>
      </m:oMath>
      <w:r>
        <w:t xml:space="preserve"> is obtained by minimizing a loss function </w:t>
      </w:r>
      <m:oMath>
        <m:sSub>
          <m:sSubPr>
            <m:ctrlPr>
              <w:rPr>
                <w:rFonts w:ascii="Cambria Math" w:hAnsi="Cambria Math"/>
                <w:i/>
              </w:rPr>
            </m:ctrlPr>
          </m:sSubPr>
          <m:e>
            <m:r>
              <w:rPr>
                <w:rFonts w:ascii="Cambria Math" w:hAnsi="Cambria Math"/>
              </w:rPr>
              <m:t>f</m:t>
            </m:r>
          </m:e>
          <m:sub>
            <m:r>
              <m:rPr>
                <m:sty m:val="b"/>
              </m:rPr>
              <w:rPr>
                <w:rFonts w:ascii="Cambria Math" w:hAnsi="Cambria Math"/>
              </w:rPr>
              <m:t>θ</m:t>
            </m:r>
          </m:sub>
        </m:sSub>
        <m:d>
          <m:dPr>
            <m:ctrlPr>
              <w:rPr>
                <w:rFonts w:ascii="Cambria Math" w:hAnsi="Cambria Math"/>
                <w:i/>
              </w:rPr>
            </m:ctrlPr>
          </m:dPr>
          <m:e>
            <m:r>
              <m:rPr>
                <m:sty m:val="b"/>
              </m:rPr>
              <w:rPr>
                <w:rFonts w:ascii="Cambria Math" w:hAnsi="Cambria Math"/>
              </w:rPr>
              <m:t>p</m:t>
            </m:r>
          </m:e>
        </m:d>
      </m:oMath>
      <w:r>
        <w:t xml:space="preserve"> with respect to </w:t>
      </w:r>
      <m:oMath>
        <m:r>
          <m:rPr>
            <m:sty m:val="b"/>
          </m:rPr>
          <w:rPr>
            <w:rFonts w:ascii="Cambria Math" w:hAnsi="Cambria Math"/>
          </w:rPr>
          <m:t>p</m:t>
        </m:r>
      </m:oMath>
      <w:r>
        <w:t xml:space="preserve">, assuming a vector of neural network outputs </w:t>
      </w:r>
      <m:oMath>
        <m:r>
          <m:rPr>
            <m:sty m:val="b"/>
          </m:rPr>
          <w:rPr>
            <w:rFonts w:ascii="Cambria Math" w:hAnsi="Cambria Math"/>
          </w:rPr>
          <m:t>θ=</m:t>
        </m:r>
        <m:d>
          <m:dPr>
            <m:begChr m:val="["/>
            <m:endChr m:val="]"/>
            <m:ctrlPr>
              <w:rPr>
                <w:rFonts w:ascii="Cambria Math" w:hAnsi="Cambria Math"/>
                <w:b/>
                <w:bCs/>
                <w:iCs/>
              </w:rPr>
            </m:ctrlPr>
          </m:dPr>
          <m:e>
            <m:m>
              <m:mPr>
                <m:mcs>
                  <m:mc>
                    <m:mcPr>
                      <m:count m:val="3"/>
                      <m:mcJc m:val="center"/>
                    </m:mcPr>
                  </m:mc>
                </m:mcs>
                <m:ctrlPr>
                  <w:rPr>
                    <w:rFonts w:ascii="Cambria Math" w:hAnsi="Cambria Math"/>
                    <w:b/>
                    <w:bCs/>
                    <w:i/>
                    <w:iCs/>
                  </w:rPr>
                </m:ctrlPr>
              </m:mPr>
              <m:mr>
                <m:e>
                  <m:sSub>
                    <m:sSubPr>
                      <m:ctrlPr>
                        <w:rPr>
                          <w:rFonts w:ascii="Cambria Math" w:hAnsi="Cambria Math"/>
                          <w:b/>
                          <w:bCs/>
                          <w:i/>
                          <w:iCs/>
                        </w:rPr>
                      </m:ctrlPr>
                    </m:sSubPr>
                    <m:e>
                      <m:r>
                        <w:rPr>
                          <w:rFonts w:ascii="Cambria Math" w:hAnsi="Cambria Math"/>
                        </w:rPr>
                        <m:t>θ</m:t>
                      </m:r>
                    </m:e>
                    <m:sub>
                      <m:r>
                        <m:rPr>
                          <m:sty m:val="bi"/>
                        </m:rPr>
                        <w:rPr>
                          <w:rFonts w:ascii="Cambria Math" w:hAnsi="Cambria Math"/>
                        </w:rPr>
                        <m:t>1</m:t>
                      </m:r>
                    </m:sub>
                  </m:sSub>
                </m:e>
                <m:e>
                  <m:r>
                    <m:rPr>
                      <m:sty m:val="bi"/>
                    </m:rPr>
                    <w:rPr>
                      <w:rFonts w:ascii="Cambria Math" w:hAnsi="Cambria Math"/>
                    </w:rPr>
                    <m:t>⋯</m:t>
                  </m:r>
                </m:e>
                <m:e>
                  <m:sSub>
                    <m:sSubPr>
                      <m:ctrlPr>
                        <w:rPr>
                          <w:rFonts w:ascii="Cambria Math" w:hAnsi="Cambria Math"/>
                          <w:b/>
                          <w:bCs/>
                          <w:i/>
                          <w:iCs/>
                        </w:rPr>
                      </m:ctrlPr>
                    </m:sSubPr>
                    <m:e>
                      <m:r>
                        <w:rPr>
                          <w:rFonts w:ascii="Cambria Math" w:hAnsi="Cambria Math"/>
                        </w:rPr>
                        <m:t>θ</m:t>
                      </m:r>
                    </m:e>
                    <m:sub>
                      <m:r>
                        <m:rPr>
                          <m:sty m:val="bi"/>
                        </m:rPr>
                        <w:rPr>
                          <w:rFonts w:ascii="Cambria Math" w:hAnsi="Cambria Math"/>
                        </w:rPr>
                        <m:t>m</m:t>
                      </m:r>
                    </m:sub>
                  </m:sSub>
                </m:e>
              </m:mr>
            </m:m>
          </m:e>
        </m:d>
        <m:r>
          <w:rPr>
            <w:rFonts w:ascii="Cambria Math" w:hAnsi="Cambria Math"/>
          </w:rPr>
          <m:t>∈</m:t>
        </m:r>
        <m:sSup>
          <m:sSupPr>
            <m:ctrlPr>
              <w:rPr>
                <w:rFonts w:ascii="Cambria Math" w:hAnsi="Cambria Math"/>
                <w:i/>
              </w:rPr>
            </m:ctrlPr>
          </m:sSupPr>
          <m:e>
            <m:r>
              <m:rPr>
                <m:scr m:val="double-struck"/>
              </m:rPr>
              <w:rPr>
                <w:rFonts w:ascii="Cambria Math" w:hAnsi="Cambria Math"/>
              </w:rPr>
              <m:t>R</m:t>
            </m:r>
          </m:e>
          <m:sup>
            <m:r>
              <w:rPr>
                <w:rFonts w:ascii="Cambria Math" w:hAnsi="Cambria Math"/>
              </w:rPr>
              <m:t>m</m:t>
            </m:r>
          </m:sup>
        </m:sSup>
      </m:oMath>
      <w:r>
        <w:t xml:space="preserve"> containing e.g., TOAs, soft LOS indicators, etc., then the derivative of </w:t>
      </w:r>
      <m:oMath>
        <m:acc>
          <m:accPr>
            <m:ctrlPr>
              <w:rPr>
                <w:rFonts w:ascii="Cambria Math" w:hAnsi="Cambria Math"/>
                <w:i/>
              </w:rPr>
            </m:ctrlPr>
          </m:accPr>
          <m:e>
            <m:r>
              <m:rPr>
                <m:sty m:val="b"/>
              </m:rPr>
              <w:rPr>
                <w:rFonts w:ascii="Cambria Math" w:hAnsi="Cambria Math"/>
              </w:rPr>
              <m:t>p</m:t>
            </m:r>
          </m:e>
        </m:acc>
      </m:oMath>
      <w:r>
        <w:t xml:space="preserve"> with respect to </w:t>
      </w:r>
      <m:oMath>
        <m:sSub>
          <m:sSubPr>
            <m:ctrlPr>
              <w:rPr>
                <w:rFonts w:ascii="Cambria Math" w:hAnsi="Cambria Math"/>
                <w:i/>
              </w:rPr>
            </m:ctrlPr>
          </m:sSubPr>
          <m:e>
            <m:r>
              <w:rPr>
                <w:rFonts w:ascii="Cambria Math" w:hAnsi="Cambria Math"/>
              </w:rPr>
              <m:t>θ</m:t>
            </m:r>
          </m:e>
          <m:sub>
            <m:r>
              <w:rPr>
                <w:rFonts w:ascii="Cambria Math" w:hAnsi="Cambria Math"/>
              </w:rPr>
              <m:t>j</m:t>
            </m:r>
          </m:sub>
        </m:sSub>
      </m:oMath>
      <w:r>
        <w:t xml:space="preserve"> is:</w:t>
      </w:r>
    </w:p>
    <w:p w14:paraId="4B71DC3C" w14:textId="77777777" w:rsidR="00713619" w:rsidRDefault="00B27F97" w:rsidP="00713619">
      <m:oMathPara>
        <m:oMath>
          <m:f>
            <m:fPr>
              <m:ctrlPr>
                <w:rPr>
                  <w:rFonts w:ascii="Cambria Math" w:hAnsi="Cambria Math"/>
                  <w:i/>
                  <w:iCs/>
                </w:rPr>
              </m:ctrlPr>
            </m:fPr>
            <m:num>
              <m:r>
                <w:rPr>
                  <w:rFonts w:ascii="Cambria Math" w:hAnsi="Cambria Math"/>
                </w:rPr>
                <m:t>∂</m:t>
              </m:r>
              <m:acc>
                <m:accPr>
                  <m:ctrlPr>
                    <w:rPr>
                      <w:rFonts w:ascii="Cambria Math" w:hAnsi="Cambria Math"/>
                      <w:i/>
                      <w:iCs/>
                    </w:rPr>
                  </m:ctrlPr>
                </m:accPr>
                <m:e>
                  <m:r>
                    <m:rPr>
                      <m:sty m:val="b"/>
                    </m:rPr>
                    <w:rPr>
                      <w:rFonts w:ascii="Cambria Math" w:hAnsi="Cambria Math"/>
                    </w:rPr>
                    <m:t>p</m:t>
                  </m:r>
                </m:e>
              </m:acc>
            </m:num>
            <m:den>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k</m:t>
                  </m:r>
                </m:sub>
              </m:sSub>
            </m:den>
          </m:f>
          <m:r>
            <m:rPr>
              <m:sty m:val="p"/>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m:sty m:val="p"/>
                    </m:rPr>
                    <w:rPr>
                      <w:rFonts w:ascii="Cambria Math" w:hAnsi="Cambria Math"/>
                    </w:rPr>
                    <m:t>H</m:t>
                  </m:r>
                </m:e>
                <m:sub>
                  <m:r>
                    <m:rPr>
                      <m:sty m:val="b"/>
                    </m:rPr>
                    <w:rPr>
                      <w:rFonts w:ascii="Cambria Math" w:hAnsi="Cambria Math"/>
                    </w:rPr>
                    <m:t>p</m:t>
                  </m:r>
                </m:sub>
              </m:sSub>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e>
            <m:sup>
              <m:r>
                <w:rPr>
                  <w:rFonts w:ascii="Cambria Math" w:hAnsi="Cambria Math"/>
                </w:rPr>
                <m:t>-1</m:t>
              </m:r>
            </m:sup>
          </m:sSup>
          <m:sSub>
            <m:sSubPr>
              <m:ctrlPr>
                <w:rPr>
                  <w:rFonts w:ascii="Cambria Math" w:hAnsi="Cambria Math"/>
                  <w:i/>
                  <w:iCs/>
                </w:rPr>
              </m:ctrlPr>
            </m:sSubPr>
            <m:e>
              <m:r>
                <m:rPr>
                  <m:sty m:val="p"/>
                </m:rPr>
                <w:rPr>
                  <w:rFonts w:ascii="Cambria Math" w:hAnsi="Cambria Math"/>
                </w:rPr>
                <m:t>∇</m:t>
              </m:r>
            </m:e>
            <m:sub>
              <m:r>
                <m:rPr>
                  <m:sty m:val="b"/>
                </m:rPr>
                <w:rPr>
                  <w:rFonts w:ascii="Cambria Math" w:hAnsi="Cambria Math"/>
                </w:rPr>
                <m:t>p</m:t>
              </m:r>
            </m:sub>
          </m:sSub>
          <m:d>
            <m:dPr>
              <m:begChr m:val="["/>
              <m:endChr m:val="]"/>
              <m:ctrlPr>
                <w:rPr>
                  <w:rFonts w:ascii="Cambria Math" w:hAnsi="Cambria Math"/>
                  <w:b/>
                  <w:bCs/>
                  <w:i/>
                  <w:iCs/>
                </w:rPr>
              </m:ctrlPr>
            </m:dPr>
            <m:e>
              <m:f>
                <m:fPr>
                  <m:ctrlPr>
                    <w:rPr>
                      <w:rFonts w:ascii="Cambria Math" w:hAnsi="Cambria Math"/>
                      <w:b/>
                      <w:bCs/>
                      <w:i/>
                      <w:iCs/>
                    </w:rPr>
                  </m:ctrlPr>
                </m:fPr>
                <m:num>
                  <m:r>
                    <w:rPr>
                      <w:rFonts w:ascii="Cambria Math" w:hAnsi="Cambria Math"/>
                    </w:rPr>
                    <m:t>∂</m:t>
                  </m:r>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num>
                <m:den>
                  <m:r>
                    <w:rPr>
                      <w:rFonts w:ascii="Cambria Math" w:hAnsi="Cambria Math"/>
                    </w:rPr>
                    <m:t>∂</m:t>
                  </m:r>
                  <m:sSub>
                    <m:sSubPr>
                      <m:ctrlPr>
                        <w:rPr>
                          <w:rFonts w:ascii="Cambria Math" w:hAnsi="Cambria Math"/>
                          <w:i/>
                          <w:iCs/>
                        </w:rPr>
                      </m:ctrlPr>
                    </m:sSubPr>
                    <m:e>
                      <m:r>
                        <w:rPr>
                          <w:rFonts w:ascii="Cambria Math" w:hAnsi="Cambria Math"/>
                        </w:rPr>
                        <m:t>θ</m:t>
                      </m:r>
                    </m:e>
                    <m:sub>
                      <m:r>
                        <w:rPr>
                          <w:rFonts w:ascii="Cambria Math" w:hAnsi="Cambria Math"/>
                        </w:rPr>
                        <m:t>k</m:t>
                      </m:r>
                    </m:sub>
                  </m:sSub>
                </m:den>
              </m:f>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oMath>
      </m:oMathPara>
    </w:p>
    <w:p w14:paraId="6A1ACA27" w14:textId="77777777" w:rsidR="00713619" w:rsidRDefault="00713619" w:rsidP="00713619">
      <w:r>
        <w:t xml:space="preserve">where </w:t>
      </w:r>
      <m:oMath>
        <m:sSub>
          <m:sSubPr>
            <m:ctrlPr>
              <w:rPr>
                <w:rFonts w:ascii="Cambria Math" w:hAnsi="Cambria Math"/>
                <w:i/>
                <w:iCs/>
              </w:rPr>
            </m:ctrlPr>
          </m:sSubPr>
          <m:e>
            <m:r>
              <m:rPr>
                <m:sty m:val="p"/>
              </m:rPr>
              <w:rPr>
                <w:rFonts w:ascii="Cambria Math" w:hAnsi="Cambria Math"/>
              </w:rPr>
              <m:t>H</m:t>
            </m:r>
          </m:e>
          <m:sub>
            <m:r>
              <m:rPr>
                <m:sty m:val="b"/>
              </m:rPr>
              <w:rPr>
                <w:rFonts w:ascii="Cambria Math" w:hAnsi="Cambria Math"/>
              </w:rPr>
              <m:t>p</m:t>
            </m:r>
          </m:sub>
        </m:sSub>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f</m:t>
                </m:r>
              </m:e>
              <m:sub>
                <m:r>
                  <m:rPr>
                    <m:sty m:val="b"/>
                  </m:rPr>
                  <w:rPr>
                    <w:rFonts w:ascii="Cambria Math" w:hAnsi="Cambria Math"/>
                  </w:rPr>
                  <m:t>θ</m:t>
                </m:r>
              </m:sub>
            </m:sSub>
          </m:e>
        </m:d>
        <m:d>
          <m:dPr>
            <m:ctrlPr>
              <w:rPr>
                <w:rFonts w:ascii="Cambria Math" w:hAnsi="Cambria Math"/>
                <w:i/>
                <w:iCs/>
              </w:rPr>
            </m:ctrlPr>
          </m:dPr>
          <m:e>
            <m:acc>
              <m:accPr>
                <m:ctrlPr>
                  <w:rPr>
                    <w:rFonts w:ascii="Cambria Math" w:hAnsi="Cambria Math"/>
                    <w:i/>
                    <w:iCs/>
                  </w:rPr>
                </m:ctrlPr>
              </m:accPr>
              <m:e>
                <m:r>
                  <m:rPr>
                    <m:sty m:val="b"/>
                  </m:rPr>
                  <w:rPr>
                    <w:rFonts w:ascii="Cambria Math" w:hAnsi="Cambria Math"/>
                  </w:rPr>
                  <m:t>p</m:t>
                </m:r>
              </m:e>
            </m:acc>
          </m:e>
        </m:d>
      </m:oMath>
      <w:r>
        <w:t xml:space="preserve"> is the Hessian with respect to </w:t>
      </w:r>
      <m:oMath>
        <m:r>
          <m:rPr>
            <m:sty m:val="b"/>
          </m:rPr>
          <w:rPr>
            <w:rFonts w:ascii="Cambria Math" w:hAnsi="Cambria Math"/>
          </w:rPr>
          <m:t>p</m:t>
        </m:r>
      </m:oMath>
      <w:r>
        <w:t xml:space="preserve"> at </w:t>
      </w:r>
      <m:oMath>
        <m:acc>
          <m:accPr>
            <m:ctrlPr>
              <w:rPr>
                <w:rFonts w:ascii="Cambria Math" w:hAnsi="Cambria Math"/>
                <w:i/>
              </w:rPr>
            </m:ctrlPr>
          </m:accPr>
          <m:e>
            <m:r>
              <m:rPr>
                <m:sty m:val="b"/>
              </m:rPr>
              <w:rPr>
                <w:rFonts w:ascii="Cambria Math" w:hAnsi="Cambria Math"/>
              </w:rPr>
              <m:t>p</m:t>
            </m:r>
          </m:e>
        </m:acc>
      </m:oMath>
      <w:r>
        <w:t xml:space="preserve">. This expression can be used in training to back propagate over this optimization step using a ground truth label for the UE position. By leveraging real-world location data as a proxy, this method enables the model to infer labels on radio measurements (such as soft LOS indicators, </w:t>
      </w:r>
      <w:proofErr w:type="spellStart"/>
      <w:r>
        <w:t>etc</w:t>
      </w:r>
      <w:proofErr w:type="spellEnd"/>
      <w:r>
        <w:t>) indirectly during training.</w:t>
      </w:r>
    </w:p>
    <w:p w14:paraId="20CA2AA3" w14:textId="77777777" w:rsidR="00713619" w:rsidRDefault="00713619" w:rsidP="00713619">
      <w:r>
        <w:t>This technique involves back-propagation across both trainable and untrainable optimization steps, allowing the model’s outputs to align with the desired positioning estimates without needing direct measurement labels. By substituting position data for radio measurement labels, the approach enhances the flexibility and scalability of model training. This indirect labelling strategy not only simplifies the data collection process but also improves the model's adaptability across different network environments, facilitating accurate and efficient positioning.</w:t>
      </w:r>
    </w:p>
    <w:p w14:paraId="06D27B59" w14:textId="37CECDB9" w:rsidR="00713619" w:rsidRDefault="00713619" w:rsidP="00713619">
      <w:pPr>
        <w:pStyle w:val="Proposal"/>
      </w:pPr>
      <w:bookmarkStart w:id="2162" w:name="_Toc189845142"/>
      <w:r>
        <w:t>For training data collection</w:t>
      </w:r>
      <w:r w:rsidR="00E03C94">
        <w:t xml:space="preserve"> Part B</w:t>
      </w:r>
      <w:r>
        <w:t xml:space="preserve">, support only ground truth </w:t>
      </w:r>
      <w:r w:rsidR="00E03C94">
        <w:t>labels in the format of UE location coordinates (x, y, z)</w:t>
      </w:r>
      <w:r>
        <w:t>.</w:t>
      </w:r>
      <w:bookmarkEnd w:id="2162"/>
      <w:r>
        <w:t xml:space="preserve"> </w:t>
      </w:r>
    </w:p>
    <w:p w14:paraId="30D6B89F" w14:textId="58825D99" w:rsidR="00DA7485" w:rsidRDefault="00DA7485" w:rsidP="00DA7485">
      <w:pPr>
        <w:tabs>
          <w:tab w:val="left" w:pos="2123"/>
        </w:tabs>
      </w:pPr>
    </w:p>
    <w:p w14:paraId="2D419CC9" w14:textId="34FDC85A" w:rsidR="002306E4" w:rsidRDefault="00DA7485" w:rsidP="00DA7485">
      <w:pPr>
        <w:tabs>
          <w:tab w:val="left" w:pos="2123"/>
        </w:tabs>
      </w:pPr>
      <w:r>
        <w:t>For label quality, RAN1 extensively discussed how to attach a quality to part B, with the following being the latest proposal</w:t>
      </w:r>
      <w:r w:rsidR="007C36DC">
        <w:t xml:space="preserve"> from </w:t>
      </w:r>
      <w:r w:rsidR="004F28F1">
        <w:t>RAN1#118 bis</w:t>
      </w:r>
      <w:r>
        <w:t>:</w:t>
      </w:r>
    </w:p>
    <w:tbl>
      <w:tblPr>
        <w:tblStyle w:val="TableGrid"/>
        <w:tblW w:w="0" w:type="auto"/>
        <w:tblLook w:val="04A0" w:firstRow="1" w:lastRow="0" w:firstColumn="1" w:lastColumn="0" w:noHBand="0" w:noVBand="1"/>
      </w:tblPr>
      <w:tblGrid>
        <w:gridCol w:w="9962"/>
      </w:tblGrid>
      <w:tr w:rsidR="002306E4" w14:paraId="667D81E2" w14:textId="77777777" w:rsidTr="002306E4">
        <w:tc>
          <w:tcPr>
            <w:tcW w:w="9962" w:type="dxa"/>
          </w:tcPr>
          <w:p w14:paraId="43D17028" w14:textId="05F18792" w:rsidR="002306E4" w:rsidRPr="0091081A" w:rsidRDefault="002306E4" w:rsidP="0091081A">
            <w:pPr>
              <w:suppressAutoHyphens/>
              <w:spacing w:after="0" w:line="276" w:lineRule="auto"/>
              <w:rPr>
                <w:rFonts w:eastAsia="DengXian" w:cs="DengXian"/>
                <w:b/>
                <w:sz w:val="20"/>
                <w:szCs w:val="20"/>
                <w:u w:val="single"/>
              </w:rPr>
            </w:pPr>
            <w:r w:rsidRPr="0091081A">
              <w:rPr>
                <w:rFonts w:eastAsia="DengXian" w:cs="DengXian"/>
                <w:b/>
                <w:sz w:val="20"/>
                <w:szCs w:val="20"/>
                <w:u w:val="single"/>
              </w:rPr>
              <w:t>Proposal 4.1.5-1A</w:t>
            </w:r>
            <w:r w:rsidR="004F28F1">
              <w:rPr>
                <w:b/>
                <w:bCs/>
                <w:sz w:val="20"/>
                <w:szCs w:val="20"/>
                <w:u w:val="single"/>
              </w:rPr>
              <w:t xml:space="preserve"> (RAN1#118bis)</w:t>
            </w:r>
          </w:p>
          <w:p w14:paraId="54C89688" w14:textId="77777777" w:rsidR="002306E4" w:rsidRPr="0091081A" w:rsidRDefault="002306E4" w:rsidP="0091081A">
            <w:pPr>
              <w:suppressAutoHyphens/>
              <w:spacing w:after="0" w:line="276" w:lineRule="auto"/>
              <w:rPr>
                <w:rFonts w:eastAsia="DengXian" w:cs="DengXian"/>
                <w:sz w:val="20"/>
                <w:szCs w:val="20"/>
              </w:rPr>
            </w:pPr>
            <w:r w:rsidRPr="0091081A">
              <w:rPr>
                <w:rFonts w:eastAsia="DengXian" w:cs="DengXian"/>
                <w:sz w:val="20"/>
                <w:szCs w:val="20"/>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2E43BDBE" w14:textId="77777777" w:rsidR="002306E4" w:rsidRPr="0091081A" w:rsidRDefault="002306E4" w:rsidP="005925D5">
            <w:pPr>
              <w:numPr>
                <w:ilvl w:val="0"/>
                <w:numId w:val="78"/>
              </w:numPr>
              <w:suppressAutoHyphens/>
              <w:spacing w:after="0" w:line="276" w:lineRule="auto"/>
              <w:rPr>
                <w:rFonts w:eastAsia="Times New Roman" w:cs="Calibri"/>
                <w:sz w:val="20"/>
                <w:szCs w:val="20"/>
              </w:rPr>
            </w:pPr>
            <w:r w:rsidRPr="0091081A">
              <w:rPr>
                <w:rFonts w:eastAsia="Times New Roman" w:cs="Calibri"/>
                <w:sz w:val="20"/>
                <w:szCs w:val="20"/>
              </w:rPr>
              <w:t>Option 1: reuse an existing IE. For each case, proponent companies provide input on the existing IE to use.</w:t>
            </w:r>
          </w:p>
          <w:p w14:paraId="77D2EFCC" w14:textId="77777777" w:rsidR="002306E4" w:rsidRPr="0091081A" w:rsidRDefault="002306E4" w:rsidP="005925D5">
            <w:pPr>
              <w:numPr>
                <w:ilvl w:val="0"/>
                <w:numId w:val="78"/>
              </w:numPr>
              <w:suppressAutoHyphens/>
              <w:spacing w:after="0" w:line="276" w:lineRule="auto"/>
              <w:rPr>
                <w:rFonts w:eastAsia="Times New Roman" w:cs="Calibri"/>
                <w:sz w:val="20"/>
                <w:szCs w:val="20"/>
              </w:rPr>
            </w:pPr>
            <w:r w:rsidRPr="0091081A">
              <w:rPr>
                <w:rFonts w:eastAsia="Times New Roman" w:cs="Calibri"/>
                <w:sz w:val="20"/>
                <w:szCs w:val="20"/>
              </w:rPr>
              <w:t>Option 2: define a new IE on UE location quality. Use hard (0 or 1) and soft values (0, 0.1, 0.2, …, 1.0), with value 1 indicating the highest quality.</w:t>
            </w:r>
          </w:p>
          <w:p w14:paraId="15EAA9B7" w14:textId="6ACB619B" w:rsidR="002306E4" w:rsidRPr="0091081A" w:rsidRDefault="002306E4" w:rsidP="005925D5">
            <w:pPr>
              <w:numPr>
                <w:ilvl w:val="1"/>
                <w:numId w:val="78"/>
              </w:numPr>
              <w:suppressAutoHyphens/>
              <w:spacing w:after="0" w:line="276" w:lineRule="auto"/>
              <w:rPr>
                <w:sz w:val="20"/>
                <w:szCs w:val="20"/>
              </w:rPr>
            </w:pPr>
            <w:r w:rsidRPr="0091081A">
              <w:rPr>
                <w:rFonts w:eastAsia="Times New Roman" w:cs="Calibri"/>
                <w:sz w:val="20"/>
                <w:szCs w:val="20"/>
              </w:rPr>
              <w:t>Proponent companies provide information on how to determine the value, entity to generate the label quality, and the applicable signaling.</w:t>
            </w:r>
          </w:p>
        </w:tc>
      </w:tr>
    </w:tbl>
    <w:p w14:paraId="00BC18C1" w14:textId="6FC3910B" w:rsidR="009F24D9" w:rsidRDefault="00C34A09" w:rsidP="00DA7485">
      <w:pPr>
        <w:tabs>
          <w:tab w:val="left" w:pos="2123"/>
        </w:tabs>
      </w:pPr>
      <w:r>
        <w:t xml:space="preserve"> </w:t>
      </w:r>
    </w:p>
    <w:p w14:paraId="5806210A" w14:textId="77777777" w:rsidR="002023E3" w:rsidRDefault="00DA7485" w:rsidP="00DA7485">
      <w:pPr>
        <w:tabs>
          <w:tab w:val="left" w:pos="2123"/>
        </w:tabs>
      </w:pPr>
      <w:r>
        <w:t xml:space="preserve">Option 1 can already be supported by a UE or LMF </w:t>
      </w:r>
      <w:r w:rsidR="00AE0323">
        <w:t xml:space="preserve">for </w:t>
      </w:r>
      <w:r>
        <w:t>positioning solution</w:t>
      </w:r>
      <w:r w:rsidR="00AE0323">
        <w:t>s</w:t>
      </w:r>
      <w:r>
        <w:t xml:space="preserve"> prior to </w:t>
      </w:r>
      <w:r w:rsidR="00AE0323">
        <w:t>R</w:t>
      </w:r>
      <w:r>
        <w:t>el</w:t>
      </w:r>
      <w:r w:rsidR="00AE0323">
        <w:t>-</w:t>
      </w:r>
      <w:r>
        <w:t xml:space="preserve">19.  Note that when providing a location information, a UE also reports the method used to generate that information (e.g. GNSS, WLAN, DL-TDOA).  </w:t>
      </w:r>
    </w:p>
    <w:p w14:paraId="29F5FF78" w14:textId="212266A2" w:rsidR="002023E3" w:rsidRDefault="00DA7485" w:rsidP="00DA7485">
      <w:pPr>
        <w:tabs>
          <w:tab w:val="left" w:pos="2123"/>
        </w:tabs>
      </w:pPr>
      <w:r>
        <w:t>Option 2 provides a generic metric for quality. However, the quality level depends also o</w:t>
      </w:r>
      <w:r w:rsidR="00AE0323">
        <w:t>n</w:t>
      </w:r>
      <w:r>
        <w:t xml:space="preserve"> the</w:t>
      </w:r>
      <w:r w:rsidR="002023E3">
        <w:t xml:space="preserve"> specific positioning use </w:t>
      </w:r>
      <w:proofErr w:type="gramStart"/>
      <w:r w:rsidR="002023E3">
        <w:t xml:space="preserve">case, </w:t>
      </w:r>
      <w:r>
        <w:t xml:space="preserve"> </w:t>
      </w:r>
      <w:r w:rsidR="002023E3">
        <w:t>the</w:t>
      </w:r>
      <w:proofErr w:type="gramEnd"/>
      <w:r w:rsidR="002023E3">
        <w:t xml:space="preserve"> desired positioning accuracy, and the </w:t>
      </w:r>
      <w:r w:rsidR="00AE0323">
        <w:t xml:space="preserve">AI/ML </w:t>
      </w:r>
      <w:r>
        <w:t>model</w:t>
      </w:r>
      <w:r w:rsidR="002023E3">
        <w:t xml:space="preserve"> design</w:t>
      </w:r>
      <w:r w:rsidR="00AE0323">
        <w:t xml:space="preserve"> </w:t>
      </w:r>
      <w:r w:rsidR="002023E3">
        <w:t xml:space="preserve">(e.g., </w:t>
      </w:r>
      <w:r w:rsidR="00AE0323">
        <w:t>structure</w:t>
      </w:r>
      <w:r w:rsidR="002023E3">
        <w:t xml:space="preserve">, </w:t>
      </w:r>
      <w:r w:rsidR="00AE0323">
        <w:t>size</w:t>
      </w:r>
      <w:r w:rsidR="002023E3">
        <w:t xml:space="preserve">, parameter quantization, </w:t>
      </w:r>
      <w:proofErr w:type="spellStart"/>
      <w:r w:rsidR="002023E3">
        <w:t>etc</w:t>
      </w:r>
      <w:proofErr w:type="spellEnd"/>
      <w:r w:rsidR="002023E3">
        <w:t>). S</w:t>
      </w:r>
      <w:r w:rsidR="00AE0323">
        <w:t xml:space="preserve">uch </w:t>
      </w:r>
      <w:r w:rsidR="002023E3">
        <w:t xml:space="preserve">information </w:t>
      </w:r>
      <w:r w:rsidR="00AE0323">
        <w:t xml:space="preserve">may not be known </w:t>
      </w:r>
      <w:r w:rsidR="002023E3">
        <w:t xml:space="preserve">at the time </w:t>
      </w:r>
      <w:r w:rsidR="00AE0323">
        <w:t xml:space="preserve">the </w:t>
      </w:r>
      <w:r w:rsidR="002023E3">
        <w:t xml:space="preserve">training data is </w:t>
      </w:r>
      <w:r w:rsidR="002023E3">
        <w:lastRenderedPageBreak/>
        <w:t>collected. Furthermore, a given training data set can be used to train multiple models,</w:t>
      </w:r>
      <w:r w:rsidR="007C36DC">
        <w:t xml:space="preserve"> potentially</w:t>
      </w:r>
      <w:r w:rsidR="002023E3">
        <w:t xml:space="preserve"> each with a different accuracy target and a different model design</w:t>
      </w:r>
      <w:r>
        <w:t xml:space="preserve">. </w:t>
      </w:r>
      <w:r w:rsidR="002023E3">
        <w:t>Depending on the training context, as an example, s</w:t>
      </w:r>
      <w:r>
        <w:t xml:space="preserve">ome </w:t>
      </w:r>
      <w:r w:rsidR="000F55B3">
        <w:t>deployment/model</w:t>
      </w:r>
      <w:r>
        <w:t xml:space="preserve"> </w:t>
      </w:r>
      <w:r w:rsidR="007C36DC">
        <w:t>may</w:t>
      </w:r>
      <w:r>
        <w:t xml:space="preserve"> treat 1m accuracy as low quality, </w:t>
      </w:r>
      <w:r w:rsidR="000F55B3">
        <w:t>while</w:t>
      </w:r>
      <w:r>
        <w:t xml:space="preserve"> </w:t>
      </w:r>
      <w:r w:rsidR="007C36DC">
        <w:t>an</w:t>
      </w:r>
      <w:r>
        <w:t xml:space="preserve">other </w:t>
      </w:r>
      <w:r w:rsidR="007C36DC">
        <w:t xml:space="preserve">treat 1m accuracy </w:t>
      </w:r>
      <w:r>
        <w:t xml:space="preserve">as high quality. </w:t>
      </w:r>
      <w:r w:rsidR="002023E3">
        <w:t>Also,</w:t>
      </w:r>
      <w:r w:rsidR="00AE0323">
        <w:t xml:space="preserve"> Option 2 requires high standardization effort to defin</w:t>
      </w:r>
      <w:r w:rsidR="000F55B3">
        <w:t>e</w:t>
      </w:r>
      <w:r w:rsidR="00AE0323">
        <w:t xml:space="preserve"> the quality values, e.g., how to determine the quality value given a UE location error in meters.   </w:t>
      </w:r>
      <w:r>
        <w:t xml:space="preserve"> </w:t>
      </w:r>
    </w:p>
    <w:p w14:paraId="5F0737DB" w14:textId="56D1CCE9" w:rsidR="008B42E3" w:rsidRDefault="008B42E3" w:rsidP="00DA7485">
      <w:pPr>
        <w:tabs>
          <w:tab w:val="left" w:pos="2123"/>
        </w:tabs>
      </w:pPr>
      <w:r>
        <w:t>During RAN1#1</w:t>
      </w:r>
      <w:r w:rsidR="00C34A09">
        <w:t>19</w:t>
      </w:r>
      <w:r>
        <w:t xml:space="preserve">, further discussion on </w:t>
      </w:r>
      <w:r w:rsidR="00C3326C">
        <w:t xml:space="preserve">the </w:t>
      </w:r>
      <w:r>
        <w:t>option</w:t>
      </w:r>
      <w:r w:rsidR="00C3326C">
        <w:t>s</w:t>
      </w:r>
      <w:r>
        <w:t xml:space="preserve"> clarified that the purpose of option 2 is for </w:t>
      </w:r>
      <w:r w:rsidR="001B1AC6">
        <w:t>the LMF to provide a measurement quality which is computed by the LMF</w:t>
      </w:r>
      <w:r w:rsidR="00CC5377">
        <w:t xml:space="preserve">. </w:t>
      </w:r>
      <w:r w:rsidR="00E32044">
        <w:t xml:space="preserve"> The proposal was reworded as follow</w:t>
      </w:r>
      <w:r w:rsidR="00C3326C">
        <w:t>s by a proponent company</w:t>
      </w:r>
      <w:r w:rsidR="00E32044">
        <w:t>:</w:t>
      </w:r>
    </w:p>
    <w:tbl>
      <w:tblPr>
        <w:tblStyle w:val="TableGrid"/>
        <w:tblW w:w="0" w:type="auto"/>
        <w:tblLook w:val="04A0" w:firstRow="1" w:lastRow="0" w:firstColumn="1" w:lastColumn="0" w:noHBand="0" w:noVBand="1"/>
      </w:tblPr>
      <w:tblGrid>
        <w:gridCol w:w="9962"/>
      </w:tblGrid>
      <w:tr w:rsidR="00E32044" w:rsidRPr="00BD2268" w14:paraId="64201D48" w14:textId="77777777" w:rsidTr="00E32044">
        <w:tc>
          <w:tcPr>
            <w:tcW w:w="9962" w:type="dxa"/>
          </w:tcPr>
          <w:p w14:paraId="28398F5F" w14:textId="77777777" w:rsidR="00E32044" w:rsidRPr="00B73B76" w:rsidRDefault="00E32044" w:rsidP="00E32044">
            <w:pPr>
              <w:rPr>
                <w:b/>
                <w:bCs/>
                <w:sz w:val="20"/>
                <w:szCs w:val="20"/>
                <w:u w:val="single"/>
              </w:rPr>
            </w:pPr>
            <w:r w:rsidRPr="00B73B76">
              <w:rPr>
                <w:b/>
                <w:bCs/>
                <w:szCs w:val="20"/>
                <w:u w:val="single"/>
              </w:rPr>
              <w:t>Proposal 4.1.4-2</w:t>
            </w:r>
          </w:p>
          <w:p w14:paraId="433DEDDA" w14:textId="77777777" w:rsidR="00E32044" w:rsidRPr="00F84F2B" w:rsidRDefault="00E32044" w:rsidP="00E32044">
            <w:pPr>
              <w:rPr>
                <w:sz w:val="20"/>
                <w:szCs w:val="20"/>
              </w:rPr>
            </w:pPr>
            <w:r w:rsidRPr="00B53CFF">
              <w:rPr>
                <w:szCs w:val="20"/>
              </w:rPr>
              <w:t xml:space="preserve">For AI/ML based positioning, when </w:t>
            </w:r>
            <w:r w:rsidRPr="00B53CFF">
              <w:rPr>
                <w:color w:val="FF0000"/>
                <w:szCs w:val="20"/>
              </w:rPr>
              <w:t xml:space="preserve">label is UE location </w:t>
            </w:r>
            <w:r w:rsidRPr="00B53CFF">
              <w:rPr>
                <w:szCs w:val="20"/>
              </w:rPr>
              <w:t xml:space="preserve">and reported </w:t>
            </w:r>
            <w:r w:rsidRPr="00B53CFF">
              <w:rPr>
                <w:color w:val="FF0000"/>
                <w:szCs w:val="20"/>
              </w:rPr>
              <w:t>(e.g., LMF to UE over LPP)</w:t>
            </w:r>
            <w:r w:rsidRPr="00B53CFF">
              <w:rPr>
                <w:szCs w:val="20"/>
              </w:rPr>
              <w:t xml:space="preserve">, label and quality indicator of label are provided by the following options: reusing existing IE. </w:t>
            </w:r>
          </w:p>
          <w:p w14:paraId="39DAA2D5" w14:textId="77777777" w:rsidR="00E32044" w:rsidRPr="00F84F2B" w:rsidRDefault="00E32044" w:rsidP="00E32044">
            <w:pPr>
              <w:pStyle w:val="ListParagraph"/>
              <w:widowControl w:val="0"/>
              <w:numPr>
                <w:ilvl w:val="0"/>
                <w:numId w:val="97"/>
              </w:numPr>
              <w:tabs>
                <w:tab w:val="left" w:pos="720"/>
              </w:tabs>
              <w:spacing w:after="80"/>
              <w:rPr>
                <w:sz w:val="20"/>
              </w:rPr>
            </w:pPr>
            <w:r w:rsidRPr="00BD2268">
              <w:rPr>
                <w:color w:val="FF0000"/>
              </w:rPr>
              <w:t>Reusing existing IE</w:t>
            </w:r>
            <w:r w:rsidRPr="00BD2268">
              <w:t xml:space="preserve">, the existing IE can </w:t>
            </w:r>
            <w:r w:rsidRPr="00BD2268">
              <w:rPr>
                <w:bCs/>
                <w:iCs/>
              </w:rPr>
              <w:t xml:space="preserve">use one of the geographic shapes defined in TS 23.032. </w:t>
            </w:r>
            <w:r w:rsidRPr="00BD2268">
              <w:rPr>
                <w:bCs/>
                <w:iCs/>
                <w:color w:val="FF0000"/>
              </w:rPr>
              <w:t>The uncertainty and confidence serve as quality indicator of the label.</w:t>
            </w:r>
          </w:p>
          <w:p w14:paraId="13A588AB" w14:textId="77777777" w:rsidR="00E32044" w:rsidRPr="00F84F2B" w:rsidRDefault="00E32044" w:rsidP="00E32044">
            <w:pPr>
              <w:numPr>
                <w:ilvl w:val="0"/>
                <w:numId w:val="97"/>
              </w:numPr>
              <w:suppressAutoHyphens/>
              <w:spacing w:line="276" w:lineRule="auto"/>
              <w:rPr>
                <w:rFonts w:eastAsia="Times New Roman" w:cs="Calibri"/>
                <w:sz w:val="20"/>
                <w:szCs w:val="20"/>
              </w:rPr>
            </w:pPr>
            <w:r w:rsidRPr="00B53CFF">
              <w:rPr>
                <w:rFonts w:eastAsia="Times New Roman" w:cs="Calibri"/>
                <w:szCs w:val="20"/>
              </w:rPr>
              <w:t xml:space="preserve">Using a new IE on </w:t>
            </w:r>
            <w:r w:rsidRPr="00B53CFF">
              <w:rPr>
                <w:rFonts w:eastAsia="Times New Roman" w:cs="Calibri"/>
                <w:color w:val="FF0000"/>
                <w:szCs w:val="20"/>
              </w:rPr>
              <w:t>UE location quality supported by LMF</w:t>
            </w:r>
            <w:r w:rsidRPr="00B53CFF">
              <w:rPr>
                <w:rFonts w:eastAsia="Times New Roman" w:cs="Calibri"/>
                <w:szCs w:val="20"/>
              </w:rPr>
              <w:t>. Use hard (1 or 0) and soft values (0, 0.1, 0.2, …, 1.0), with value 1 indicate the highest quality.</w:t>
            </w:r>
          </w:p>
          <w:p w14:paraId="1474E920" w14:textId="6D7C01CB" w:rsidR="00E32044" w:rsidRPr="00F84F2B" w:rsidRDefault="00E32044" w:rsidP="00F84F2B">
            <w:pPr>
              <w:rPr>
                <w:sz w:val="20"/>
                <w:szCs w:val="20"/>
              </w:rPr>
            </w:pPr>
            <w:r w:rsidRPr="00B53CFF">
              <w:rPr>
                <w:color w:val="FF0000"/>
                <w:szCs w:val="20"/>
              </w:rPr>
              <w:t>Note: Label quality indicator may be considered as an additional UE capability.</w:t>
            </w:r>
          </w:p>
        </w:tc>
      </w:tr>
    </w:tbl>
    <w:p w14:paraId="0C2D7450" w14:textId="77777777" w:rsidR="00E32044" w:rsidRDefault="00E32044" w:rsidP="00DA7485">
      <w:pPr>
        <w:tabs>
          <w:tab w:val="left" w:pos="2123"/>
        </w:tabs>
      </w:pPr>
    </w:p>
    <w:p w14:paraId="63B664C0" w14:textId="3B01E726" w:rsidR="00AE0323" w:rsidRDefault="00E06A15" w:rsidP="00DA7485">
      <w:pPr>
        <w:tabs>
          <w:tab w:val="left" w:pos="2123"/>
        </w:tabs>
      </w:pPr>
      <w:r>
        <w:t>Our understanding is tha</w:t>
      </w:r>
      <w:r w:rsidR="00AD0B6E">
        <w:t>t</w:t>
      </w:r>
      <w:r>
        <w:t xml:space="preserve"> the part B label will be </w:t>
      </w:r>
      <w:proofErr w:type="spellStart"/>
      <w:r>
        <w:t>signalled</w:t>
      </w:r>
      <w:proofErr w:type="spellEnd"/>
      <w:r>
        <w:t xml:space="preserve"> re-using the </w:t>
      </w:r>
      <w:proofErr w:type="spellStart"/>
      <w:r w:rsidR="003E5591">
        <w:t>signalling</w:t>
      </w:r>
      <w:proofErr w:type="spellEnd"/>
      <w:r w:rsidR="003E5591">
        <w:t xml:space="preserve"> for providing location, i.e. a new “label IE” will not be introduced. </w:t>
      </w:r>
      <w:r w:rsidR="00FE2E70">
        <w:t xml:space="preserve">Since there is already a measure of quality of the location in the measurement uncertainty </w:t>
      </w:r>
      <w:r w:rsidR="00557C8D">
        <w:t xml:space="preserve">and confidence, we do not see how an additional quality indicator will provide further information to the UE. </w:t>
      </w:r>
      <w:r w:rsidR="00A152A9">
        <w:t xml:space="preserve">The existing indicator can already convey </w:t>
      </w:r>
      <w:r w:rsidR="00595B50">
        <w:t xml:space="preserve">the LMF assessment of the location quality. </w:t>
      </w:r>
    </w:p>
    <w:p w14:paraId="27A83DB6" w14:textId="3AF80246" w:rsidR="002023E3" w:rsidRDefault="002023E3" w:rsidP="00DA7485">
      <w:pPr>
        <w:tabs>
          <w:tab w:val="left" w:pos="2123"/>
        </w:tabs>
      </w:pPr>
      <w:r>
        <w:t xml:space="preserve">Regarding the specific quality metrics, the existing IE </w:t>
      </w:r>
      <w:proofErr w:type="spellStart"/>
      <w:r w:rsidRPr="002023E3">
        <w:rPr>
          <w:rFonts w:eastAsia="Batang"/>
          <w:i/>
          <w:iCs/>
        </w:rPr>
        <w:t>LocationUncertainty</w:t>
      </w:r>
      <w:proofErr w:type="spellEnd"/>
      <w:r>
        <w:t xml:space="preserve"> has been defined to provide horizontal and vertical information for ARP, as shown below</w:t>
      </w:r>
      <w:r w:rsidR="00523B84">
        <w:t xml:space="preserve"> from LPP</w:t>
      </w:r>
      <w:r>
        <w:t>.</w:t>
      </w:r>
      <w:r w:rsidR="00523B84">
        <w:t xml:space="preserve"> Similar IEs exist for </w:t>
      </w:r>
      <w:proofErr w:type="spellStart"/>
      <w:r w:rsidR="00523B84">
        <w:t>NRPPa</w:t>
      </w:r>
      <w:proofErr w:type="spellEnd"/>
      <w:r w:rsidR="00523B84">
        <w:t>.</w:t>
      </w:r>
      <w:r w:rsidR="006C7A08">
        <w:t xml:space="preserve"> Label uncertainty is analogous to ARP location in that </w:t>
      </w:r>
      <w:proofErr w:type="gramStart"/>
      <w:r w:rsidR="006C7A08">
        <w:t>these location information</w:t>
      </w:r>
      <w:proofErr w:type="gramEnd"/>
      <w:r w:rsidR="006C7A08">
        <w:t xml:space="preserve"> are considered known, though with error margins in real-world applications. This </w:t>
      </w:r>
      <w:proofErr w:type="gramStart"/>
      <w:r w:rsidR="006C7A08">
        <w:t>is in contrast to</w:t>
      </w:r>
      <w:proofErr w:type="gramEnd"/>
      <w:r w:rsidR="006C7A08">
        <w:t xml:space="preserve"> location of target UE, which is unknown, and to be determined using the positioning methods.</w:t>
      </w:r>
    </w:p>
    <w:p w14:paraId="25364D28" w14:textId="77777777" w:rsidR="002023E3" w:rsidRPr="004E0235"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z w:val="16"/>
          <w:lang w:eastAsia="sv-SE"/>
        </w:rPr>
      </w:pPr>
      <w:r w:rsidRPr="004E0235">
        <w:rPr>
          <w:rFonts w:ascii="Courier New" w:eastAsia="Batang" w:hAnsi="Courier New"/>
          <w:sz w:val="16"/>
          <w:lang w:eastAsia="sv-SE"/>
        </w:rPr>
        <w:t>locationUNC-r16</w:t>
      </w:r>
      <w:r w:rsidRPr="004E0235">
        <w:rPr>
          <w:rFonts w:ascii="Courier New" w:eastAsia="Batang" w:hAnsi="Courier New"/>
          <w:sz w:val="16"/>
          <w:lang w:eastAsia="sv-SE"/>
        </w:rPr>
        <w:tab/>
      </w:r>
      <w:r w:rsidRPr="004E0235">
        <w:rPr>
          <w:rFonts w:ascii="Courier New" w:eastAsia="Batang" w:hAnsi="Courier New"/>
          <w:sz w:val="16"/>
          <w:lang w:eastAsia="sv-SE"/>
        </w:rPr>
        <w:tab/>
      </w:r>
      <w:r w:rsidRPr="004E0235">
        <w:rPr>
          <w:rFonts w:ascii="Courier New" w:eastAsia="Batang" w:hAnsi="Courier New"/>
          <w:sz w:val="16"/>
          <w:lang w:eastAsia="sv-SE"/>
        </w:rPr>
        <w:tab/>
      </w:r>
      <w:r w:rsidRPr="004E0235">
        <w:rPr>
          <w:rFonts w:ascii="Courier New" w:eastAsia="Batang" w:hAnsi="Courier New"/>
          <w:sz w:val="16"/>
          <w:lang w:eastAsia="sv-SE"/>
        </w:rPr>
        <w:tab/>
      </w:r>
      <w:bookmarkStart w:id="2163" w:name="_Hlk176420079"/>
      <w:r w:rsidRPr="004E0235">
        <w:rPr>
          <w:rFonts w:ascii="Courier New" w:eastAsia="Batang" w:hAnsi="Courier New"/>
          <w:sz w:val="16"/>
          <w:lang w:eastAsia="sv-SE"/>
        </w:rPr>
        <w:t>LocationUncertainty-r16</w:t>
      </w:r>
      <w:bookmarkEnd w:id="2163"/>
      <w:r w:rsidRPr="004E0235">
        <w:rPr>
          <w:rFonts w:ascii="Courier New" w:eastAsia="Batang" w:hAnsi="Courier New"/>
          <w:sz w:val="16"/>
          <w:lang w:eastAsia="sv-SE"/>
        </w:rPr>
        <w:tab/>
      </w:r>
      <w:r w:rsidRPr="004E0235">
        <w:rPr>
          <w:rFonts w:ascii="Courier New" w:eastAsia="Batang" w:hAnsi="Courier New"/>
          <w:sz w:val="16"/>
          <w:lang w:eastAsia="sv-SE"/>
        </w:rPr>
        <w:tab/>
      </w:r>
      <w:r w:rsidRPr="004E0235">
        <w:rPr>
          <w:rFonts w:ascii="Courier New" w:eastAsia="Batang" w:hAnsi="Courier New"/>
          <w:sz w:val="16"/>
          <w:lang w:eastAsia="sv-SE"/>
        </w:rPr>
        <w:tab/>
      </w:r>
      <w:r w:rsidRPr="004E0235">
        <w:rPr>
          <w:rFonts w:ascii="Courier New" w:eastAsia="Batang" w:hAnsi="Courier New"/>
          <w:sz w:val="16"/>
          <w:lang w:eastAsia="sv-SE"/>
        </w:rPr>
        <w:tab/>
        <w:t>OPTIONAL,</w:t>
      </w:r>
      <w:r w:rsidRPr="004E0235">
        <w:rPr>
          <w:rFonts w:ascii="Courier New" w:eastAsia="Batang" w:hAnsi="Courier New"/>
          <w:sz w:val="16"/>
          <w:lang w:eastAsia="sv-SE"/>
        </w:rPr>
        <w:tab/>
      </w:r>
      <w:r w:rsidRPr="004E0235">
        <w:rPr>
          <w:rFonts w:ascii="Courier New" w:eastAsia="Batang" w:hAnsi="Courier New"/>
          <w:sz w:val="16"/>
          <w:lang w:eastAsia="sv-SE"/>
        </w:rPr>
        <w:tab/>
        <w:t>-- Need OP</w:t>
      </w:r>
    </w:p>
    <w:p w14:paraId="2F3AC6BB" w14:textId="77777777" w:rsidR="002023E3" w:rsidRPr="004E0235"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z w:val="16"/>
          <w:lang w:eastAsia="sv-SE"/>
        </w:rPr>
      </w:pPr>
      <w:r w:rsidRPr="002023E3">
        <w:rPr>
          <w:rFonts w:ascii="Courier New" w:eastAsia="Batang" w:hAnsi="Courier New"/>
          <w:color w:val="FF0000"/>
          <w:sz w:val="16"/>
          <w:lang w:eastAsia="sv-SE"/>
        </w:rPr>
        <w:t>LocationUncertainty</w:t>
      </w:r>
      <w:r w:rsidRPr="002023E3">
        <w:rPr>
          <w:rFonts w:ascii="Courier New" w:eastAsia="Batang" w:hAnsi="Courier New"/>
          <w:sz w:val="16"/>
          <w:lang w:eastAsia="sv-SE"/>
        </w:rPr>
        <w:t>-r</w:t>
      </w:r>
      <w:proofErr w:type="gramStart"/>
      <w:r w:rsidRPr="002023E3">
        <w:rPr>
          <w:rFonts w:ascii="Courier New" w:eastAsia="Batang" w:hAnsi="Courier New"/>
          <w:sz w:val="16"/>
          <w:lang w:eastAsia="sv-SE"/>
        </w:rPr>
        <w:t>16</w:t>
      </w:r>
      <w:r w:rsidRPr="004E0235">
        <w:rPr>
          <w:rFonts w:ascii="Courier New" w:eastAsia="Batang" w:hAnsi="Courier New"/>
          <w:sz w:val="16"/>
          <w:lang w:eastAsia="sv-SE"/>
        </w:rPr>
        <w:t xml:space="preserve"> ::=</w:t>
      </w:r>
      <w:proofErr w:type="gramEnd"/>
      <w:r w:rsidRPr="004E0235">
        <w:rPr>
          <w:rFonts w:ascii="Courier New" w:eastAsia="Batang" w:hAnsi="Courier New"/>
          <w:sz w:val="16"/>
          <w:lang w:eastAsia="sv-SE"/>
        </w:rPr>
        <w:t xml:space="preserve"> SEQUENCE {</w:t>
      </w:r>
    </w:p>
    <w:p w14:paraId="7CE6CD8B" w14:textId="77777777" w:rsidR="002023E3" w:rsidRPr="00F84F2B"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napToGrid w:val="0"/>
          <w:sz w:val="16"/>
          <w:lang w:val="pt-BR" w:eastAsia="sv-SE"/>
        </w:rPr>
      </w:pPr>
      <w:r w:rsidRPr="00AD0B6E">
        <w:rPr>
          <w:rFonts w:ascii="Courier New" w:eastAsia="Batang" w:hAnsi="Courier New"/>
          <w:snapToGrid w:val="0"/>
          <w:sz w:val="16"/>
          <w:lang w:eastAsia="sv-SE"/>
        </w:rPr>
        <w:tab/>
      </w:r>
      <w:r w:rsidRPr="00F84F2B">
        <w:rPr>
          <w:rFonts w:ascii="Courier New" w:eastAsia="Batang" w:hAnsi="Courier New"/>
          <w:snapToGrid w:val="0"/>
          <w:sz w:val="16"/>
          <w:lang w:val="pt-BR" w:eastAsia="sv-SE"/>
        </w:rPr>
        <w:t>horizontalUncertainty-r16</w:t>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t>INTEGER (0..255),</w:t>
      </w:r>
    </w:p>
    <w:p w14:paraId="3D6856FD" w14:textId="77777777" w:rsidR="002023E3" w:rsidRPr="00AD0B6E"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napToGrid w:val="0"/>
          <w:sz w:val="16"/>
          <w:lang w:val="pt-BR" w:eastAsia="sv-SE"/>
        </w:rPr>
      </w:pPr>
      <w:r w:rsidRPr="00AD0B6E">
        <w:rPr>
          <w:rFonts w:ascii="Courier New" w:eastAsia="Batang" w:hAnsi="Courier New"/>
          <w:snapToGrid w:val="0"/>
          <w:sz w:val="16"/>
          <w:lang w:val="pt-BR" w:eastAsia="sv-SE"/>
        </w:rPr>
        <w:tab/>
        <w:t>horizontalConfidence-r16</w:t>
      </w:r>
      <w:r w:rsidRPr="00AD0B6E">
        <w:rPr>
          <w:rFonts w:ascii="Courier New" w:eastAsia="Batang" w:hAnsi="Courier New"/>
          <w:snapToGrid w:val="0"/>
          <w:sz w:val="16"/>
          <w:lang w:val="pt-BR" w:eastAsia="sv-SE"/>
        </w:rPr>
        <w:tab/>
      </w:r>
      <w:r w:rsidRPr="00AD0B6E">
        <w:rPr>
          <w:rFonts w:ascii="Courier New" w:eastAsia="Batang" w:hAnsi="Courier New"/>
          <w:snapToGrid w:val="0"/>
          <w:sz w:val="16"/>
          <w:lang w:val="pt-BR" w:eastAsia="sv-SE"/>
        </w:rPr>
        <w:tab/>
      </w:r>
      <w:r w:rsidRPr="00AD0B6E">
        <w:rPr>
          <w:rFonts w:ascii="Courier New" w:eastAsia="Batang" w:hAnsi="Courier New"/>
          <w:snapToGrid w:val="0"/>
          <w:sz w:val="16"/>
          <w:lang w:val="pt-BR" w:eastAsia="sv-SE"/>
        </w:rPr>
        <w:tab/>
      </w:r>
      <w:r w:rsidRPr="00AD0B6E">
        <w:rPr>
          <w:rFonts w:ascii="Courier New" w:eastAsia="Batang" w:hAnsi="Courier New"/>
          <w:snapToGrid w:val="0"/>
          <w:sz w:val="16"/>
          <w:lang w:val="pt-BR" w:eastAsia="sv-SE"/>
        </w:rPr>
        <w:tab/>
        <w:t>INTEGER (0..100),</w:t>
      </w:r>
    </w:p>
    <w:p w14:paraId="66DE0DBC" w14:textId="77777777" w:rsidR="002023E3" w:rsidRPr="00AD0B6E"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napToGrid w:val="0"/>
          <w:sz w:val="16"/>
          <w:lang w:val="pt-BR" w:eastAsia="sv-SE"/>
        </w:rPr>
      </w:pPr>
      <w:r w:rsidRPr="00AD0B6E">
        <w:rPr>
          <w:rFonts w:ascii="Courier New" w:eastAsia="Batang" w:hAnsi="Courier New"/>
          <w:snapToGrid w:val="0"/>
          <w:sz w:val="16"/>
          <w:lang w:val="pt-BR" w:eastAsia="sv-SE"/>
        </w:rPr>
        <w:tab/>
      </w:r>
      <w:bookmarkStart w:id="2164" w:name="_Hlk178692197"/>
      <w:r w:rsidRPr="00F84F2B">
        <w:rPr>
          <w:rFonts w:ascii="Courier New" w:eastAsia="Batang" w:hAnsi="Courier New"/>
          <w:snapToGrid w:val="0"/>
          <w:sz w:val="16"/>
          <w:lang w:val="pt-BR" w:eastAsia="sv-SE"/>
        </w:rPr>
        <w:t>verticalUncertainty-r16</w:t>
      </w:r>
      <w:bookmarkEnd w:id="2164"/>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r>
      <w:r w:rsidRPr="00F84F2B">
        <w:rPr>
          <w:rFonts w:ascii="Courier New" w:eastAsia="Batang" w:hAnsi="Courier New"/>
          <w:snapToGrid w:val="0"/>
          <w:sz w:val="16"/>
          <w:lang w:val="pt-BR" w:eastAsia="sv-SE"/>
        </w:rPr>
        <w:tab/>
        <w:t>INTEGER (0..255),</w:t>
      </w:r>
    </w:p>
    <w:p w14:paraId="6FC1DFBA" w14:textId="77777777" w:rsidR="002023E3" w:rsidRPr="004E0235"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z w:val="16"/>
          <w:lang w:val="pt-BR" w:eastAsia="sv-SE"/>
        </w:rPr>
      </w:pPr>
      <w:r w:rsidRPr="004E0235">
        <w:rPr>
          <w:rFonts w:ascii="Courier New" w:eastAsia="Batang" w:hAnsi="Courier New"/>
          <w:snapToGrid w:val="0"/>
          <w:sz w:val="16"/>
          <w:lang w:val="pt-BR" w:eastAsia="sv-SE"/>
        </w:rPr>
        <w:tab/>
        <w:t>verticalConfidence-r16</w:t>
      </w:r>
      <w:r w:rsidRPr="004E0235">
        <w:rPr>
          <w:rFonts w:ascii="Courier New" w:eastAsia="Batang" w:hAnsi="Courier New"/>
          <w:snapToGrid w:val="0"/>
          <w:sz w:val="16"/>
          <w:lang w:val="pt-BR" w:eastAsia="sv-SE"/>
        </w:rPr>
        <w:tab/>
      </w:r>
      <w:r w:rsidRPr="004E0235">
        <w:rPr>
          <w:rFonts w:ascii="Courier New" w:eastAsia="Batang" w:hAnsi="Courier New"/>
          <w:snapToGrid w:val="0"/>
          <w:sz w:val="16"/>
          <w:lang w:val="pt-BR" w:eastAsia="sv-SE"/>
        </w:rPr>
        <w:tab/>
      </w:r>
      <w:r w:rsidRPr="004E0235">
        <w:rPr>
          <w:rFonts w:ascii="Courier New" w:eastAsia="Batang" w:hAnsi="Courier New"/>
          <w:snapToGrid w:val="0"/>
          <w:sz w:val="16"/>
          <w:lang w:val="pt-BR" w:eastAsia="sv-SE"/>
        </w:rPr>
        <w:tab/>
      </w:r>
      <w:r w:rsidRPr="004E0235">
        <w:rPr>
          <w:rFonts w:ascii="Courier New" w:eastAsia="Batang" w:hAnsi="Courier New"/>
          <w:snapToGrid w:val="0"/>
          <w:sz w:val="16"/>
          <w:lang w:val="pt-BR" w:eastAsia="sv-SE"/>
        </w:rPr>
        <w:tab/>
      </w:r>
      <w:r w:rsidRPr="004E0235">
        <w:rPr>
          <w:rFonts w:ascii="Courier New" w:eastAsia="Batang" w:hAnsi="Courier New"/>
          <w:snapToGrid w:val="0"/>
          <w:sz w:val="16"/>
          <w:lang w:val="pt-BR" w:eastAsia="sv-SE"/>
        </w:rPr>
        <w:tab/>
        <w:t>INTEGER (0..100)</w:t>
      </w:r>
    </w:p>
    <w:p w14:paraId="7BB0DB20" w14:textId="77777777" w:rsidR="002023E3" w:rsidRPr="004E0235" w:rsidRDefault="002023E3" w:rsidP="003A7D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0" w:line="276" w:lineRule="auto"/>
        <w:rPr>
          <w:rFonts w:ascii="Courier New" w:eastAsia="Batang" w:hAnsi="Courier New"/>
          <w:sz w:val="16"/>
          <w:lang w:eastAsia="sv-SE"/>
        </w:rPr>
      </w:pPr>
      <w:r w:rsidRPr="004E0235">
        <w:rPr>
          <w:rFonts w:ascii="Courier New" w:eastAsia="Batang" w:hAnsi="Courier New"/>
          <w:sz w:val="16"/>
          <w:lang w:eastAsia="sv-SE"/>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023E3" w:rsidRPr="004E0235" w14:paraId="55FA981A" w14:textId="77777777" w:rsidTr="00E23977">
        <w:trPr>
          <w:tblHeader/>
        </w:trPr>
        <w:tc>
          <w:tcPr>
            <w:tcW w:w="9639" w:type="dxa"/>
          </w:tcPr>
          <w:p w14:paraId="4AD364DE" w14:textId="77777777" w:rsidR="002023E3" w:rsidRPr="004E0235" w:rsidRDefault="002023E3" w:rsidP="003A7D8E">
            <w:pPr>
              <w:keepNext/>
              <w:keepLines/>
              <w:suppressAutoHyphens/>
              <w:spacing w:after="0" w:line="276" w:lineRule="auto"/>
              <w:rPr>
                <w:rFonts w:eastAsia="DengXian" w:cs="DengXian"/>
                <w:b/>
                <w:i/>
                <w:sz w:val="18"/>
                <w:lang w:eastAsia="zh-CN"/>
              </w:rPr>
            </w:pPr>
            <w:proofErr w:type="spellStart"/>
            <w:r w:rsidRPr="004E0235">
              <w:rPr>
                <w:rFonts w:eastAsia="DengXian" w:cs="DengXian"/>
                <w:b/>
                <w:i/>
                <w:sz w:val="18"/>
                <w:lang w:eastAsia="zh-CN"/>
              </w:rPr>
              <w:lastRenderedPageBreak/>
              <w:t>locationUNC</w:t>
            </w:r>
            <w:proofErr w:type="spellEnd"/>
          </w:p>
          <w:p w14:paraId="2AD1776F" w14:textId="77777777" w:rsidR="002023E3" w:rsidRPr="004E0235" w:rsidRDefault="002023E3" w:rsidP="003A7D8E">
            <w:pPr>
              <w:keepNext/>
              <w:keepLines/>
              <w:suppressAutoHyphens/>
              <w:spacing w:after="0" w:line="276" w:lineRule="auto"/>
              <w:rPr>
                <w:rFonts w:eastAsia="DengXian" w:cs="DengXian"/>
                <w:sz w:val="18"/>
                <w:lang w:eastAsia="zh-CN"/>
              </w:rPr>
            </w:pPr>
            <w:r w:rsidRPr="004E0235">
              <w:rPr>
                <w:rFonts w:eastAsia="DengXian" w:cs="DengXian"/>
                <w:sz w:val="18"/>
                <w:lang w:eastAsia="zh-CN"/>
              </w:rPr>
              <w:t>This field specifies the uncertainty of the location coordinates and comprises the following sub-fields:</w:t>
            </w:r>
          </w:p>
          <w:p w14:paraId="40DFAE8C" w14:textId="77777777" w:rsidR="002023E3" w:rsidRPr="00F84F2B" w:rsidRDefault="002023E3" w:rsidP="003A7D8E">
            <w:pPr>
              <w:suppressAutoHyphens/>
              <w:spacing w:after="0" w:line="276" w:lineRule="auto"/>
              <w:ind w:left="568" w:hanging="284"/>
              <w:rPr>
                <w:rFonts w:eastAsia="DengXian" w:cs="Arial"/>
                <w:color w:val="FF0000"/>
                <w:sz w:val="18"/>
                <w:szCs w:val="18"/>
                <w:lang w:eastAsia="zh-CN"/>
              </w:rPr>
            </w:pPr>
            <w:r w:rsidRPr="004E0235">
              <w:rPr>
                <w:rFonts w:eastAsia="DengXian" w:cs="Arial"/>
                <w:sz w:val="18"/>
                <w:szCs w:val="18"/>
                <w:lang w:eastAsia="zh-CN"/>
              </w:rPr>
              <w:t>-</w:t>
            </w:r>
            <w:r w:rsidRPr="004E0235">
              <w:rPr>
                <w:rFonts w:eastAsia="DengXian" w:cs="Arial"/>
                <w:snapToGrid w:val="0"/>
                <w:sz w:val="18"/>
                <w:szCs w:val="18"/>
                <w:lang w:eastAsia="zh-CN"/>
              </w:rPr>
              <w:tab/>
            </w:r>
            <w:proofErr w:type="spellStart"/>
            <w:r w:rsidRPr="009C30A2">
              <w:rPr>
                <w:rFonts w:eastAsia="DengXian" w:cs="Arial"/>
                <w:b/>
                <w:i/>
                <w:snapToGrid w:val="0"/>
                <w:color w:val="FF0000"/>
                <w:sz w:val="18"/>
                <w:szCs w:val="18"/>
                <w:lang w:eastAsia="zh-CN"/>
              </w:rPr>
              <w:t>horizontalUncertainty</w:t>
            </w:r>
            <w:proofErr w:type="spellEnd"/>
            <w:r w:rsidRPr="009C30A2">
              <w:rPr>
                <w:rFonts w:eastAsia="DengXian" w:cs="Arial"/>
                <w:snapToGrid w:val="0"/>
                <w:color w:val="FF0000"/>
                <w:sz w:val="18"/>
                <w:szCs w:val="18"/>
                <w:lang w:eastAsia="zh-CN"/>
              </w:rPr>
              <w:t xml:space="preserve"> indicates the horizontal uncertainty of the </w:t>
            </w:r>
            <w:r w:rsidRPr="009C30A2">
              <w:rPr>
                <w:rFonts w:eastAsia="DengXian" w:cs="Arial"/>
                <w:snapToGrid w:val="0"/>
                <w:color w:val="FF0000"/>
                <w:sz w:val="18"/>
                <w:szCs w:val="18"/>
                <w:highlight w:val="darkGray"/>
                <w:lang w:eastAsia="zh-CN"/>
              </w:rPr>
              <w:t>ARP</w:t>
            </w:r>
            <w:r w:rsidRPr="009C30A2">
              <w:rPr>
                <w:rFonts w:eastAsia="DengXian" w:cs="Arial"/>
                <w:snapToGrid w:val="0"/>
                <w:color w:val="FF0000"/>
                <w:sz w:val="18"/>
                <w:szCs w:val="18"/>
                <w:lang w:eastAsia="zh-CN"/>
              </w:rPr>
              <w:t xml:space="preserve"> latitude/longitude. </w:t>
            </w:r>
            <w:r w:rsidRPr="009C30A2">
              <w:rPr>
                <w:rFonts w:eastAsia="DengXian" w:cs="Arial"/>
                <w:color w:val="FF0000"/>
                <w:sz w:val="18"/>
                <w:szCs w:val="18"/>
                <w:lang w:eastAsia="zh-CN"/>
              </w:rPr>
              <w:t>The ′</w:t>
            </w:r>
            <w:proofErr w:type="spellStart"/>
            <w:r w:rsidRPr="009C30A2">
              <w:rPr>
                <w:rFonts w:eastAsia="DengXian" w:cs="Arial"/>
                <w:i/>
                <w:color w:val="FF0000"/>
                <w:sz w:val="18"/>
                <w:szCs w:val="18"/>
                <w:lang w:eastAsia="zh-CN"/>
              </w:rPr>
              <w:t>horizontalUncertainty</w:t>
            </w:r>
            <w:proofErr w:type="spellEnd"/>
            <w:r w:rsidRPr="009C30A2">
              <w:rPr>
                <w:rFonts w:eastAsia="DengXian" w:cs="Arial"/>
                <w:color w:val="FF0000"/>
                <w:sz w:val="18"/>
                <w:szCs w:val="18"/>
                <w:lang w:eastAsia="zh-CN"/>
              </w:rPr>
              <w:t xml:space="preserve">′ corresponds to the encoded high accuracy uncertainty as defined in TS 23.032 </w:t>
            </w:r>
            <w:r w:rsidRPr="00F84F2B">
              <w:rPr>
                <w:rFonts w:eastAsia="DengXian" w:cs="Arial"/>
                <w:color w:val="FF0000"/>
                <w:sz w:val="18"/>
                <w:szCs w:val="18"/>
                <w:lang w:eastAsia="zh-CN"/>
              </w:rPr>
              <w:t xml:space="preserve">[15] and </w:t>
            </w:r>
            <w:r w:rsidRPr="00F84F2B">
              <w:rPr>
                <w:rFonts w:eastAsia="DengXian" w:cs="Arial" w:hint="eastAsia"/>
                <w:color w:val="FF0000"/>
                <w:sz w:val="18"/>
                <w:szCs w:val="18"/>
                <w:lang w:eastAsia="zh-CN"/>
              </w:rPr>
              <w:t>′</w:t>
            </w:r>
            <w:proofErr w:type="spellStart"/>
            <w:r w:rsidRPr="00F84F2B">
              <w:rPr>
                <w:rFonts w:eastAsia="DengXian" w:cs="Arial"/>
                <w:i/>
                <w:color w:val="FF0000"/>
                <w:sz w:val="18"/>
                <w:szCs w:val="18"/>
                <w:lang w:eastAsia="zh-CN"/>
              </w:rPr>
              <w:t>horizontalConfidence</w:t>
            </w:r>
            <w:proofErr w:type="spellEnd"/>
            <w:r w:rsidRPr="00F84F2B">
              <w:rPr>
                <w:rFonts w:eastAsia="DengXian" w:cs="Arial" w:hint="eastAsia"/>
                <w:color w:val="FF0000"/>
                <w:sz w:val="18"/>
                <w:szCs w:val="18"/>
                <w:lang w:eastAsia="zh-CN"/>
              </w:rPr>
              <w:t>′</w:t>
            </w:r>
            <w:r w:rsidRPr="00F84F2B">
              <w:rPr>
                <w:rFonts w:eastAsia="DengXian" w:cs="Arial"/>
                <w:color w:val="FF0000"/>
                <w:sz w:val="18"/>
                <w:szCs w:val="18"/>
                <w:lang w:eastAsia="zh-CN"/>
              </w:rPr>
              <w:t xml:space="preserve"> corresponds to confidence as defined in TS 23.032 [15].</w:t>
            </w:r>
          </w:p>
          <w:p w14:paraId="603806CD" w14:textId="77777777" w:rsidR="002023E3" w:rsidRPr="00F84F2B" w:rsidRDefault="002023E3" w:rsidP="003A7D8E">
            <w:pPr>
              <w:suppressAutoHyphens/>
              <w:spacing w:after="0" w:line="276" w:lineRule="auto"/>
              <w:ind w:left="568" w:hanging="284"/>
              <w:rPr>
                <w:rFonts w:eastAsia="DengXian" w:cs="Arial"/>
                <w:color w:val="FF0000"/>
                <w:sz w:val="18"/>
                <w:szCs w:val="18"/>
                <w:lang w:eastAsia="zh-CN"/>
              </w:rPr>
            </w:pPr>
            <w:r w:rsidRPr="00F84F2B">
              <w:rPr>
                <w:rFonts w:eastAsia="DengXian" w:cs="Arial"/>
                <w:snapToGrid w:val="0"/>
                <w:color w:val="FF0000"/>
                <w:sz w:val="18"/>
                <w:szCs w:val="18"/>
                <w:lang w:eastAsia="zh-CN"/>
              </w:rPr>
              <w:t>-</w:t>
            </w:r>
            <w:r w:rsidRPr="00F84F2B">
              <w:rPr>
                <w:rFonts w:eastAsia="DengXian" w:cs="Arial"/>
                <w:snapToGrid w:val="0"/>
                <w:color w:val="FF0000"/>
                <w:sz w:val="18"/>
                <w:szCs w:val="18"/>
                <w:lang w:eastAsia="zh-CN"/>
              </w:rPr>
              <w:tab/>
            </w:r>
            <w:proofErr w:type="spellStart"/>
            <w:r w:rsidRPr="00FB561B">
              <w:rPr>
                <w:rFonts w:eastAsia="DengXian" w:cs="Arial"/>
                <w:b/>
                <w:i/>
                <w:snapToGrid w:val="0"/>
                <w:color w:val="FF0000"/>
                <w:sz w:val="18"/>
                <w:szCs w:val="18"/>
                <w:lang w:eastAsia="zh-CN"/>
              </w:rPr>
              <w:t>verticalUncertainty</w:t>
            </w:r>
            <w:proofErr w:type="spellEnd"/>
            <w:r w:rsidRPr="00FB561B">
              <w:rPr>
                <w:rFonts w:eastAsia="DengXian" w:cs="Arial"/>
                <w:snapToGrid w:val="0"/>
                <w:color w:val="FF0000"/>
                <w:sz w:val="18"/>
                <w:szCs w:val="18"/>
                <w:lang w:eastAsia="zh-CN"/>
              </w:rPr>
              <w:t xml:space="preserve"> indicates the vertical uncertainty of the </w:t>
            </w:r>
            <w:r w:rsidRPr="00FB561B">
              <w:rPr>
                <w:rFonts w:eastAsia="DengXian" w:cs="Arial"/>
                <w:snapToGrid w:val="0"/>
                <w:color w:val="FF0000"/>
                <w:sz w:val="18"/>
                <w:szCs w:val="18"/>
                <w:highlight w:val="darkGray"/>
                <w:lang w:eastAsia="zh-CN"/>
              </w:rPr>
              <w:t>ARP</w:t>
            </w:r>
            <w:r w:rsidRPr="00FB561B">
              <w:rPr>
                <w:rFonts w:eastAsia="DengXian" w:cs="Arial"/>
                <w:snapToGrid w:val="0"/>
                <w:color w:val="FF0000"/>
                <w:sz w:val="18"/>
                <w:szCs w:val="18"/>
                <w:lang w:eastAsia="zh-CN"/>
              </w:rPr>
              <w:t xml:space="preserve"> altitude. </w:t>
            </w:r>
            <w:r w:rsidRPr="00FB561B">
              <w:rPr>
                <w:rFonts w:eastAsia="DengXian" w:cs="Arial"/>
                <w:color w:val="FF0000"/>
                <w:sz w:val="18"/>
                <w:szCs w:val="18"/>
                <w:lang w:eastAsia="zh-CN"/>
              </w:rPr>
              <w:t>The ‘</w:t>
            </w:r>
            <w:proofErr w:type="spellStart"/>
            <w:r w:rsidRPr="00FB561B">
              <w:rPr>
                <w:rFonts w:eastAsia="DengXian" w:cs="Arial"/>
                <w:i/>
                <w:color w:val="FF0000"/>
                <w:sz w:val="18"/>
                <w:szCs w:val="18"/>
                <w:lang w:eastAsia="zh-CN"/>
              </w:rPr>
              <w:t>verticalUncertainty</w:t>
            </w:r>
            <w:proofErr w:type="spellEnd"/>
            <w:r w:rsidRPr="00FB561B">
              <w:rPr>
                <w:rFonts w:eastAsia="DengXian" w:cs="Arial"/>
                <w:color w:val="FF0000"/>
                <w:sz w:val="18"/>
                <w:szCs w:val="18"/>
                <w:lang w:eastAsia="zh-CN"/>
              </w:rPr>
              <w:t xml:space="preserve">’ corresponds to the encoded high accuracy uncertainty as defined in TS 23.032 </w:t>
            </w:r>
            <w:r w:rsidRPr="00F84F2B">
              <w:rPr>
                <w:rFonts w:eastAsia="DengXian" w:cs="Arial"/>
                <w:color w:val="FF0000"/>
                <w:sz w:val="18"/>
                <w:szCs w:val="18"/>
                <w:lang w:eastAsia="zh-CN"/>
              </w:rPr>
              <w:t>[15] and ‘</w:t>
            </w:r>
            <w:proofErr w:type="spellStart"/>
            <w:r w:rsidRPr="00F84F2B">
              <w:rPr>
                <w:rFonts w:eastAsia="DengXian" w:cs="Arial"/>
                <w:i/>
                <w:color w:val="FF0000"/>
                <w:sz w:val="18"/>
                <w:szCs w:val="18"/>
                <w:lang w:eastAsia="zh-CN"/>
              </w:rPr>
              <w:t>verticalConfidence</w:t>
            </w:r>
            <w:proofErr w:type="spellEnd"/>
            <w:r w:rsidRPr="00F84F2B">
              <w:rPr>
                <w:rFonts w:eastAsia="DengXian" w:cs="Arial"/>
                <w:color w:val="FF0000"/>
                <w:sz w:val="18"/>
                <w:szCs w:val="18"/>
                <w:lang w:eastAsia="zh-CN"/>
              </w:rPr>
              <w:t>’ corresponds to confidence as defined in TS 23.032 [15].</w:t>
            </w:r>
          </w:p>
          <w:p w14:paraId="6069CD6C" w14:textId="77777777" w:rsidR="002023E3" w:rsidRPr="004E0235" w:rsidRDefault="002023E3" w:rsidP="003A7D8E">
            <w:pPr>
              <w:keepNext/>
              <w:keepLines/>
              <w:suppressAutoHyphens/>
              <w:spacing w:after="0" w:line="276" w:lineRule="auto"/>
              <w:rPr>
                <w:rFonts w:eastAsia="DengXian" w:cs="DengXian"/>
                <w:sz w:val="18"/>
                <w:lang w:val="zh-CN" w:eastAsia="zh-CN"/>
              </w:rPr>
            </w:pPr>
            <w:r w:rsidRPr="004E0235">
              <w:rPr>
                <w:rFonts w:eastAsia="DengXian" w:cs="DengXian"/>
                <w:sz w:val="18"/>
                <w:lang w:val="zh-CN" w:eastAsia="zh-CN"/>
              </w:rPr>
              <w:t>If this field is absent, the uncertainty is the same as for the associated reference point location.</w:t>
            </w:r>
          </w:p>
        </w:tc>
      </w:tr>
    </w:tbl>
    <w:p w14:paraId="09A9FE8E" w14:textId="77777777" w:rsidR="002023E3" w:rsidRDefault="002023E3" w:rsidP="002023E3">
      <w:pPr>
        <w:suppressAutoHyphens/>
        <w:spacing w:line="276" w:lineRule="auto"/>
        <w:rPr>
          <w:rFonts w:eastAsia="DengXian" w:cs="DengXian"/>
          <w:lang w:eastAsia="zh-CN"/>
        </w:rPr>
      </w:pPr>
    </w:p>
    <w:p w14:paraId="238A830F" w14:textId="44E9318A" w:rsidR="00AE0323" w:rsidRDefault="008A0835" w:rsidP="00DA7485">
      <w:pPr>
        <w:tabs>
          <w:tab w:val="left" w:pos="2123"/>
        </w:tabs>
      </w:pPr>
      <w:r>
        <w:t xml:space="preserve">For horizontal and vertical uncertainty, the value range of </w:t>
      </w:r>
      <w:r w:rsidRPr="008A0835">
        <w:t>(</w:t>
      </w:r>
      <w:proofErr w:type="gramStart"/>
      <w:r w:rsidRPr="008A0835">
        <w:t>0..</w:t>
      </w:r>
      <w:proofErr w:type="gramEnd"/>
      <w:r w:rsidRPr="008A0835">
        <w:t>255)</w:t>
      </w:r>
      <w:r>
        <w:t xml:space="preserve"> indicate a location error range between 0 and 46.49129 </w:t>
      </w:r>
      <w:proofErr w:type="spellStart"/>
      <w:r>
        <w:t>metres</w:t>
      </w:r>
      <w:proofErr w:type="spellEnd"/>
      <w:r>
        <w:t>, with the smallest indicated value of 6 millimeters</w:t>
      </w:r>
      <w:r w:rsidR="009C30A2">
        <w:t>, see Appendix A</w:t>
      </w:r>
      <w:r>
        <w:t xml:space="preserve">. In our view, the existing </w:t>
      </w:r>
      <w:r w:rsidRPr="008A0835">
        <w:rPr>
          <w:i/>
          <w:iCs/>
        </w:rPr>
        <w:t xml:space="preserve">horizontalUncertainty-r16 </w:t>
      </w:r>
      <w:r>
        <w:t xml:space="preserve">and </w:t>
      </w:r>
      <w:r w:rsidRPr="008A0835">
        <w:rPr>
          <w:i/>
          <w:iCs/>
          <w:lang w:val="pt-BR"/>
        </w:rPr>
        <w:t>verticalUncertainty-r16</w:t>
      </w:r>
      <w:r w:rsidR="003F20DC">
        <w:rPr>
          <w:lang w:val="pt-BR"/>
        </w:rPr>
        <w:t>, and their corresponding confidence,</w:t>
      </w:r>
      <w:r>
        <w:t xml:space="preserve"> can be </w:t>
      </w:r>
      <w:r w:rsidR="006C7A08">
        <w:t>re</w:t>
      </w:r>
      <w:r>
        <w:t xml:space="preserve">used to indicate the UE location quality for labels, including </w:t>
      </w:r>
      <w:r w:rsidRPr="008A0835">
        <w:t>the encoded high accuracy uncertainty as defined in TS 23.032</w:t>
      </w:r>
      <w:r>
        <w:t>. The definition of the fields would naturally clarify that the uncertainty values are for UE location (PRU or non-PRU UE), instead of ARP.</w:t>
      </w:r>
    </w:p>
    <w:p w14:paraId="46469768" w14:textId="530D6FAD" w:rsidR="009C30A2" w:rsidRDefault="009C30A2" w:rsidP="00DA7485">
      <w:pPr>
        <w:tabs>
          <w:tab w:val="left" w:pos="2123"/>
        </w:tabs>
      </w:pPr>
      <w:r>
        <w:t>Addition</w:t>
      </w:r>
      <w:r w:rsidR="00E978FC">
        <w:t xml:space="preserve">ally, one question is whether the label quality should be provided differently depending on model output, for example, timing information (UL RTOA) for assisted positioning or UE location for direct positioning. </w:t>
      </w:r>
      <w:r w:rsidR="00AD0B6E">
        <w:t>As explained earlier, i</w:t>
      </w:r>
      <w:r w:rsidR="00E978FC">
        <w:t xml:space="preserve">n our view, the training dataset is agnostic of the model architecture and model training methodology. Thus, </w:t>
      </w:r>
      <w:r w:rsidR="005D5E5C">
        <w:t xml:space="preserve">for </w:t>
      </w:r>
      <w:r w:rsidR="00E978FC">
        <w:t xml:space="preserve">the </w:t>
      </w:r>
      <w:r w:rsidR="005D5E5C">
        <w:t xml:space="preserve">purpose of training data collection, label quality only needs to be recorded as UE location error in meters. If the model training entity has a need of a quality of an intermediate metric (e.g., UL RTOA), then </w:t>
      </w:r>
      <w:r w:rsidR="00B50F85">
        <w:t xml:space="preserve">such quality can be calculated using the UE location error in meters. Such procedure is out of scope for RAN1 standardization in our view. </w:t>
      </w:r>
    </w:p>
    <w:p w14:paraId="63E8F993" w14:textId="162A144F" w:rsidR="00B67C8F" w:rsidRDefault="00B67C8F" w:rsidP="00B67C8F">
      <w:pPr>
        <w:tabs>
          <w:tab w:val="left" w:pos="2123"/>
        </w:tabs>
      </w:pPr>
      <w:r>
        <w:t xml:space="preserve">Hence, keeping legacy quality metrics is preferable. We support Option 1, and don’t support Option 2.  </w:t>
      </w:r>
      <w:r w:rsidR="00AD0B6E">
        <w:t>The following proposal discussed in RAN1#119 can be revised and supported.</w:t>
      </w:r>
    </w:p>
    <w:tbl>
      <w:tblPr>
        <w:tblStyle w:val="TableGrid"/>
        <w:tblW w:w="0" w:type="auto"/>
        <w:tblLook w:val="04A0" w:firstRow="1" w:lastRow="0" w:firstColumn="1" w:lastColumn="0" w:noHBand="0" w:noVBand="1"/>
      </w:tblPr>
      <w:tblGrid>
        <w:gridCol w:w="9962"/>
      </w:tblGrid>
      <w:tr w:rsidR="00AD0B6E" w:rsidRPr="00AD0B6E" w14:paraId="0BBFBAAB" w14:textId="77777777" w:rsidTr="00AD0B6E">
        <w:tc>
          <w:tcPr>
            <w:tcW w:w="9962" w:type="dxa"/>
          </w:tcPr>
          <w:p w14:paraId="51804177" w14:textId="3392C99C" w:rsidR="00AD0B6E" w:rsidRPr="00F84F2B" w:rsidRDefault="00AD0B6E" w:rsidP="00AD0B6E">
            <w:pPr>
              <w:rPr>
                <w:b/>
                <w:bCs/>
                <w:sz w:val="20"/>
                <w:szCs w:val="20"/>
                <w:u w:val="single"/>
              </w:rPr>
            </w:pPr>
            <w:r w:rsidRPr="00F84F2B">
              <w:rPr>
                <w:b/>
                <w:bCs/>
                <w:szCs w:val="20"/>
                <w:u w:val="single"/>
              </w:rPr>
              <w:t>Proposal 4.1.4-2</w:t>
            </w:r>
            <w:r>
              <w:rPr>
                <w:b/>
                <w:bCs/>
                <w:sz w:val="20"/>
                <w:szCs w:val="20"/>
                <w:u w:val="single"/>
              </w:rPr>
              <w:t xml:space="preserve"> (RAN1#119)</w:t>
            </w:r>
          </w:p>
          <w:p w14:paraId="405C5F07" w14:textId="77777777" w:rsidR="00AD0B6E" w:rsidRPr="00F84F2B" w:rsidRDefault="00AD0B6E" w:rsidP="00AD0B6E">
            <w:pPr>
              <w:rPr>
                <w:sz w:val="20"/>
                <w:szCs w:val="20"/>
              </w:rPr>
            </w:pPr>
            <w:r w:rsidRPr="00B53CFF">
              <w:rPr>
                <w:szCs w:val="20"/>
              </w:rPr>
              <w:t xml:space="preserve">For AI/ML based positioning, when </w:t>
            </w:r>
            <w:r w:rsidRPr="00F84F2B">
              <w:rPr>
                <w:szCs w:val="20"/>
              </w:rPr>
              <w:t xml:space="preserve">label is UE location </w:t>
            </w:r>
            <w:r w:rsidRPr="00B53CFF">
              <w:rPr>
                <w:szCs w:val="20"/>
              </w:rPr>
              <w:t xml:space="preserve">and reported </w:t>
            </w:r>
            <w:r w:rsidRPr="00F84F2B">
              <w:rPr>
                <w:szCs w:val="20"/>
              </w:rPr>
              <w:t>(e.g., LMF to UE over LPP)</w:t>
            </w:r>
            <w:r w:rsidRPr="00B53CFF">
              <w:rPr>
                <w:szCs w:val="20"/>
              </w:rPr>
              <w:t xml:space="preserve">, label and quality indicator of label are provided by reusing existing IE. </w:t>
            </w:r>
          </w:p>
          <w:p w14:paraId="3E277BA8" w14:textId="4C99BA10" w:rsidR="00AD0B6E" w:rsidRPr="00F84F2B" w:rsidRDefault="00AD0B6E" w:rsidP="00F84F2B">
            <w:pPr>
              <w:pStyle w:val="ListParagraph"/>
              <w:widowControl w:val="0"/>
              <w:numPr>
                <w:ilvl w:val="0"/>
                <w:numId w:val="97"/>
              </w:numPr>
              <w:tabs>
                <w:tab w:val="left" w:pos="720"/>
              </w:tabs>
              <w:spacing w:after="80"/>
              <w:rPr>
                <w:sz w:val="20"/>
              </w:rPr>
            </w:pPr>
            <w:r w:rsidRPr="00F84F2B">
              <w:t xml:space="preserve">From RAN1 perspective, the existing IE can </w:t>
            </w:r>
            <w:r w:rsidRPr="00F84F2B">
              <w:rPr>
                <w:bCs/>
                <w:iCs/>
              </w:rPr>
              <w:t>use one of the geographic shapes defined in TS 23.032. The uncertainty and confidence serve as quality indicator of the label.</w:t>
            </w:r>
          </w:p>
        </w:tc>
      </w:tr>
    </w:tbl>
    <w:p w14:paraId="08CFFBB1" w14:textId="77777777" w:rsidR="00AD0B6E" w:rsidRDefault="00AD0B6E" w:rsidP="00B67C8F">
      <w:pPr>
        <w:tabs>
          <w:tab w:val="left" w:pos="2123"/>
        </w:tabs>
      </w:pPr>
    </w:p>
    <w:p w14:paraId="2C67C876" w14:textId="46B7A618" w:rsidR="00535693" w:rsidRDefault="00535693" w:rsidP="00DA7485">
      <w:pPr>
        <w:tabs>
          <w:tab w:val="left" w:pos="2123"/>
        </w:tabs>
      </w:pPr>
    </w:p>
    <w:p w14:paraId="4E714AE3" w14:textId="4095EBDF" w:rsidR="00B50F85" w:rsidRDefault="00B50F85" w:rsidP="00DA7485">
      <w:pPr>
        <w:pStyle w:val="Proposal"/>
      </w:pPr>
      <w:bookmarkStart w:id="2165" w:name="_Toc189845143"/>
      <w:r>
        <w:t xml:space="preserve">From RAN1 perspective, the same label (UE location) and label quality (UE location uncertainty) are collected, irrespective of the type of model </w:t>
      </w:r>
      <w:r w:rsidR="001E03F7">
        <w:t xml:space="preserve">architecture </w:t>
      </w:r>
      <w:r>
        <w:t>(e.g., assisted or direct positioning) that may be selected by the model training entity.</w:t>
      </w:r>
      <w:bookmarkEnd w:id="2165"/>
      <w:r>
        <w:t xml:space="preserve"> </w:t>
      </w:r>
    </w:p>
    <w:p w14:paraId="60D8DECD" w14:textId="4D6751F7" w:rsidR="00AD0B6E" w:rsidRDefault="009C30A2" w:rsidP="00AD0B6E">
      <w:pPr>
        <w:pStyle w:val="Proposal"/>
      </w:pPr>
      <w:bookmarkStart w:id="2166" w:name="_Toc189845144"/>
      <w:r>
        <w:lastRenderedPageBreak/>
        <w:t>F</w:t>
      </w:r>
      <w:r w:rsidR="00DA7485" w:rsidRPr="00405120">
        <w:t xml:space="preserve">or </w:t>
      </w:r>
      <w:r>
        <w:t xml:space="preserve">training </w:t>
      </w:r>
      <w:r w:rsidR="00DA7485" w:rsidRPr="00405120">
        <w:t>data collection</w:t>
      </w:r>
      <w:r>
        <w:t>,</w:t>
      </w:r>
      <w:r w:rsidR="00DA7485" w:rsidRPr="00405120">
        <w:t xml:space="preserve"> </w:t>
      </w:r>
      <w:r w:rsidR="00DA7485">
        <w:t xml:space="preserve">the label quality for </w:t>
      </w:r>
      <w:r>
        <w:t>P</w:t>
      </w:r>
      <w:r w:rsidR="00DA7485">
        <w:t>art B</w:t>
      </w:r>
      <w:r w:rsidR="00DA7485" w:rsidRPr="00405120">
        <w:t xml:space="preserve"> </w:t>
      </w:r>
      <w:r w:rsidR="00DA7485">
        <w:t xml:space="preserve">reuse the </w:t>
      </w:r>
      <w:r>
        <w:t xml:space="preserve">existing </w:t>
      </w:r>
      <w:r w:rsidR="00AD0B6E">
        <w:t xml:space="preserve">IEs </w:t>
      </w:r>
      <w:r w:rsidR="004304F3">
        <w:t>for indicating UE location</w:t>
      </w:r>
      <w:r w:rsidR="00AD0B6E">
        <w:t xml:space="preserve"> quality. </w:t>
      </w:r>
      <w:r w:rsidR="00AD0B6E" w:rsidRPr="00AD0B6E">
        <w:t>From RAN1 perspective, the existing IE can use one of the geographic shapes defined in TS 23.032. The uncertainty and confidence serve as quality indicator of the label.</w:t>
      </w:r>
      <w:bookmarkEnd w:id="2166"/>
      <w:r w:rsidR="00AD0B6E">
        <w:t xml:space="preserve"> </w:t>
      </w:r>
    </w:p>
    <w:p w14:paraId="04F5A2C2" w14:textId="549512C7" w:rsidR="7F058262" w:rsidRDefault="7F058262" w:rsidP="00CE21AB">
      <w:pPr>
        <w:pStyle w:val="Proposal"/>
        <w:numPr>
          <w:ilvl w:val="0"/>
          <w:numId w:val="0"/>
        </w:numPr>
      </w:pPr>
    </w:p>
    <w:p w14:paraId="684D9A24" w14:textId="4DB40F77" w:rsidR="00DA7485" w:rsidRDefault="00EF1E8C" w:rsidP="00DA7485">
      <w:pPr>
        <w:pStyle w:val="Heading3"/>
      </w:pPr>
      <w:bookmarkStart w:id="2167" w:name="_Toc189845036"/>
      <w:r>
        <w:t>Pairing of Part A and Part B in data collection</w:t>
      </w:r>
      <w:bookmarkEnd w:id="2167"/>
      <w:r w:rsidR="00BD277C">
        <w:t xml:space="preserve"> </w:t>
      </w:r>
    </w:p>
    <w:p w14:paraId="474FFDF1" w14:textId="30A65D9F" w:rsidR="00C2045F" w:rsidRDefault="00C2045F" w:rsidP="00DA7485">
      <w:r>
        <w:t>During RAN1#119, sever</w:t>
      </w:r>
      <w:r w:rsidR="00226B54">
        <w:t>al</w:t>
      </w:r>
      <w:r>
        <w:t xml:space="preserve"> companies brought forward the issue of pairing part A and part B. </w:t>
      </w:r>
      <w:r w:rsidR="00F06A96">
        <w:t>Correspondingly, P</w:t>
      </w:r>
      <w:r>
        <w:t>roposal</w:t>
      </w:r>
      <w:r w:rsidR="00F06A96">
        <w:t>s</w:t>
      </w:r>
      <w:r>
        <w:t xml:space="preserve"> </w:t>
      </w:r>
      <w:r w:rsidR="00F06A96">
        <w:t>were drafted to discuss this issue in RAN1#119</w:t>
      </w:r>
      <w:r>
        <w:t>:</w:t>
      </w:r>
    </w:p>
    <w:tbl>
      <w:tblPr>
        <w:tblStyle w:val="TableGrid"/>
        <w:tblW w:w="0" w:type="auto"/>
        <w:tblLook w:val="04A0" w:firstRow="1" w:lastRow="0" w:firstColumn="1" w:lastColumn="0" w:noHBand="0" w:noVBand="1"/>
      </w:tblPr>
      <w:tblGrid>
        <w:gridCol w:w="9962"/>
      </w:tblGrid>
      <w:tr w:rsidR="00052E1A" w:rsidRPr="00226B54" w14:paraId="116A4749" w14:textId="77777777" w:rsidTr="00052E1A">
        <w:tc>
          <w:tcPr>
            <w:tcW w:w="9962" w:type="dxa"/>
          </w:tcPr>
          <w:p w14:paraId="7EB0C0E3" w14:textId="77777777" w:rsidR="00052E1A" w:rsidRPr="00B73B76" w:rsidRDefault="00052E1A" w:rsidP="00990885">
            <w:pPr>
              <w:spacing w:after="0"/>
              <w:rPr>
                <w:b/>
                <w:bCs/>
                <w:sz w:val="20"/>
                <w:szCs w:val="20"/>
                <w:u w:val="single"/>
              </w:rPr>
            </w:pPr>
            <w:r w:rsidRPr="00B73B76">
              <w:rPr>
                <w:b/>
                <w:bCs/>
                <w:szCs w:val="20"/>
                <w:u w:val="single"/>
              </w:rPr>
              <w:t>Proposal 4.4.2-1</w:t>
            </w:r>
          </w:p>
          <w:p w14:paraId="5DE4CFE8" w14:textId="77777777" w:rsidR="00052E1A" w:rsidRPr="00B73B76" w:rsidRDefault="00052E1A" w:rsidP="00990885">
            <w:pPr>
              <w:spacing w:after="0"/>
              <w:rPr>
                <w:sz w:val="20"/>
                <w:szCs w:val="20"/>
              </w:rPr>
            </w:pPr>
            <w:r w:rsidRPr="00B73B76">
              <w:rPr>
                <w:szCs w:val="20"/>
              </w:rPr>
              <w:t>For training data collection of AI/ML based positioning, if Part A and Part B are generated by the same entity, the paired Part A and Part B are provided in one report.</w:t>
            </w:r>
          </w:p>
          <w:p w14:paraId="2E08D278" w14:textId="77777777" w:rsidR="00052E1A" w:rsidRPr="00B73B76" w:rsidRDefault="00052E1A" w:rsidP="00990885">
            <w:pPr>
              <w:pStyle w:val="ListParagraph"/>
              <w:widowControl w:val="0"/>
              <w:numPr>
                <w:ilvl w:val="0"/>
                <w:numId w:val="97"/>
              </w:numPr>
              <w:tabs>
                <w:tab w:val="left" w:pos="720"/>
              </w:tabs>
              <w:rPr>
                <w:sz w:val="20"/>
              </w:rPr>
            </w:pPr>
            <w:r w:rsidRPr="00B73B76">
              <w:t>If multiple entries of Part A and Part B are reported, the Part A entry and the corresponding Part B entry are grouped in a pair for reporting.</w:t>
            </w:r>
          </w:p>
          <w:p w14:paraId="237F219C" w14:textId="77777777" w:rsidR="00052E1A" w:rsidRPr="00B73B76" w:rsidRDefault="00052E1A" w:rsidP="00990885">
            <w:pPr>
              <w:pStyle w:val="ListParagraph"/>
              <w:widowControl w:val="0"/>
              <w:numPr>
                <w:ilvl w:val="0"/>
                <w:numId w:val="97"/>
              </w:numPr>
              <w:tabs>
                <w:tab w:val="left" w:pos="720"/>
              </w:tabs>
              <w:rPr>
                <w:sz w:val="20"/>
              </w:rPr>
            </w:pPr>
            <w:r w:rsidRPr="00B73B76">
              <w:t>The paired Part A and Part B entry share the same time stamp.</w:t>
            </w:r>
          </w:p>
          <w:p w14:paraId="0BD1AEB3" w14:textId="77777777" w:rsidR="009D096D" w:rsidRPr="00B73B76" w:rsidRDefault="009D096D" w:rsidP="00990885">
            <w:pPr>
              <w:spacing w:after="0"/>
              <w:rPr>
                <w:sz w:val="20"/>
                <w:szCs w:val="20"/>
              </w:rPr>
            </w:pPr>
          </w:p>
          <w:p w14:paraId="0627B191" w14:textId="77777777" w:rsidR="009D096D" w:rsidRPr="00B73B76" w:rsidRDefault="009D096D" w:rsidP="00990885">
            <w:pPr>
              <w:spacing w:after="0"/>
              <w:rPr>
                <w:b/>
                <w:bCs/>
                <w:sz w:val="20"/>
                <w:szCs w:val="20"/>
                <w:u w:val="single"/>
              </w:rPr>
            </w:pPr>
            <w:r w:rsidRPr="00B73B76">
              <w:rPr>
                <w:szCs w:val="20"/>
              </w:rPr>
              <w:t xml:space="preserve"> </w:t>
            </w:r>
            <w:r w:rsidRPr="00B73B76">
              <w:rPr>
                <w:b/>
                <w:bCs/>
                <w:szCs w:val="20"/>
                <w:u w:val="single"/>
              </w:rPr>
              <w:t>Proposal 4.4.2-2</w:t>
            </w:r>
          </w:p>
          <w:p w14:paraId="3BD3C56B" w14:textId="77777777" w:rsidR="009D096D" w:rsidRPr="00B73B76" w:rsidRDefault="009D096D" w:rsidP="00990885">
            <w:pPr>
              <w:spacing w:after="0"/>
              <w:rPr>
                <w:sz w:val="20"/>
                <w:szCs w:val="20"/>
              </w:rPr>
            </w:pPr>
            <w:bookmarkStart w:id="2168" w:name="_Hlk182817882"/>
            <w:r w:rsidRPr="00B73B76">
              <w:rPr>
                <w:szCs w:val="20"/>
              </w:rPr>
              <w:t>For training data collection of AI/ML based positioning, if Part A and Part B are generated by different entities, the pairing between a Part A entry and a Part B entry is supported via at least:</w:t>
            </w:r>
          </w:p>
          <w:p w14:paraId="4649671F" w14:textId="77777777" w:rsidR="009D096D" w:rsidRPr="00B73B76" w:rsidRDefault="009D096D" w:rsidP="00990885">
            <w:pPr>
              <w:pStyle w:val="ListParagraph"/>
              <w:widowControl w:val="0"/>
              <w:numPr>
                <w:ilvl w:val="0"/>
                <w:numId w:val="97"/>
              </w:numPr>
              <w:tabs>
                <w:tab w:val="left" w:pos="720"/>
              </w:tabs>
              <w:rPr>
                <w:sz w:val="20"/>
              </w:rPr>
            </w:pPr>
            <w:r w:rsidRPr="00B73B76">
              <w:t>A UE identifier, and</w:t>
            </w:r>
          </w:p>
          <w:p w14:paraId="0905F485" w14:textId="77777777" w:rsidR="009D096D" w:rsidRPr="00B73B76" w:rsidRDefault="009D096D" w:rsidP="00990885">
            <w:pPr>
              <w:pStyle w:val="ListParagraph"/>
              <w:widowControl w:val="0"/>
              <w:numPr>
                <w:ilvl w:val="0"/>
                <w:numId w:val="97"/>
              </w:numPr>
              <w:tabs>
                <w:tab w:val="left" w:pos="720"/>
              </w:tabs>
              <w:rPr>
                <w:sz w:val="20"/>
              </w:rPr>
            </w:pPr>
            <w:r w:rsidRPr="00B73B76">
              <w:t xml:space="preserve">The time stamp of Part A and the time stamp of Part B. </w:t>
            </w:r>
          </w:p>
          <w:p w14:paraId="3F5094D3" w14:textId="1B247DCA" w:rsidR="009D096D" w:rsidRPr="00B73B76" w:rsidRDefault="009D096D" w:rsidP="00990885">
            <w:pPr>
              <w:pStyle w:val="ListParagraph"/>
              <w:widowControl w:val="0"/>
              <w:numPr>
                <w:ilvl w:val="1"/>
                <w:numId w:val="97"/>
              </w:numPr>
              <w:tabs>
                <w:tab w:val="left" w:pos="720"/>
                <w:tab w:val="left" w:pos="1440"/>
              </w:tabs>
            </w:pPr>
            <w:r w:rsidRPr="00B73B76">
              <w:t xml:space="preserve">Note: Different time stamp granularity can be used for Part A and Part B. For example, “Measurement time” in 38.455 and </w:t>
            </w:r>
            <w:proofErr w:type="spellStart"/>
            <w:r w:rsidRPr="00B73B76">
              <w:t>UTCTime</w:t>
            </w:r>
            <w:proofErr w:type="spellEnd"/>
            <w:r w:rsidRPr="00B73B76">
              <w:t xml:space="preserve"> in 37.355 have different granularities.</w:t>
            </w:r>
            <w:bookmarkEnd w:id="2168"/>
          </w:p>
        </w:tc>
      </w:tr>
    </w:tbl>
    <w:p w14:paraId="0F1D8E64" w14:textId="77777777" w:rsidR="00C2045F" w:rsidRDefault="00C2045F" w:rsidP="00DA7485"/>
    <w:p w14:paraId="60EFE4F8" w14:textId="1F4F4238" w:rsidR="00541311" w:rsidRDefault="00052E1A" w:rsidP="00DA7485">
      <w:r>
        <w:t xml:space="preserve">Some companies </w:t>
      </w:r>
      <w:r w:rsidR="00D87BA1">
        <w:t>questioned whether RAN1 is the right WG for the issue</w:t>
      </w:r>
      <w:r w:rsidR="00FA66EA">
        <w:t xml:space="preserve">, or if there is </w:t>
      </w:r>
      <w:proofErr w:type="gramStart"/>
      <w:r w:rsidR="00FA66EA">
        <w:t>actually an</w:t>
      </w:r>
      <w:proofErr w:type="gramEnd"/>
      <w:r w:rsidR="00FA66EA">
        <w:t xml:space="preserve"> issue. In our </w:t>
      </w:r>
      <w:proofErr w:type="gramStart"/>
      <w:r w:rsidR="00FA66EA">
        <w:t xml:space="preserve">view, </w:t>
      </w:r>
      <w:r w:rsidR="00DD334B">
        <w:t xml:space="preserve"> it</w:t>
      </w:r>
      <w:proofErr w:type="gramEnd"/>
      <w:r w:rsidR="00DD334B">
        <w:t xml:space="preserve"> is paramount that for both the case where part A and part B are generated by the same entity, or separate entity, the node receiving part A and / or part B must be able to relate them. </w:t>
      </w:r>
      <w:r w:rsidR="0025263D">
        <w:t xml:space="preserve">Even if a time stamp is not </w:t>
      </w:r>
      <w:proofErr w:type="gramStart"/>
      <w:r w:rsidR="0025263D">
        <w:t>exactly the same</w:t>
      </w:r>
      <w:proofErr w:type="gramEnd"/>
      <w:r w:rsidR="0025263D">
        <w:t xml:space="preserve">, the pairing may be possible, e.g. when a UE is static for a long time. </w:t>
      </w:r>
      <w:r w:rsidR="00E22716">
        <w:t>Moreover, w</w:t>
      </w:r>
      <w:r w:rsidR="00DA7485">
        <w:t>hen the UE is either static or slowly moving, it is not efficient for labels to be recorded for every measurement</w:t>
      </w:r>
      <w:r w:rsidR="00FF275A">
        <w:t>. I</w:t>
      </w:r>
      <w:r w:rsidR="00DA7485">
        <w:t>nstead, a single label can be applied for multiple time stamps, or a span of time stamp</w:t>
      </w:r>
      <w:r w:rsidR="00965089">
        <w:t>s</w:t>
      </w:r>
      <w:r w:rsidR="00DA7485">
        <w:t xml:space="preserve">.  </w:t>
      </w:r>
      <w:r w:rsidR="00541311">
        <w:t>The issue is relevant to all cases,</w:t>
      </w:r>
      <w:r w:rsidR="007E4781">
        <w:t xml:space="preserve"> </w:t>
      </w:r>
      <w:r w:rsidR="00541311">
        <w:t xml:space="preserve">since all involve label collection </w:t>
      </w:r>
      <w:r w:rsidR="008D5A36">
        <w:t xml:space="preserve">in some way. </w:t>
      </w:r>
    </w:p>
    <w:p w14:paraId="63639212" w14:textId="77777777" w:rsidR="008D5A36" w:rsidRDefault="008D5A36" w:rsidP="00DA7485"/>
    <w:p w14:paraId="6DEA703E" w14:textId="3EAC345D" w:rsidR="00E22716" w:rsidRDefault="002B254F" w:rsidP="002B254F">
      <w:pPr>
        <w:pStyle w:val="Observation"/>
      </w:pPr>
      <w:bookmarkStart w:id="2169" w:name="_Toc189845087"/>
      <w:r>
        <w:lastRenderedPageBreak/>
        <w:t xml:space="preserve">Time stamp for </w:t>
      </w:r>
      <w:r w:rsidR="00AD1642">
        <w:t>P</w:t>
      </w:r>
      <w:r>
        <w:t xml:space="preserve">art B may span </w:t>
      </w:r>
      <w:proofErr w:type="gramStart"/>
      <w:r>
        <w:t>a period of time</w:t>
      </w:r>
      <w:proofErr w:type="gramEnd"/>
      <w:r>
        <w:t xml:space="preserve"> for which the location of the UE is consistent.</w:t>
      </w:r>
      <w:bookmarkEnd w:id="2169"/>
      <w:r>
        <w:t xml:space="preserve"> </w:t>
      </w:r>
    </w:p>
    <w:p w14:paraId="518C608B" w14:textId="48E3EDFE" w:rsidR="008D5A36" w:rsidRDefault="008D5A36" w:rsidP="003927FB">
      <w:pPr>
        <w:pStyle w:val="Observation"/>
      </w:pPr>
      <w:bookmarkStart w:id="2170" w:name="_Toc189845088"/>
      <w:r>
        <w:t xml:space="preserve">Part A-B pairing is an issue across </w:t>
      </w:r>
      <w:r w:rsidR="00AD1642">
        <w:t>C</w:t>
      </w:r>
      <w:r>
        <w:t>ase 1, 3a and 3b</w:t>
      </w:r>
      <w:r w:rsidR="000A3CA3">
        <w:t>.</w:t>
      </w:r>
      <w:bookmarkEnd w:id="2170"/>
    </w:p>
    <w:p w14:paraId="3F1F90F4" w14:textId="475ED33E" w:rsidR="00DA7485" w:rsidRPr="008805D5" w:rsidRDefault="00DA7485" w:rsidP="00DA7485">
      <w:pPr>
        <w:pStyle w:val="Proposal"/>
      </w:pPr>
      <w:bookmarkStart w:id="2171" w:name="_Toc189845145"/>
      <w:r>
        <w:t xml:space="preserve">A label provided by a LMF, PRU, or </w:t>
      </w:r>
      <w:r w:rsidR="00722C96">
        <w:t xml:space="preserve">non-PRU </w:t>
      </w:r>
      <w:r>
        <w:t>UE can be attached with one or more time</w:t>
      </w:r>
      <w:r w:rsidR="00AD1642">
        <w:t xml:space="preserve"> </w:t>
      </w:r>
      <w:r>
        <w:t>stamp, or a span of time stamps, for which the label is valid.</w:t>
      </w:r>
      <w:bookmarkEnd w:id="2171"/>
      <w:r>
        <w:t xml:space="preserve"> </w:t>
      </w:r>
    </w:p>
    <w:p w14:paraId="12144F0B" w14:textId="77777777" w:rsidR="00FA5DB5" w:rsidRDefault="00FA5DB5" w:rsidP="00DA6EB4"/>
    <w:p w14:paraId="39C98FE9" w14:textId="02B55D90" w:rsidR="00797ECC" w:rsidRDefault="000A3CA3" w:rsidP="00DA6EB4">
      <w:r>
        <w:t xml:space="preserve">The second issue for part A and part B pairing is knowledge of the UE involved in the </w:t>
      </w:r>
      <w:r w:rsidR="00797ECC">
        <w:t xml:space="preserve">collected measurement and label, e.g. securing that the same UE/PRU is used during the collection training measurement data in part A and the label in part B. </w:t>
      </w:r>
      <w:r w:rsidR="00705C43">
        <w:t xml:space="preserve"> such issue i</w:t>
      </w:r>
      <w:r w:rsidR="002B7FBC">
        <w:t xml:space="preserve">nvolves securing </w:t>
      </w:r>
      <w:proofErr w:type="gramStart"/>
      <w:r w:rsidR="002B7FBC">
        <w:t>the  UE</w:t>
      </w:r>
      <w:proofErr w:type="gramEnd"/>
      <w:r w:rsidR="002B7FBC">
        <w:t xml:space="preserve"> ID and, when needed, UE consent. It is thus better suited for </w:t>
      </w:r>
      <w:r w:rsidR="00D10CE6">
        <w:t>RAN2/RAN3/SA</w:t>
      </w:r>
      <w:r w:rsidR="00F16DEE">
        <w:t xml:space="preserve"> to resolve this issue</w:t>
      </w:r>
      <w:r w:rsidR="00D10CE6">
        <w:t xml:space="preserve">. </w:t>
      </w:r>
    </w:p>
    <w:p w14:paraId="4CCD8CEE" w14:textId="256AD32F" w:rsidR="00AC5697" w:rsidRDefault="002D7A98" w:rsidP="002D7A98">
      <w:pPr>
        <w:pStyle w:val="Observation"/>
      </w:pPr>
      <w:bookmarkStart w:id="2172" w:name="_Toc189845089"/>
      <w:r>
        <w:t xml:space="preserve">Part </w:t>
      </w:r>
      <w:r w:rsidR="00F16DEE">
        <w:t>A</w:t>
      </w:r>
      <w:r>
        <w:t xml:space="preserve"> and </w:t>
      </w:r>
      <w:r w:rsidR="00F16DEE">
        <w:t>P</w:t>
      </w:r>
      <w:r>
        <w:t xml:space="preserve">art </w:t>
      </w:r>
      <w:r w:rsidR="00F16DEE">
        <w:t>B</w:t>
      </w:r>
      <w:r>
        <w:t xml:space="preserve"> must be </w:t>
      </w:r>
      <w:r w:rsidR="00F16DEE">
        <w:t>paired for</w:t>
      </w:r>
      <w:r>
        <w:t xml:space="preserve"> the same UE</w:t>
      </w:r>
      <w:r w:rsidR="00F16DEE">
        <w:t>, even though Part A and Part B may be reported by different entities</w:t>
      </w:r>
      <w:r>
        <w:t>.</w:t>
      </w:r>
      <w:bookmarkEnd w:id="2172"/>
    </w:p>
    <w:p w14:paraId="7AAF8A22" w14:textId="17F235CF" w:rsidR="00D62102" w:rsidRDefault="00D62102" w:rsidP="003927FB">
      <w:r>
        <w:t xml:space="preserve">The issue is non-trivial at </w:t>
      </w:r>
      <w:proofErr w:type="gramStart"/>
      <w:r>
        <w:t xml:space="preserve">least </w:t>
      </w:r>
      <w:r w:rsidR="005B34CD">
        <w:t xml:space="preserve"> in</w:t>
      </w:r>
      <w:proofErr w:type="gramEnd"/>
      <w:r w:rsidR="005B34CD">
        <w:t xml:space="preserve"> </w:t>
      </w:r>
      <w:r w:rsidR="00976F78">
        <w:t>C</w:t>
      </w:r>
      <w:r w:rsidR="005B34CD">
        <w:t xml:space="preserve">ase 3a </w:t>
      </w:r>
      <w:r>
        <w:t xml:space="preserve">when the UE </w:t>
      </w:r>
      <w:r w:rsidR="00AA760F">
        <w:t>is not measured by its serving cell, which already knows the UE</w:t>
      </w:r>
      <w:r w:rsidR="005B34CD">
        <w:t xml:space="preserve"> local identity since it has configured the SRS to be transmitted and measured on. </w:t>
      </w:r>
      <w:r w:rsidR="00397B8F">
        <w:t xml:space="preserve">A non-serving cell is only performing measurement but does not necessarily know the UE. It is therefore unclear how part B and part A can be paired in that case. </w:t>
      </w:r>
    </w:p>
    <w:p w14:paraId="17D45013" w14:textId="1364E658" w:rsidR="002D7A98" w:rsidRPr="008805D5" w:rsidRDefault="002D7A98" w:rsidP="002D7A98">
      <w:pPr>
        <w:pStyle w:val="Proposal"/>
      </w:pPr>
      <w:bookmarkStart w:id="2173" w:name="_Toc189845146"/>
      <w:r>
        <w:t xml:space="preserve">Send an LS to RAN2 and RAN3 requesting to investigate </w:t>
      </w:r>
      <w:r w:rsidR="00976F78">
        <w:t>how</w:t>
      </w:r>
      <w:r>
        <w:t xml:space="preserve"> </w:t>
      </w:r>
      <w:r w:rsidR="00976F78">
        <w:t>P</w:t>
      </w:r>
      <w:r>
        <w:t xml:space="preserve">art A and </w:t>
      </w:r>
      <w:r w:rsidR="00976F78">
        <w:t>P</w:t>
      </w:r>
      <w:r>
        <w:t xml:space="preserve">art B can be matched to the same UE for </w:t>
      </w:r>
      <w:r w:rsidR="00976F78">
        <w:t>C</w:t>
      </w:r>
      <w:r>
        <w:t>ase 1</w:t>
      </w:r>
      <w:r w:rsidR="00976F78">
        <w:t>/</w:t>
      </w:r>
      <w:r>
        <w:t>3a</w:t>
      </w:r>
      <w:r w:rsidR="00976F78">
        <w:t>/</w:t>
      </w:r>
      <w:r>
        <w:t>3b.</w:t>
      </w:r>
      <w:bookmarkEnd w:id="2173"/>
    </w:p>
    <w:p w14:paraId="3379CE50" w14:textId="77777777" w:rsidR="00AC5697" w:rsidRPr="003F02AA" w:rsidRDefault="00AC5697" w:rsidP="00DA6EB4"/>
    <w:p w14:paraId="419A57C0" w14:textId="476A7D39" w:rsidR="00DA206E" w:rsidRPr="0012123B" w:rsidRDefault="00AF187F" w:rsidP="00DA206E">
      <w:pPr>
        <w:pStyle w:val="Heading2"/>
        <w:rPr>
          <w:lang w:val="en-US"/>
        </w:rPr>
      </w:pPr>
      <w:bookmarkStart w:id="2174" w:name="_Ref178955360"/>
      <w:bookmarkStart w:id="2175" w:name="_Toc165991012"/>
      <w:bookmarkStart w:id="2176" w:name="_Toc189845037"/>
      <w:bookmarkEnd w:id="2145"/>
      <w:bookmarkEnd w:id="2146"/>
      <w:r>
        <w:rPr>
          <w:lang w:val="en-US"/>
        </w:rPr>
        <w:t>Metadata for t</w:t>
      </w:r>
      <w:r w:rsidR="00380F93">
        <w:rPr>
          <w:lang w:val="en-US"/>
        </w:rPr>
        <w:t>raining</w:t>
      </w:r>
      <w:r w:rsidR="004079B7" w:rsidRPr="2673A75D">
        <w:rPr>
          <w:lang w:val="en-US"/>
        </w:rPr>
        <w:t xml:space="preserve"> data</w:t>
      </w:r>
      <w:r>
        <w:rPr>
          <w:lang w:val="en-US"/>
        </w:rPr>
        <w:t>set</w:t>
      </w:r>
      <w:bookmarkEnd w:id="2174"/>
      <w:bookmarkEnd w:id="2176"/>
    </w:p>
    <w:p w14:paraId="2D177961" w14:textId="26D9D1FA" w:rsidR="00091772" w:rsidRDefault="00D766FB" w:rsidP="00DA6EB4">
      <w:pPr>
        <w:pStyle w:val="Heading3"/>
      </w:pPr>
      <w:bookmarkStart w:id="2177" w:name="_Toc189845038"/>
      <w:r>
        <w:t>Elements in m</w:t>
      </w:r>
      <w:r w:rsidR="00091772">
        <w:t>etadata</w:t>
      </w:r>
      <w:r w:rsidR="00091772" w:rsidRPr="00E215F0">
        <w:t xml:space="preserve"> </w:t>
      </w:r>
      <w:r w:rsidR="00091772">
        <w:t>of the</w:t>
      </w:r>
      <w:r w:rsidR="00091772" w:rsidRPr="00E215F0">
        <w:t xml:space="preserve"> training data</w:t>
      </w:r>
      <w:r w:rsidR="00091772">
        <w:t>set</w:t>
      </w:r>
      <w:bookmarkEnd w:id="2177"/>
    </w:p>
    <w:p w14:paraId="78984D49" w14:textId="06FB2D9D" w:rsidR="00091772" w:rsidRDefault="00091772" w:rsidP="00091772">
      <w:r>
        <w:t>To keep consistency between training and inference phase, it is crucial that the node operating the model can secure that the assistance data and signals received during inference are the same as what was used for training the model. For this purpose, in addition to the list of training data samples, the training dataset also needs to record the context information of the collected data. Such context information is attached to the training dataset as its metadata. The context information should include basic information like:</w:t>
      </w:r>
    </w:p>
    <w:p w14:paraId="05D9DB90" w14:textId="77777777" w:rsidR="00091772" w:rsidRPr="006B06B9" w:rsidRDefault="00091772" w:rsidP="005925D5">
      <w:pPr>
        <w:pStyle w:val="ListParagraph"/>
        <w:numPr>
          <w:ilvl w:val="0"/>
          <w:numId w:val="44"/>
        </w:numPr>
      </w:pPr>
      <w:r>
        <w:t>Where the training data is collected</w:t>
      </w:r>
    </w:p>
    <w:p w14:paraId="11C8E853" w14:textId="77777777" w:rsidR="00091772" w:rsidRPr="006B06B9" w:rsidRDefault="00091772" w:rsidP="005925D5">
      <w:pPr>
        <w:pStyle w:val="ListParagraph"/>
        <w:numPr>
          <w:ilvl w:val="0"/>
          <w:numId w:val="44"/>
        </w:numPr>
      </w:pPr>
      <w:r>
        <w:t>When the training data is collected, for example, year/month/date</w:t>
      </w:r>
    </w:p>
    <w:p w14:paraId="638576CA" w14:textId="77777777" w:rsidR="00091772" w:rsidRPr="006B06B9" w:rsidRDefault="00091772" w:rsidP="005925D5">
      <w:pPr>
        <w:pStyle w:val="ListParagraph"/>
        <w:numPr>
          <w:ilvl w:val="0"/>
          <w:numId w:val="44"/>
        </w:numPr>
      </w:pPr>
      <w:r>
        <w:t>Which nodes provided the measurement data, for example, TRP ID, UE ID.</w:t>
      </w:r>
    </w:p>
    <w:p w14:paraId="122B1DE5" w14:textId="77777777" w:rsidR="00091772" w:rsidRPr="005F13A6" w:rsidRDefault="00091772" w:rsidP="005925D5">
      <w:pPr>
        <w:pStyle w:val="ListParagraph"/>
        <w:numPr>
          <w:ilvl w:val="0"/>
          <w:numId w:val="44"/>
        </w:numPr>
      </w:pPr>
      <w:r>
        <w:t>Which nodes provided the label data, for example, PRU ID, UE ID, LMF ID.</w:t>
      </w:r>
    </w:p>
    <w:p w14:paraId="1B268CFF" w14:textId="77777777" w:rsidR="00091772" w:rsidRPr="005F13A6" w:rsidRDefault="00091772" w:rsidP="005925D5">
      <w:pPr>
        <w:pStyle w:val="ListParagraph"/>
        <w:numPr>
          <w:ilvl w:val="0"/>
          <w:numId w:val="44"/>
        </w:numPr>
      </w:pPr>
      <w:r w:rsidRPr="005F13A6">
        <w:lastRenderedPageBreak/>
        <w:t>What kind of reference signals are used in generating the measurement data, for example, PRS configuration for DL measurement, SRS configuration for UL measurement.</w:t>
      </w:r>
    </w:p>
    <w:p w14:paraId="30FBCBF5" w14:textId="77777777" w:rsidR="00091772" w:rsidRPr="00800734" w:rsidRDefault="00091772" w:rsidP="005925D5">
      <w:pPr>
        <w:pStyle w:val="ListParagraph"/>
        <w:numPr>
          <w:ilvl w:val="0"/>
          <w:numId w:val="44"/>
        </w:numPr>
      </w:pPr>
      <w:r>
        <w:t xml:space="preserve">Type and format of the measurement data, for example, </w:t>
      </w:r>
    </w:p>
    <w:p w14:paraId="46CC4E1F" w14:textId="77777777" w:rsidR="00091772" w:rsidRPr="00800734" w:rsidRDefault="00091772" w:rsidP="005925D5">
      <w:pPr>
        <w:pStyle w:val="ListParagraph"/>
        <w:numPr>
          <w:ilvl w:val="1"/>
          <w:numId w:val="44"/>
        </w:numPr>
      </w:pPr>
      <w:r>
        <w:t xml:space="preserve">Type (e.g., DP/PDP) and size (e.g., </w:t>
      </w:r>
      <w:proofErr w:type="spellStart"/>
      <w:r>
        <w:t>N</w:t>
      </w:r>
      <w:r w:rsidRPr="00800734">
        <w:rPr>
          <w:vertAlign w:val="subscript"/>
        </w:rPr>
        <w:t>t</w:t>
      </w:r>
      <w:proofErr w:type="spellEnd"/>
      <w:r>
        <w:t xml:space="preserve">, </w:t>
      </w:r>
      <w:proofErr w:type="spellStart"/>
      <w:r>
        <w:t>N'</w:t>
      </w:r>
      <w:r w:rsidRPr="00800734">
        <w:rPr>
          <w:vertAlign w:val="subscript"/>
        </w:rPr>
        <w:t>t</w:t>
      </w:r>
      <w:proofErr w:type="spellEnd"/>
      <w:r>
        <w:t>) of the measurement data</w:t>
      </w:r>
    </w:p>
    <w:p w14:paraId="26DDC61E" w14:textId="77777777" w:rsidR="00091772" w:rsidRPr="00800734" w:rsidRDefault="00091772" w:rsidP="005925D5">
      <w:pPr>
        <w:pStyle w:val="ListParagraph"/>
        <w:numPr>
          <w:ilvl w:val="1"/>
          <w:numId w:val="44"/>
        </w:numPr>
      </w:pPr>
      <w:r>
        <w:t xml:space="preserve">Quantization granularity used in recording the measurement values </w:t>
      </w:r>
    </w:p>
    <w:p w14:paraId="250631FC" w14:textId="77777777" w:rsidR="00091772" w:rsidRPr="00800734" w:rsidRDefault="00091772" w:rsidP="005925D5">
      <w:pPr>
        <w:pStyle w:val="ListParagraph"/>
        <w:numPr>
          <w:ilvl w:val="0"/>
          <w:numId w:val="44"/>
        </w:numPr>
      </w:pPr>
      <w:r>
        <w:t xml:space="preserve">Type and format of the label data, for example, </w:t>
      </w:r>
    </w:p>
    <w:p w14:paraId="79B85627" w14:textId="77777777" w:rsidR="00091772" w:rsidRPr="00800734" w:rsidRDefault="00091772" w:rsidP="005925D5">
      <w:pPr>
        <w:pStyle w:val="ListParagraph"/>
        <w:numPr>
          <w:ilvl w:val="1"/>
          <w:numId w:val="44"/>
        </w:numPr>
      </w:pPr>
      <w:r>
        <w:t xml:space="preserve">Type of information for label data, for example, UE location or information corresponding to model output of AI/ML assisted positioning </w:t>
      </w:r>
      <w:proofErr w:type="gramStart"/>
      <w:r>
        <w:t>models;</w:t>
      </w:r>
      <w:proofErr w:type="gramEnd"/>
    </w:p>
    <w:p w14:paraId="2FCE0C8E" w14:textId="77777777" w:rsidR="00091772" w:rsidRPr="00800734" w:rsidRDefault="00091772" w:rsidP="005925D5">
      <w:pPr>
        <w:pStyle w:val="ListParagraph"/>
        <w:numPr>
          <w:ilvl w:val="1"/>
          <w:numId w:val="44"/>
        </w:numPr>
      </w:pPr>
      <w:r>
        <w:t xml:space="preserve">Format used to record the location information (for labels), </w:t>
      </w:r>
    </w:p>
    <w:p w14:paraId="0EC47D21" w14:textId="77777777" w:rsidR="00091772" w:rsidRPr="00800734" w:rsidRDefault="00091772" w:rsidP="005925D5">
      <w:pPr>
        <w:pStyle w:val="ListParagraph"/>
        <w:numPr>
          <w:ilvl w:val="1"/>
          <w:numId w:val="44"/>
        </w:numPr>
      </w:pPr>
      <w:r>
        <w:t>2D or 3D location coordinates</w:t>
      </w:r>
    </w:p>
    <w:p w14:paraId="230110CA" w14:textId="77777777" w:rsidR="00091772" w:rsidRDefault="00091772" w:rsidP="005925D5">
      <w:pPr>
        <w:pStyle w:val="ListParagraph"/>
        <w:numPr>
          <w:ilvl w:val="0"/>
          <w:numId w:val="44"/>
        </w:numPr>
      </w:pPr>
      <w:r>
        <w:t>Criteria (if any) applied before a data sample can be accepted as part of the training dataset, for example, label quality requirement, SINR requirement, etc.</w:t>
      </w:r>
    </w:p>
    <w:p w14:paraId="7AEDD8E4" w14:textId="77777777" w:rsidR="00091772" w:rsidRDefault="00091772" w:rsidP="005925D5">
      <w:pPr>
        <w:pStyle w:val="ListParagraph"/>
        <w:numPr>
          <w:ilvl w:val="0"/>
          <w:numId w:val="44"/>
        </w:numPr>
      </w:pPr>
      <w:r>
        <w:t>Version ID of the training dataset, if the training dataset may be updated over time.</w:t>
      </w:r>
    </w:p>
    <w:p w14:paraId="72B4043A" w14:textId="77777777" w:rsidR="0057419D" w:rsidRDefault="0057419D" w:rsidP="00091772"/>
    <w:p w14:paraId="11A695EC" w14:textId="4E088D4F" w:rsidR="00091772" w:rsidRDefault="00091772" w:rsidP="00091772">
      <w:r>
        <w:t>Regarding the criteria applied to collect data samples of adequate quality, it should cover both measurement data (corresponding to model input) and label data (corresponding to model output).</w:t>
      </w:r>
      <w:r w:rsidR="0057419D">
        <w:t xml:space="preserve"> This gives the high-level information on the training dataset: </w:t>
      </w:r>
    </w:p>
    <w:p w14:paraId="3ED23236" w14:textId="26F684E9" w:rsidR="00091772" w:rsidRPr="00194B5B" w:rsidRDefault="0057419D" w:rsidP="005925D5">
      <w:pPr>
        <w:pStyle w:val="ListParagraph"/>
        <w:numPr>
          <w:ilvl w:val="0"/>
          <w:numId w:val="38"/>
        </w:numPr>
      </w:pPr>
      <w:r>
        <w:t xml:space="preserve">The accepted range of </w:t>
      </w:r>
      <w:r w:rsidR="00091772" w:rsidRPr="00194B5B">
        <w:t>measurement data quality.</w:t>
      </w:r>
    </w:p>
    <w:p w14:paraId="20DD134B" w14:textId="550F1BDB" w:rsidR="00091772" w:rsidRPr="00492B22" w:rsidRDefault="0057419D" w:rsidP="005925D5">
      <w:pPr>
        <w:pStyle w:val="ListParagraph"/>
        <w:numPr>
          <w:ilvl w:val="0"/>
          <w:numId w:val="38"/>
        </w:numPr>
      </w:pPr>
      <w:r>
        <w:t xml:space="preserve">The accepted range of </w:t>
      </w:r>
      <w:r w:rsidR="00091772" w:rsidRPr="00194B5B">
        <w:t>label error</w:t>
      </w:r>
      <w:r>
        <w:t xml:space="preserve"> </w:t>
      </w:r>
      <w:r w:rsidR="00091772" w:rsidRPr="00194B5B">
        <w:t xml:space="preserve">(or: uncertainty of ground truth label). </w:t>
      </w:r>
    </w:p>
    <w:p w14:paraId="56C68DE4" w14:textId="77777777" w:rsidR="0057419D" w:rsidRDefault="0057419D" w:rsidP="00091772"/>
    <w:p w14:paraId="5C39D745" w14:textId="63D2B8DB" w:rsidR="00091772" w:rsidRDefault="00091772" w:rsidP="00091772">
      <w:r w:rsidRPr="00492B22">
        <w:t xml:space="preserve">When the training dataset is used for training a model, the model training entity may </w:t>
      </w:r>
      <w:r w:rsidR="00D56707">
        <w:t xml:space="preserve">further </w:t>
      </w:r>
      <w:r w:rsidRPr="00492B22">
        <w:t>decide to include only data</w:t>
      </w:r>
      <w:r>
        <w:t xml:space="preserve"> samples</w:t>
      </w:r>
      <w:r w:rsidRPr="00492B22">
        <w:t xml:space="preserve"> with sufficient quality, where the quality is determined according to the targeted positioning accuracy requirement.</w:t>
      </w:r>
      <w:r w:rsidR="00992735">
        <w:t xml:space="preserve"> For instance, during training data collection, data samples with label error &lt; 2.0 meters are collected into the training dataset. During model training, two models may be trained, one model is trained using filtered data samples with label error &lt; 1.0 m for higher accuracy applications, while the other using all data samples (thus label error &lt; 2.0 m) for lower accuracy applications.</w:t>
      </w:r>
    </w:p>
    <w:p w14:paraId="21F2441B" w14:textId="618235F9" w:rsidR="00E85E46" w:rsidRDefault="0088532A" w:rsidP="00E85E46">
      <w:r>
        <w:t>Specific to training data collection of Part A</w:t>
      </w:r>
      <w:r w:rsidR="00E85E46">
        <w:t xml:space="preserve">, the model host (TRP, </w:t>
      </w:r>
      <w:proofErr w:type="spellStart"/>
      <w:r w:rsidR="00E85E46">
        <w:t>gNB</w:t>
      </w:r>
      <w:proofErr w:type="spellEnd"/>
      <w:r w:rsidR="00E85E46">
        <w:t xml:space="preserve">, LMF or UE) will integrate measurements together with related metadata. To enable accurate inference result, the metadata should ideally not differ between the training data set and the measurement performed during inference.  </w:t>
      </w:r>
      <w:r w:rsidR="00E85E46" w:rsidRPr="005C6195">
        <w:t>The metadata that need to be recorded for Part</w:t>
      </w:r>
      <w:r w:rsidR="00E85E46">
        <w:t xml:space="preserve"> A of the training dataset can be grouped as follows:</w:t>
      </w:r>
    </w:p>
    <w:p w14:paraId="662B85A4" w14:textId="77777777" w:rsidR="00E85E46" w:rsidRDefault="00E85E46" w:rsidP="005925D5">
      <w:pPr>
        <w:pStyle w:val="ListParagraph"/>
        <w:numPr>
          <w:ilvl w:val="0"/>
          <w:numId w:val="38"/>
        </w:numPr>
      </w:pPr>
      <w:r w:rsidRPr="00DA6EB4">
        <w:rPr>
          <w:b/>
        </w:rPr>
        <w:t>Group 1, assistance data</w:t>
      </w:r>
      <w:r>
        <w:t xml:space="preserve">.  In the positioning framework, assistance data is sent from LMF to either </w:t>
      </w:r>
      <w:proofErr w:type="spellStart"/>
      <w:r>
        <w:t>gNBs</w:t>
      </w:r>
      <w:proofErr w:type="spellEnd"/>
      <w:r>
        <w:t xml:space="preserve"> or UEs to enable reference signal measurements. For training data collection, the LMF should provide suitable assistance data to the measuring nodes.  </w:t>
      </w:r>
    </w:p>
    <w:p w14:paraId="2EB2C982" w14:textId="77777777" w:rsidR="00E85E46" w:rsidRPr="00841E6F" w:rsidRDefault="00E85E46" w:rsidP="005925D5">
      <w:pPr>
        <w:pStyle w:val="ListParagraph"/>
        <w:numPr>
          <w:ilvl w:val="0"/>
          <w:numId w:val="38"/>
        </w:numPr>
      </w:pPr>
      <w:r w:rsidRPr="00DA6EB4">
        <w:rPr>
          <w:b/>
        </w:rPr>
        <w:lastRenderedPageBreak/>
        <w:t>Group 2, signal measurement configuration</w:t>
      </w:r>
      <w:r>
        <w:t>, for example, PDP or DP, measurement parameters {</w:t>
      </w:r>
      <w:proofErr w:type="spellStart"/>
      <w:r w:rsidRPr="0002562A">
        <w:t>N</w:t>
      </w:r>
      <w:r w:rsidRPr="001B4A11">
        <w:rPr>
          <w:vertAlign w:val="subscript"/>
        </w:rPr>
        <w:t>t</w:t>
      </w:r>
      <w:proofErr w:type="spellEnd"/>
      <w:r>
        <w:t xml:space="preserve">, </w:t>
      </w:r>
      <w:proofErr w:type="spellStart"/>
      <w:r w:rsidRPr="0002562A">
        <w:t>N</w:t>
      </w:r>
      <w:r w:rsidRPr="001B4A11">
        <w:rPr>
          <w:vertAlign w:val="subscript"/>
        </w:rPr>
        <w:t>t</w:t>
      </w:r>
      <w:proofErr w:type="spellEnd"/>
      <w:r w:rsidRPr="0002562A">
        <w:t>'</w:t>
      </w:r>
      <w:r>
        <w:t xml:space="preserve">, k}. For Case 2b, 3b, and potentially 3a, this is the information included the measurement request, sent from LMF to UE or </w:t>
      </w:r>
      <w:proofErr w:type="spellStart"/>
      <w:r>
        <w:t>gNB</w:t>
      </w:r>
      <w:proofErr w:type="spellEnd"/>
      <w:r>
        <w:t xml:space="preserve">, for model inference. For cases where the channel measurement is not sent to LMF for model inference (Case 1, 2a, and potentially 3a), the analogous signal measurement information should be recorded as well.  </w:t>
      </w:r>
    </w:p>
    <w:p w14:paraId="1BE94D68" w14:textId="7EFD214E" w:rsidR="00E85E46" w:rsidRDefault="00E85E46" w:rsidP="005925D5">
      <w:pPr>
        <w:pStyle w:val="ListParagraph"/>
        <w:numPr>
          <w:ilvl w:val="0"/>
          <w:numId w:val="38"/>
        </w:numPr>
      </w:pPr>
      <w:r w:rsidRPr="00DA6EB4">
        <w:rPr>
          <w:b/>
        </w:rPr>
        <w:t>Group 3, measurement environment condition and quality</w:t>
      </w:r>
      <w:r w:rsidRPr="00497234">
        <w:t>. This</w:t>
      </w:r>
      <w:r>
        <w:t xml:space="preserve"> may</w:t>
      </w:r>
      <w:r w:rsidRPr="00497234">
        <w:t xml:space="preserve"> </w:t>
      </w:r>
      <w:proofErr w:type="gramStart"/>
      <w:r w:rsidRPr="00497234">
        <w:t>include</w:t>
      </w:r>
      <w:r>
        <w:t>:</w:t>
      </w:r>
      <w:proofErr w:type="gramEnd"/>
      <w:r>
        <w:t xml:space="preserve"> network synchronization error</w:t>
      </w:r>
      <w:r w:rsidR="007C37EE">
        <w:t xml:space="preserve"> range</w:t>
      </w:r>
      <w:r>
        <w:t>,</w:t>
      </w:r>
      <w:r w:rsidRPr="00497234">
        <w:t xml:space="preserve"> UE/</w:t>
      </w:r>
      <w:proofErr w:type="spellStart"/>
      <w:r w:rsidRPr="00497234">
        <w:t>gNB</w:t>
      </w:r>
      <w:proofErr w:type="spellEnd"/>
      <w:r w:rsidRPr="00497234">
        <w:t xml:space="preserve"> RX and TX timing error</w:t>
      </w:r>
      <w:r>
        <w:t xml:space="preserve"> range</w:t>
      </w:r>
      <w:r w:rsidRPr="00497234">
        <w:t xml:space="preserve">, </w:t>
      </w:r>
      <w:r>
        <w:t>interference range</w:t>
      </w:r>
      <w:r w:rsidRPr="00497234">
        <w:t xml:space="preserve">, </w:t>
      </w:r>
      <w:r>
        <w:rPr>
          <w:rFonts w:eastAsia="DengXian"/>
        </w:rPr>
        <w:t>c</w:t>
      </w:r>
      <w:r w:rsidRPr="00497234">
        <w:rPr>
          <w:rFonts w:eastAsia="DengXian"/>
        </w:rPr>
        <w:t>hannel estimation error</w:t>
      </w:r>
      <w:r>
        <w:rPr>
          <w:rFonts w:eastAsia="DengXian"/>
        </w:rPr>
        <w:t xml:space="preserve"> range</w:t>
      </w:r>
      <w:r w:rsidRPr="00497234">
        <w:rPr>
          <w:rFonts w:eastAsia="DengXian"/>
        </w:rPr>
        <w:t>,</w:t>
      </w:r>
      <w:r>
        <w:rPr>
          <w:rFonts w:eastAsia="DengXian"/>
        </w:rPr>
        <w:t xml:space="preserve"> </w:t>
      </w:r>
      <w:r w:rsidRPr="00497234">
        <w:t>etc.</w:t>
      </w:r>
    </w:p>
    <w:p w14:paraId="604B45B4" w14:textId="0B8EE95A" w:rsidR="00E85E46" w:rsidRDefault="00E85E46" w:rsidP="00E85E46">
      <w:proofErr w:type="gramStart"/>
      <w:r>
        <w:t>Thus</w:t>
      </w:r>
      <w:proofErr w:type="gramEnd"/>
      <w:r>
        <w:t xml:space="preserve"> RAN1 should discuss for each of these groups firstly whether new </w:t>
      </w:r>
      <w:proofErr w:type="spellStart"/>
      <w:r>
        <w:t>signalling</w:t>
      </w:r>
      <w:proofErr w:type="spellEnd"/>
      <w:r>
        <w:t xml:space="preserve"> is needed, and second how to keep consistency between training and inference.  </w:t>
      </w:r>
    </w:p>
    <w:p w14:paraId="21CF7404" w14:textId="77777777" w:rsidR="00E85E46" w:rsidRDefault="00E85E46" w:rsidP="00091772"/>
    <w:p w14:paraId="6DE306C8" w14:textId="638FC50F" w:rsidR="00091772" w:rsidRPr="00B93280" w:rsidRDefault="0088532A" w:rsidP="00091772">
      <w:r>
        <w:t>For Group 3</w:t>
      </w:r>
      <w:r w:rsidR="00091772">
        <w:t xml:space="preserve">, Rel-18 study item evaluations show that </w:t>
      </w:r>
      <w:r w:rsidR="00E55EED">
        <w:t>such</w:t>
      </w:r>
      <w:r w:rsidR="00091772">
        <w:t xml:space="preserve"> </w:t>
      </w:r>
      <w:r w:rsidR="00091772" w:rsidRPr="005F0C39">
        <w:t xml:space="preserve">context information </w:t>
      </w:r>
      <w:r w:rsidR="00091772">
        <w:t xml:space="preserve">also affect the </w:t>
      </w:r>
      <w:r w:rsidR="00091772" w:rsidRPr="005F0C39">
        <w:t>validity of the trained model in the deployment scenario.</w:t>
      </w:r>
      <w:r w:rsidR="00091772">
        <w:t xml:space="preserve"> </w:t>
      </w:r>
      <w:proofErr w:type="gramStart"/>
      <w:r w:rsidR="00091772">
        <w:t>Thus</w:t>
      </w:r>
      <w:proofErr w:type="gramEnd"/>
      <w:r w:rsidR="00091772">
        <w:t xml:space="preserve"> such </w:t>
      </w:r>
      <w:r w:rsidR="00091772" w:rsidRPr="005F0C39">
        <w:t xml:space="preserve">context information about the </w:t>
      </w:r>
      <w:r w:rsidR="00091772">
        <w:t>training dataset also needs to be recorded as part of the metadata</w:t>
      </w:r>
      <w:r w:rsidR="00190C04">
        <w:t>, including</w:t>
      </w:r>
      <w:r w:rsidR="00091772">
        <w:t>:</w:t>
      </w:r>
    </w:p>
    <w:p w14:paraId="398818FF" w14:textId="77777777" w:rsidR="00091772" w:rsidRPr="00E215F0" w:rsidRDefault="00091772" w:rsidP="00091772">
      <w:pPr>
        <w:pStyle w:val="ListParagraph"/>
        <w:numPr>
          <w:ilvl w:val="4"/>
          <w:numId w:val="14"/>
        </w:numPr>
        <w:ind w:left="1080"/>
      </w:pPr>
      <w:r>
        <w:t>Range of SNR/SINR</w:t>
      </w:r>
    </w:p>
    <w:p w14:paraId="3533CF85" w14:textId="77777777" w:rsidR="00091772" w:rsidRPr="00E215F0" w:rsidRDefault="00091772" w:rsidP="00091772">
      <w:pPr>
        <w:pStyle w:val="ListParagraph"/>
        <w:numPr>
          <w:ilvl w:val="4"/>
          <w:numId w:val="14"/>
        </w:numPr>
        <w:ind w:left="1080"/>
      </w:pPr>
      <w:r>
        <w:rPr>
          <w:rFonts w:eastAsia="DengXian"/>
        </w:rPr>
        <w:t xml:space="preserve">Range of </w:t>
      </w:r>
      <w:r w:rsidRPr="00E215F0">
        <w:rPr>
          <w:rFonts w:eastAsia="DengXian"/>
        </w:rPr>
        <w:t>Channel estimation error</w:t>
      </w:r>
    </w:p>
    <w:p w14:paraId="1FACF5D6" w14:textId="77777777" w:rsidR="00091772" w:rsidRPr="00E215F0" w:rsidRDefault="00091772" w:rsidP="00091772">
      <w:pPr>
        <w:pStyle w:val="ListParagraph"/>
        <w:numPr>
          <w:ilvl w:val="4"/>
          <w:numId w:val="14"/>
        </w:numPr>
        <w:ind w:left="1080"/>
      </w:pPr>
      <w:r>
        <w:t xml:space="preserve">Range of NW synchronization error </w:t>
      </w:r>
    </w:p>
    <w:p w14:paraId="495FE863" w14:textId="77777777" w:rsidR="00091772" w:rsidRPr="00E215F0" w:rsidRDefault="00091772" w:rsidP="00091772">
      <w:pPr>
        <w:pStyle w:val="ListParagraph"/>
        <w:numPr>
          <w:ilvl w:val="4"/>
          <w:numId w:val="14"/>
        </w:numPr>
        <w:ind w:left="1080"/>
      </w:pPr>
      <w:r>
        <w:t xml:space="preserve">Range of </w:t>
      </w:r>
      <w:r w:rsidRPr="00E215F0">
        <w:t>UE/</w:t>
      </w:r>
      <w:proofErr w:type="spellStart"/>
      <w:r w:rsidRPr="00E215F0">
        <w:t>gNB</w:t>
      </w:r>
      <w:proofErr w:type="spellEnd"/>
      <w:r w:rsidRPr="00E215F0">
        <w:t xml:space="preserve"> RX and TX timing error</w:t>
      </w:r>
    </w:p>
    <w:p w14:paraId="7F62E90A" w14:textId="77777777" w:rsidR="00091772" w:rsidRPr="00E215F0" w:rsidRDefault="00091772" w:rsidP="00091772">
      <w:pPr>
        <w:pStyle w:val="ListParagraph"/>
        <w:numPr>
          <w:ilvl w:val="4"/>
          <w:numId w:val="14"/>
        </w:numPr>
        <w:ind w:left="1080"/>
      </w:pPr>
      <w:r>
        <w:t>…</w:t>
      </w:r>
    </w:p>
    <w:p w14:paraId="109324FD" w14:textId="77777777" w:rsidR="00091772" w:rsidRDefault="00091772" w:rsidP="00091772"/>
    <w:p w14:paraId="569534FE" w14:textId="0348C804" w:rsidR="00B7735A" w:rsidRDefault="00B7735A" w:rsidP="00091772">
      <w:pPr>
        <w:pStyle w:val="Proposal"/>
      </w:pPr>
      <w:bookmarkStart w:id="2178" w:name="_Toc189845147"/>
      <w:r>
        <w:t>The training dataset is attached with metadata which describes the context information on the set of collected training data samples.</w:t>
      </w:r>
      <w:bookmarkEnd w:id="2178"/>
    </w:p>
    <w:p w14:paraId="7B55A649" w14:textId="2AEDF2BD" w:rsidR="00B7735A" w:rsidRDefault="00B7735A" w:rsidP="00091772">
      <w:pPr>
        <w:pStyle w:val="Proposal"/>
      </w:pPr>
      <w:bookmarkStart w:id="2179" w:name="_Toc189845148"/>
      <w:r>
        <w:t xml:space="preserve">For training data collection of </w:t>
      </w:r>
      <w:proofErr w:type="gramStart"/>
      <w:r>
        <w:t>Part</w:t>
      </w:r>
      <w:proofErr w:type="gramEnd"/>
      <w:r>
        <w:t xml:space="preserve"> A, the metadata includes: Group 1 for assistance data, </w:t>
      </w:r>
      <w:r w:rsidRPr="00B7735A">
        <w:t>Group 2</w:t>
      </w:r>
      <w:r>
        <w:t xml:space="preserve"> for</w:t>
      </w:r>
      <w:r w:rsidRPr="00B7735A">
        <w:t xml:space="preserve"> signal measurement configuration</w:t>
      </w:r>
      <w:r>
        <w:t xml:space="preserve">, and </w:t>
      </w:r>
      <w:r w:rsidRPr="00B7735A">
        <w:t>Group 3</w:t>
      </w:r>
      <w:r>
        <w:t xml:space="preserve"> for</w:t>
      </w:r>
      <w:r w:rsidRPr="00B7735A">
        <w:t xml:space="preserve"> measurement environment condition and quality</w:t>
      </w:r>
      <w:r>
        <w:t>.</w:t>
      </w:r>
      <w:bookmarkEnd w:id="2179"/>
    </w:p>
    <w:p w14:paraId="77FEB73A" w14:textId="472E0562" w:rsidR="00091772" w:rsidRDefault="00091772" w:rsidP="00B7735A">
      <w:pPr>
        <w:pStyle w:val="Proposal"/>
        <w:spacing w:after="0"/>
      </w:pPr>
      <w:bookmarkStart w:id="2180" w:name="_Toc189845149"/>
      <w:r>
        <w:t xml:space="preserve">RAN1 to study </w:t>
      </w:r>
      <w:r w:rsidR="00B7735A">
        <w:t>the details of Group 3</w:t>
      </w:r>
      <w:r>
        <w:t xml:space="preserve"> metadata to attach to training dataset, including:</w:t>
      </w:r>
      <w:bookmarkEnd w:id="2180"/>
    </w:p>
    <w:p w14:paraId="01C82A8E" w14:textId="77777777" w:rsidR="00091772" w:rsidRPr="00E215F0" w:rsidRDefault="00091772" w:rsidP="005925D5">
      <w:pPr>
        <w:pStyle w:val="Proposal"/>
        <w:numPr>
          <w:ilvl w:val="0"/>
          <w:numId w:val="74"/>
        </w:numPr>
        <w:tabs>
          <w:tab w:val="clear" w:pos="1304"/>
        </w:tabs>
        <w:spacing w:after="0"/>
        <w:ind w:left="1800" w:hanging="494"/>
      </w:pPr>
      <w:bookmarkStart w:id="2181" w:name="_Toc189845150"/>
      <w:r>
        <w:t>Range of SNR/SINR</w:t>
      </w:r>
      <w:bookmarkEnd w:id="2181"/>
    </w:p>
    <w:p w14:paraId="77152E13" w14:textId="77777777" w:rsidR="00091772" w:rsidRPr="00E215F0" w:rsidRDefault="00091772" w:rsidP="005925D5">
      <w:pPr>
        <w:pStyle w:val="Proposal"/>
        <w:numPr>
          <w:ilvl w:val="0"/>
          <w:numId w:val="74"/>
        </w:numPr>
        <w:tabs>
          <w:tab w:val="clear" w:pos="1304"/>
        </w:tabs>
        <w:spacing w:after="0"/>
        <w:ind w:left="1800" w:hanging="494"/>
      </w:pPr>
      <w:bookmarkStart w:id="2182" w:name="_Toc189845151"/>
      <w:r>
        <w:t xml:space="preserve">Range of </w:t>
      </w:r>
      <w:r w:rsidRPr="00E215F0">
        <w:t>Channel estimation error</w:t>
      </w:r>
      <w:bookmarkEnd w:id="2182"/>
    </w:p>
    <w:p w14:paraId="02957A5B" w14:textId="77777777" w:rsidR="00091772" w:rsidRPr="00E215F0" w:rsidRDefault="00091772" w:rsidP="005925D5">
      <w:pPr>
        <w:pStyle w:val="Proposal"/>
        <w:numPr>
          <w:ilvl w:val="0"/>
          <w:numId w:val="74"/>
        </w:numPr>
        <w:tabs>
          <w:tab w:val="clear" w:pos="1304"/>
        </w:tabs>
        <w:spacing w:after="0"/>
        <w:ind w:left="1800" w:hanging="494"/>
      </w:pPr>
      <w:bookmarkStart w:id="2183" w:name="_Toc189845152"/>
      <w:r>
        <w:t>Range of NW synchronization error</w:t>
      </w:r>
      <w:bookmarkEnd w:id="2183"/>
      <w:r>
        <w:t xml:space="preserve"> </w:t>
      </w:r>
    </w:p>
    <w:p w14:paraId="3B83AB3B" w14:textId="77777777" w:rsidR="00091772" w:rsidRPr="00E215F0" w:rsidRDefault="00091772" w:rsidP="005925D5">
      <w:pPr>
        <w:pStyle w:val="Proposal"/>
        <w:numPr>
          <w:ilvl w:val="0"/>
          <w:numId w:val="74"/>
        </w:numPr>
        <w:tabs>
          <w:tab w:val="clear" w:pos="1304"/>
        </w:tabs>
        <w:spacing w:after="0"/>
        <w:ind w:left="1800" w:hanging="494"/>
      </w:pPr>
      <w:bookmarkStart w:id="2184" w:name="_Toc189845153"/>
      <w:r>
        <w:t xml:space="preserve">Range of </w:t>
      </w:r>
      <w:r w:rsidRPr="00E215F0">
        <w:t>UE/</w:t>
      </w:r>
      <w:proofErr w:type="spellStart"/>
      <w:r w:rsidRPr="00E215F0">
        <w:t>gNB</w:t>
      </w:r>
      <w:proofErr w:type="spellEnd"/>
      <w:r w:rsidRPr="00E215F0">
        <w:t xml:space="preserve"> RX and TX timing error</w:t>
      </w:r>
      <w:bookmarkEnd w:id="2184"/>
    </w:p>
    <w:p w14:paraId="454CDCCA" w14:textId="77777777" w:rsidR="00091772" w:rsidRDefault="00091772" w:rsidP="00091772"/>
    <w:p w14:paraId="30BF0082" w14:textId="7AF94884" w:rsidR="00091772" w:rsidRDefault="00091772" w:rsidP="00091772">
      <w:r>
        <w:t xml:space="preserve">The metadata of the training dataset is not only necessary for keeping track of the context and versions of the training dataset, </w:t>
      </w:r>
      <w:proofErr w:type="gramStart"/>
      <w:r>
        <w:t>it</w:t>
      </w:r>
      <w:proofErr w:type="gramEnd"/>
      <w:r>
        <w:t xml:space="preserve"> also provides context information of model(s) trained with the given training dataset. During model deployment, the context information of the model is needed to ensure </w:t>
      </w:r>
      <w:r>
        <w:lastRenderedPageBreak/>
        <w:t xml:space="preserve">consistency between model training and model inference. Further details are provided in section </w:t>
      </w:r>
      <w:r w:rsidR="00E70DE4">
        <w:fldChar w:fldCharType="begin"/>
      </w:r>
      <w:r w:rsidR="00E70DE4">
        <w:instrText xml:space="preserve"> REF _Ref163214421 \r </w:instrText>
      </w:r>
      <w:r w:rsidR="00E70DE4">
        <w:fldChar w:fldCharType="separate"/>
      </w:r>
      <w:r w:rsidR="00C713E4">
        <w:t>7.1</w:t>
      </w:r>
      <w:r w:rsidR="00E70DE4">
        <w:fldChar w:fldCharType="end"/>
      </w:r>
      <w:r>
        <w:t xml:space="preserve"> and </w:t>
      </w:r>
      <w:r w:rsidR="00E70DE4">
        <w:fldChar w:fldCharType="begin"/>
      </w:r>
      <w:r w:rsidR="00E70DE4">
        <w:instrText xml:space="preserve"> REF _Ref163214427 \r </w:instrText>
      </w:r>
      <w:r w:rsidR="00E70DE4">
        <w:fldChar w:fldCharType="separate"/>
      </w:r>
      <w:r w:rsidR="00C713E4">
        <w:t>7.2</w:t>
      </w:r>
      <w:r w:rsidR="00E70DE4">
        <w:fldChar w:fldCharType="end"/>
      </w:r>
      <w:r>
        <w:t>.</w:t>
      </w:r>
    </w:p>
    <w:p w14:paraId="2A834DE0" w14:textId="77777777" w:rsidR="00091772" w:rsidRDefault="00091772" w:rsidP="00091772">
      <w:r>
        <w:t xml:space="preserve">Furthermore, the AI/ML solution needs to secure a training dataset of adequate </w:t>
      </w:r>
      <w:proofErr w:type="gramStart"/>
      <w:r>
        <w:t>quality as a whole</w:t>
      </w:r>
      <w:proofErr w:type="gramEnd"/>
      <w:r>
        <w:t>.</w:t>
      </w:r>
    </w:p>
    <w:p w14:paraId="0A4F4B44" w14:textId="77777777" w:rsidR="00091772" w:rsidRPr="00194B5B" w:rsidRDefault="00091772" w:rsidP="005925D5">
      <w:pPr>
        <w:pStyle w:val="ListParagraph"/>
        <w:numPr>
          <w:ilvl w:val="0"/>
          <w:numId w:val="38"/>
        </w:numPr>
      </w:pPr>
      <w:r w:rsidRPr="00194B5B">
        <w:t>Collect a sufficiently large size of training dataset.</w:t>
      </w:r>
    </w:p>
    <w:p w14:paraId="1F072EB8" w14:textId="77777777" w:rsidR="00091772" w:rsidRPr="00194B5B" w:rsidRDefault="00091772" w:rsidP="005925D5">
      <w:pPr>
        <w:pStyle w:val="ListParagraph"/>
        <w:numPr>
          <w:ilvl w:val="0"/>
          <w:numId w:val="38"/>
        </w:numPr>
      </w:pPr>
      <w:r w:rsidRPr="00194B5B">
        <w:t>Collect data that fully reflect the UE distribution during operation, e.g., uniformly distributed over the entire floor.</w:t>
      </w:r>
    </w:p>
    <w:p w14:paraId="71981977" w14:textId="77777777" w:rsidR="00091772" w:rsidRPr="00194B5B" w:rsidRDefault="00091772" w:rsidP="005925D5">
      <w:pPr>
        <w:pStyle w:val="ListParagraph"/>
        <w:numPr>
          <w:ilvl w:val="0"/>
          <w:numId w:val="38"/>
        </w:numPr>
      </w:pPr>
      <w:r w:rsidRPr="00194B5B">
        <w:t xml:space="preserve">Collect data from a variety of UEs to generalize over different UE implementations, including different UE vendors, different UE capabilities, different UE orientation, etc. </w:t>
      </w:r>
    </w:p>
    <w:p w14:paraId="7315D526" w14:textId="77777777" w:rsidR="00091772" w:rsidRDefault="00091772" w:rsidP="00091772">
      <w:r>
        <w:t xml:space="preserve">While the training data collection procedure needs to pay attention to the above issues, they are expected to be taken care of via engineering effort and not explicit in the standard specification. </w:t>
      </w:r>
    </w:p>
    <w:p w14:paraId="279F1ACD" w14:textId="366EFA6A" w:rsidR="00091772" w:rsidRDefault="00091772" w:rsidP="00091772">
      <w:pPr>
        <w:pStyle w:val="Observation"/>
      </w:pPr>
      <w:bookmarkStart w:id="2185" w:name="_Toc189845090"/>
      <w:r>
        <w:t xml:space="preserve">Collecting sufficient data in terms of training dataset size, UE distribution, diversity of UE sources, </w:t>
      </w:r>
      <w:proofErr w:type="spellStart"/>
      <w:r>
        <w:t>etc</w:t>
      </w:r>
      <w:proofErr w:type="spellEnd"/>
      <w:r w:rsidR="008A3EFD">
        <w:t>,</w:t>
      </w:r>
      <w:r>
        <w:t xml:space="preserve"> is up to implementation.</w:t>
      </w:r>
      <w:bookmarkEnd w:id="2185"/>
      <w:r>
        <w:t xml:space="preserve"> </w:t>
      </w:r>
    </w:p>
    <w:p w14:paraId="072B7AE4" w14:textId="77777777" w:rsidR="00656267" w:rsidRPr="00FE58F3" w:rsidRDefault="00656267" w:rsidP="002A1C0D">
      <w:pPr>
        <w:rPr>
          <w:lang w:val="sv-SE"/>
        </w:rPr>
      </w:pPr>
    </w:p>
    <w:p w14:paraId="62671BE1" w14:textId="03A67B14" w:rsidR="006410AF" w:rsidRDefault="00C804DC" w:rsidP="006410AF">
      <w:pPr>
        <w:pStyle w:val="Heading3"/>
      </w:pPr>
      <w:bookmarkStart w:id="2186" w:name="_Ref178955267"/>
      <w:bookmarkStart w:id="2187" w:name="_Toc189845039"/>
      <w:r w:rsidRPr="320AE0F0">
        <w:rPr>
          <w:lang w:val="en-US"/>
        </w:rPr>
        <w:t>Assistance data for c</w:t>
      </w:r>
      <w:r w:rsidR="00AD0B68" w:rsidRPr="320AE0F0">
        <w:rPr>
          <w:lang w:val="en-US"/>
        </w:rPr>
        <w:t>onsistency between training and inference</w:t>
      </w:r>
      <w:bookmarkEnd w:id="2186"/>
      <w:bookmarkEnd w:id="2187"/>
    </w:p>
    <w:p w14:paraId="1B69364B" w14:textId="043CA190" w:rsidR="00803BFF" w:rsidRDefault="00020F7F" w:rsidP="00803BFF">
      <w:r>
        <w:t>Once the assistance data for data collection is established, the AI</w:t>
      </w:r>
      <w:r w:rsidR="00703205">
        <w:t>/</w:t>
      </w:r>
      <w:r>
        <w:t xml:space="preserve">ML positioning framework should also </w:t>
      </w:r>
      <w:r w:rsidR="00564F6D">
        <w:t xml:space="preserve">enable consistency between assistance data received during data collection and inference. </w:t>
      </w:r>
      <w:r w:rsidR="00803BFF">
        <w:t xml:space="preserve"> In our view, </w:t>
      </w:r>
      <w:r w:rsidR="00BA4306">
        <w:t xml:space="preserve">such consistency can be achieved </w:t>
      </w:r>
      <w:r w:rsidR="00A30886">
        <w:t xml:space="preserve">to a large degree </w:t>
      </w:r>
      <w:r w:rsidR="00BA4306">
        <w:t xml:space="preserve">using a validity area attached to the training data set. </w:t>
      </w:r>
      <w:r w:rsidR="00535636">
        <w:t xml:space="preserve">Considering the model generality issues studied in Rel-18 SI, </w:t>
      </w:r>
      <w:proofErr w:type="gramStart"/>
      <w:r w:rsidR="00535636">
        <w:t>finger-printing</w:t>
      </w:r>
      <w:proofErr w:type="gramEnd"/>
      <w:r w:rsidR="00535636">
        <w:t xml:space="preserve"> based AI/ML methods are very sensitive to the deployment area. A model trained for one deployment area is unlikely to work for a different deployment area without any change.</w:t>
      </w:r>
      <w:r w:rsidR="00BA4306">
        <w:t xml:space="preserve"> </w:t>
      </w:r>
      <w:r w:rsidR="00803BFF">
        <w:t xml:space="preserve">During RAN1#117, it was discussed whether a training data set validity area should be explicitly attached to a training data set, </w:t>
      </w:r>
      <w:proofErr w:type="spellStart"/>
      <w:r w:rsidR="00803BFF">
        <w:t>i.e</w:t>
      </w:r>
      <w:proofErr w:type="spellEnd"/>
      <w:r w:rsidR="00803BFF">
        <w:t xml:space="preserve"> via a validity area ID, or if the training data set should contain information sufficient for a node receiving the training data set to determine the validity area of the model being trained</w:t>
      </w:r>
      <w:r w:rsidR="00515DBC">
        <w:t xml:space="preserve"> and leave the consistency check to implementation</w:t>
      </w:r>
      <w:r w:rsidR="00803BFF">
        <w:t xml:space="preserve">.  In our view, explicit definition of the model validity area is needed. </w:t>
      </w:r>
    </w:p>
    <w:p w14:paraId="2E54AF04" w14:textId="77777777" w:rsidR="00803BFF" w:rsidRDefault="00803BFF" w:rsidP="00803BFF">
      <w:r>
        <w:t>We see the need of validity area for the following reason:</w:t>
      </w:r>
    </w:p>
    <w:p w14:paraId="01CB0925" w14:textId="7BC45FDF" w:rsidR="00803BFF" w:rsidRDefault="00803BFF" w:rsidP="00803BFF">
      <w:pPr>
        <w:pStyle w:val="ListParagraph"/>
        <w:numPr>
          <w:ilvl w:val="0"/>
          <w:numId w:val="14"/>
        </w:numPr>
      </w:pPr>
      <w:r>
        <w:t xml:space="preserve">Consistency of assistance data between data collection and inference. In case 1 or 2a, the UE perform data collection with a given set of assistance data and train its model, then receive assistance data at the inference phase. The AD for inference must at least overlap with the AD used during data collection to train the model. The UE could of course get a set of </w:t>
      </w:r>
      <w:proofErr w:type="gramStart"/>
      <w:r>
        <w:t>AD</w:t>
      </w:r>
      <w:proofErr w:type="gramEnd"/>
      <w:r>
        <w:t xml:space="preserve"> and request what AD is missing via on-demand PRS request, but this is inefficient </w:t>
      </w:r>
      <w:proofErr w:type="spellStart"/>
      <w:r>
        <w:t>signalling</w:t>
      </w:r>
      <w:proofErr w:type="spellEnd"/>
      <w:r>
        <w:t xml:space="preserve">, since it is possible for the LMF and the UE to handshake which AD is needed during inference thanks to an agreed upon validity area established during data collection, if a validity area ID is defined. </w:t>
      </w:r>
    </w:p>
    <w:p w14:paraId="652A7800" w14:textId="6B48242E" w:rsidR="00803BFF" w:rsidRDefault="00803BFF" w:rsidP="00803BFF">
      <w:pPr>
        <w:pStyle w:val="ListParagraph"/>
        <w:numPr>
          <w:ilvl w:val="0"/>
          <w:numId w:val="14"/>
        </w:numPr>
      </w:pPr>
      <w:r>
        <w:lastRenderedPageBreak/>
        <w:t xml:space="preserve">For the LMF, knowledge of the validity area of a model can also be used to decide whether the model is compatible with the AD it intends to send. For example, the network may have changed the PRS configuration between data collection and inference, making the UE untrained for the new deployment. From the overhead perspective, </w:t>
      </w:r>
      <w:r w:rsidR="009C02A7">
        <w:t xml:space="preserve">it </w:t>
      </w:r>
      <w:r>
        <w:t xml:space="preserve">is more efficient for the network to know in advance if the AD is useful and thus know that starting the procedure for AI use cases is worth it, or if legacy positioning should be used instead. Hence knowledge of validity area is also valuable at the LMF side. </w:t>
      </w:r>
    </w:p>
    <w:p w14:paraId="294A949C" w14:textId="74C4CD2B" w:rsidR="00803BFF" w:rsidRDefault="00803BFF" w:rsidP="00803BFF">
      <w:r>
        <w:t>Hence, a</w:t>
      </w:r>
      <w:r w:rsidR="00535636">
        <w:t>n</w:t>
      </w:r>
      <w:r>
        <w:t xml:space="preserve"> ID associated with the UE’s model training dataset validity area can reduce the amount of overhead to align assistance data between training and inference. </w:t>
      </w:r>
    </w:p>
    <w:p w14:paraId="205A190F" w14:textId="2EF25B9A" w:rsidR="0082114C" w:rsidRDefault="00CD58C6" w:rsidP="004079B7">
      <w:r>
        <w:t>Th</w:t>
      </w:r>
      <w:r w:rsidR="00535636">
        <w:t>us,</w:t>
      </w:r>
      <w:r w:rsidR="004079B7">
        <w:t xml:space="preserve"> </w:t>
      </w:r>
      <w:r w:rsidR="00535636">
        <w:t xml:space="preserve">for </w:t>
      </w:r>
      <w:r w:rsidR="004079B7">
        <w:t xml:space="preserve">the training data collection stage, it is necessary to define a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004079B7">
        <w:t>. This describes the area that training dataset is collected</w:t>
      </w:r>
      <w:r w:rsidR="0082114C">
        <w:t>, and can be defined as:</w:t>
      </w:r>
    </w:p>
    <w:tbl>
      <w:tblPr>
        <w:tblStyle w:val="TableGrid"/>
        <w:tblW w:w="0" w:type="auto"/>
        <w:tblLook w:val="04A0" w:firstRow="1" w:lastRow="0" w:firstColumn="1" w:lastColumn="0" w:noHBand="0" w:noVBand="1"/>
      </w:tblPr>
      <w:tblGrid>
        <w:gridCol w:w="2425"/>
        <w:gridCol w:w="7537"/>
      </w:tblGrid>
      <w:tr w:rsidR="0082114C" w14:paraId="292A78C6" w14:textId="77777777" w:rsidTr="004E7006">
        <w:tc>
          <w:tcPr>
            <w:tcW w:w="2425" w:type="dxa"/>
          </w:tcPr>
          <w:p w14:paraId="21709566" w14:textId="5471D488" w:rsidR="0082114C" w:rsidRDefault="0082114C" w:rsidP="004079B7">
            <w:r>
              <w:t>Training dataset validity area</w:t>
            </w:r>
          </w:p>
        </w:tc>
        <w:tc>
          <w:tcPr>
            <w:tcW w:w="7537" w:type="dxa"/>
          </w:tcPr>
          <w:p w14:paraId="772031FC" w14:textId="1D229CA5" w:rsidR="0082114C" w:rsidRDefault="0082114C" w:rsidP="004079B7">
            <w:r>
              <w:rPr>
                <w:snapToGrid w:val="0"/>
              </w:rPr>
              <w:t>T</w:t>
            </w:r>
            <w:r w:rsidRPr="00C96D6C">
              <w:rPr>
                <w:snapToGrid w:val="0"/>
              </w:rPr>
              <w:t>he network area for which th</w:t>
            </w:r>
            <w:r>
              <w:rPr>
                <w:snapToGrid w:val="0"/>
              </w:rPr>
              <w:t>e training dataset</w:t>
            </w:r>
            <w:r w:rsidRPr="00C96D6C">
              <w:rPr>
                <w:snapToGrid w:val="0"/>
              </w:rPr>
              <w:t xml:space="preserve"> is valid.</w:t>
            </w:r>
          </w:p>
        </w:tc>
      </w:tr>
    </w:tbl>
    <w:p w14:paraId="6CA9A36F" w14:textId="77777777" w:rsidR="000009CE" w:rsidRDefault="000009CE" w:rsidP="004079B7"/>
    <w:p w14:paraId="3E84D7D5" w14:textId="22B0FA8A" w:rsidR="004079B7" w:rsidRDefault="004079B7" w:rsidP="004079B7">
      <w:proofErr w:type="gramStart"/>
      <w:r>
        <w:t>Similar to</w:t>
      </w:r>
      <w:proofErr w:type="gramEnd"/>
      <w:r>
        <w:t xml:space="preserve"> the existing '</w:t>
      </w:r>
      <w:proofErr w:type="spellStart"/>
      <w:r w:rsidRPr="007C1B67">
        <w:t>AreaID-CellList</w:t>
      </w:r>
      <w:proofErr w:type="spellEnd"/>
      <w:r>
        <w:t xml:space="preserve">', the validity area for AI/ML operation can be defined as a list of TRPs, where the TRPs transmits DL PRS and covers the surrounding area to support positioning. Checking the indication of the TRP ID in TS 37.355, it includes </w:t>
      </w:r>
      <w:r w:rsidRPr="007C1B67">
        <w:t>dl-PRS-ID-r16</w:t>
      </w:r>
      <w:r>
        <w:t xml:space="preserve"> in addition to the fields in </w:t>
      </w:r>
      <w:r w:rsidRPr="007C1B67">
        <w:t>NR-Cell-IDs-r17</w:t>
      </w:r>
      <w:r>
        <w:t>.</w:t>
      </w:r>
      <w:r w:rsidR="00EB38F6">
        <w:t xml:space="preserve"> </w:t>
      </w:r>
      <w:r>
        <w:t xml:space="preserve"> </w:t>
      </w:r>
      <w:r w:rsidR="003E513B">
        <w:t>T</w:t>
      </w:r>
      <w:r>
        <w:t xml:space="preserve">his shows that an IE can be easily defined to provide area information using a list of TRP IDs. </w:t>
      </w:r>
      <w:r w:rsidR="005554F0">
        <w:t xml:space="preserve"> </w:t>
      </w:r>
    </w:p>
    <w:p w14:paraId="0958E398" w14:textId="77777777" w:rsidR="004079B7" w:rsidRDefault="004079B7" w:rsidP="004079B7">
      <w:r>
        <w:t>TS 37.355:</w:t>
      </w:r>
    </w:p>
    <w:tbl>
      <w:tblPr>
        <w:tblStyle w:val="TableGrid"/>
        <w:tblW w:w="0" w:type="auto"/>
        <w:tblLook w:val="04A0" w:firstRow="1" w:lastRow="0" w:firstColumn="1" w:lastColumn="0" w:noHBand="0" w:noVBand="1"/>
      </w:tblPr>
      <w:tblGrid>
        <w:gridCol w:w="9962"/>
      </w:tblGrid>
      <w:tr w:rsidR="004079B7" w14:paraId="140BFA38" w14:textId="77777777" w:rsidTr="00744722">
        <w:tc>
          <w:tcPr>
            <w:tcW w:w="9962" w:type="dxa"/>
          </w:tcPr>
          <w:p w14:paraId="321FF032" w14:textId="77777777" w:rsidR="004079B7" w:rsidRPr="00AC7BD9" w:rsidRDefault="004079B7" w:rsidP="00DA6EB4">
            <w:pPr>
              <w:spacing w:after="0"/>
              <w:rPr>
                <w:sz w:val="20"/>
                <w:szCs w:val="18"/>
              </w:rPr>
            </w:pPr>
            <w:r w:rsidRPr="00AC7BD9">
              <w:rPr>
                <w:sz w:val="20"/>
                <w:szCs w:val="20"/>
              </w:rPr>
              <w:t>–</w:t>
            </w:r>
            <w:r w:rsidRPr="00AC7BD9">
              <w:rPr>
                <w:sz w:val="20"/>
                <w:szCs w:val="20"/>
              </w:rPr>
              <w:tab/>
            </w:r>
            <w:proofErr w:type="spellStart"/>
            <w:r w:rsidRPr="00AC7BD9">
              <w:rPr>
                <w:sz w:val="20"/>
                <w:szCs w:val="20"/>
              </w:rPr>
              <w:t>AreaID-CellList</w:t>
            </w:r>
            <w:proofErr w:type="spellEnd"/>
          </w:p>
          <w:p w14:paraId="0E4E8DED" w14:textId="77777777" w:rsidR="004079B7" w:rsidRPr="00AC7BD9" w:rsidRDefault="004079B7" w:rsidP="00DA6EB4">
            <w:pPr>
              <w:keepLines/>
              <w:spacing w:after="0"/>
              <w:rPr>
                <w:sz w:val="18"/>
                <w:szCs w:val="18"/>
              </w:rPr>
            </w:pPr>
            <w:r w:rsidRPr="00AC7BD9">
              <w:rPr>
                <w:sz w:val="20"/>
                <w:szCs w:val="20"/>
              </w:rPr>
              <w:t xml:space="preserve">The IE </w:t>
            </w:r>
            <w:proofErr w:type="spellStart"/>
            <w:r w:rsidRPr="00AC7BD9">
              <w:rPr>
                <w:i/>
                <w:sz w:val="20"/>
                <w:szCs w:val="20"/>
              </w:rPr>
              <w:t>AreaID-CellList</w:t>
            </w:r>
            <w:proofErr w:type="spellEnd"/>
            <w:r w:rsidRPr="00AC7BD9">
              <w:rPr>
                <w:sz w:val="20"/>
                <w:szCs w:val="20"/>
              </w:rPr>
              <w:t xml:space="preserve"> </w:t>
            </w:r>
            <w:r w:rsidRPr="00AC7BD9">
              <w:rPr>
                <w:snapToGrid w:val="0"/>
                <w:sz w:val="20"/>
                <w:szCs w:val="20"/>
              </w:rPr>
              <w:t>provides the NR Cell-IDs</w:t>
            </w:r>
            <w:r w:rsidRPr="00AC7BD9">
              <w:rPr>
                <w:sz w:val="20"/>
                <w:szCs w:val="20"/>
              </w:rPr>
              <w:t xml:space="preserve"> of the TRPs belonging to a particular network area where the associated assistance data are valid. </w:t>
            </w:r>
            <w:r w:rsidRPr="00BD5F8C">
              <w:rPr>
                <w:color w:val="FF0000"/>
                <w:sz w:val="20"/>
                <w:szCs w:val="20"/>
              </w:rPr>
              <w:t>Each cell is included in only one area.</w:t>
            </w:r>
          </w:p>
          <w:p w14:paraId="76A775D1"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 ASN1START</w:t>
            </w:r>
          </w:p>
          <w:p w14:paraId="115FC006"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1566BA4"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AreaID-CellList-r</w:t>
            </w:r>
            <w:proofErr w:type="gramStart"/>
            <w:r w:rsidRPr="00CD59F9">
              <w:rPr>
                <w:rFonts w:ascii="Courier New" w:hAnsi="Courier New"/>
                <w:sz w:val="16"/>
              </w:rPr>
              <w:t>17 ::=</w:t>
            </w:r>
            <w:proofErr w:type="gramEnd"/>
            <w:r w:rsidRPr="00CD59F9">
              <w:rPr>
                <w:rFonts w:ascii="Courier New" w:hAnsi="Courier New"/>
                <w:sz w:val="16"/>
              </w:rPr>
              <w:t xml:space="preserve"> SEQUENCE (SIZE(1..maxCellIDsPerArea-r17)) OF NR-Cell-IDs-r17</w:t>
            </w:r>
          </w:p>
          <w:p w14:paraId="0B6C34AB"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2D3F8A"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NR-Cell-IDs-r</w:t>
            </w:r>
            <w:proofErr w:type="gramStart"/>
            <w:r w:rsidRPr="00CD59F9">
              <w:rPr>
                <w:rFonts w:ascii="Courier New" w:hAnsi="Courier New"/>
                <w:sz w:val="16"/>
              </w:rPr>
              <w:t>17 ::=</w:t>
            </w:r>
            <w:proofErr w:type="gramEnd"/>
            <w:r w:rsidRPr="00CD59F9">
              <w:rPr>
                <w:rFonts w:ascii="Courier New" w:hAnsi="Courier New"/>
                <w:sz w:val="16"/>
              </w:rPr>
              <w:t xml:space="preserve"> SEQUENCE {</w:t>
            </w:r>
          </w:p>
          <w:p w14:paraId="4FEB6C8B"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0070C0"/>
                <w:sz w:val="16"/>
              </w:rPr>
            </w:pPr>
            <w:r w:rsidRPr="00CD59F9">
              <w:rPr>
                <w:rFonts w:ascii="Courier New" w:hAnsi="Courier New"/>
                <w:b/>
                <w:bCs/>
                <w:color w:val="0070C0"/>
                <w:sz w:val="16"/>
              </w:rPr>
              <w:tab/>
            </w:r>
            <w:r w:rsidRPr="00CD59F9">
              <w:rPr>
                <w:rFonts w:ascii="Courier New" w:hAnsi="Courier New"/>
                <w:b/>
                <w:bCs/>
                <w:snapToGrid w:val="0"/>
                <w:color w:val="0070C0"/>
                <w:sz w:val="16"/>
              </w:rPr>
              <w:t>nr-CellGlobalID-r17</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NCGI-r15</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OPTIONAL,</w:t>
            </w:r>
            <w:r w:rsidRPr="00CD59F9">
              <w:rPr>
                <w:rFonts w:ascii="Courier New" w:hAnsi="Courier New"/>
                <w:b/>
                <w:bCs/>
                <w:snapToGrid w:val="0"/>
                <w:color w:val="0070C0"/>
                <w:sz w:val="16"/>
              </w:rPr>
              <w:tab/>
              <w:t>-- Need ON</w:t>
            </w:r>
          </w:p>
          <w:p w14:paraId="15B0016A"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0070C0"/>
                <w:sz w:val="16"/>
              </w:rPr>
            </w:pPr>
            <w:r w:rsidRPr="00CD59F9">
              <w:rPr>
                <w:rFonts w:ascii="Courier New" w:hAnsi="Courier New"/>
                <w:b/>
                <w:bCs/>
                <w:snapToGrid w:val="0"/>
                <w:color w:val="0070C0"/>
                <w:sz w:val="16"/>
              </w:rPr>
              <w:tab/>
              <w:t>nr-PhysCellID-r17</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NR-PhysCellID-r16</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OPTIONAL,</w:t>
            </w:r>
            <w:r w:rsidRPr="00CD59F9">
              <w:rPr>
                <w:rFonts w:ascii="Courier New" w:hAnsi="Courier New"/>
                <w:b/>
                <w:bCs/>
                <w:snapToGrid w:val="0"/>
                <w:color w:val="0070C0"/>
                <w:sz w:val="16"/>
              </w:rPr>
              <w:tab/>
              <w:t>-- Need ON</w:t>
            </w:r>
          </w:p>
          <w:p w14:paraId="1C330F16"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0070C0"/>
                <w:sz w:val="16"/>
              </w:rPr>
            </w:pPr>
            <w:r w:rsidRPr="00CD59F9">
              <w:rPr>
                <w:rFonts w:ascii="Courier New" w:hAnsi="Courier New"/>
                <w:b/>
                <w:bCs/>
                <w:snapToGrid w:val="0"/>
                <w:color w:val="0070C0"/>
                <w:sz w:val="16"/>
              </w:rPr>
              <w:tab/>
            </w:r>
            <w:r w:rsidRPr="00CD59F9">
              <w:rPr>
                <w:rFonts w:ascii="Courier New" w:hAnsi="Courier New"/>
                <w:b/>
                <w:bCs/>
                <w:color w:val="0070C0"/>
                <w:sz w:val="16"/>
              </w:rPr>
              <w:t>nr-ARFCN</w:t>
            </w:r>
            <w:r w:rsidRPr="00CD59F9">
              <w:rPr>
                <w:rFonts w:ascii="Courier New" w:hAnsi="Courier New"/>
                <w:b/>
                <w:bCs/>
                <w:snapToGrid w:val="0"/>
                <w:color w:val="0070C0"/>
                <w:sz w:val="16"/>
              </w:rPr>
              <w:t>-r17</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ARFCN-ValueNR-r15</w:t>
            </w:r>
            <w:r w:rsidRPr="00CD59F9">
              <w:rPr>
                <w:rFonts w:ascii="Courier New" w:hAnsi="Courier New"/>
                <w:b/>
                <w:bCs/>
                <w:snapToGrid w:val="0"/>
                <w:color w:val="0070C0"/>
                <w:sz w:val="16"/>
              </w:rPr>
              <w:tab/>
            </w:r>
            <w:r w:rsidRPr="00CD59F9">
              <w:rPr>
                <w:rFonts w:ascii="Courier New" w:hAnsi="Courier New"/>
                <w:b/>
                <w:bCs/>
                <w:snapToGrid w:val="0"/>
                <w:color w:val="0070C0"/>
                <w:sz w:val="16"/>
              </w:rPr>
              <w:tab/>
            </w:r>
            <w:r w:rsidRPr="00CD59F9">
              <w:rPr>
                <w:rFonts w:ascii="Courier New" w:hAnsi="Courier New"/>
                <w:b/>
                <w:bCs/>
                <w:snapToGrid w:val="0"/>
                <w:color w:val="0070C0"/>
                <w:sz w:val="16"/>
              </w:rPr>
              <w:tab/>
              <w:t>OPTIONAL,</w:t>
            </w:r>
            <w:r w:rsidRPr="00CD59F9">
              <w:rPr>
                <w:rFonts w:ascii="Courier New" w:hAnsi="Courier New"/>
                <w:b/>
                <w:bCs/>
                <w:snapToGrid w:val="0"/>
                <w:color w:val="0070C0"/>
                <w:sz w:val="16"/>
              </w:rPr>
              <w:tab/>
              <w:t>-- Need ON</w:t>
            </w:r>
          </w:p>
          <w:p w14:paraId="6DD66EB8"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ab/>
              <w:t>...</w:t>
            </w:r>
          </w:p>
          <w:p w14:paraId="56627DBB"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w:t>
            </w:r>
          </w:p>
          <w:p w14:paraId="1B7E5690" w14:textId="77777777" w:rsidR="004079B7" w:rsidRPr="00CD59F9"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8CB8DCE" w14:textId="77777777" w:rsidR="004079B7" w:rsidRPr="007C1B67" w:rsidRDefault="004079B7" w:rsidP="00DA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D59F9">
              <w:rPr>
                <w:rFonts w:ascii="Courier New" w:hAnsi="Courier New"/>
                <w:sz w:val="16"/>
              </w:rPr>
              <w:t>-- ASN1STOP</w:t>
            </w:r>
          </w:p>
        </w:tc>
      </w:tr>
    </w:tbl>
    <w:p w14:paraId="2A8AFCC7" w14:textId="77777777" w:rsidR="004079B7" w:rsidRDefault="004079B7" w:rsidP="004079B7"/>
    <w:tbl>
      <w:tblPr>
        <w:tblStyle w:val="TableGrid"/>
        <w:tblW w:w="0" w:type="auto"/>
        <w:tblLook w:val="04A0" w:firstRow="1" w:lastRow="0" w:firstColumn="1" w:lastColumn="0" w:noHBand="0" w:noVBand="1"/>
      </w:tblPr>
      <w:tblGrid>
        <w:gridCol w:w="9962"/>
      </w:tblGrid>
      <w:tr w:rsidR="004079B7" w14:paraId="5BFE7E86" w14:textId="77777777" w:rsidTr="00744722">
        <w:tc>
          <w:tcPr>
            <w:tcW w:w="9962" w:type="dxa"/>
          </w:tcPr>
          <w:p w14:paraId="31102E3E" w14:textId="77777777" w:rsidR="004079B7" w:rsidRPr="00194B5B" w:rsidRDefault="004079B7" w:rsidP="00744722">
            <w:pPr>
              <w:pStyle w:val="PL"/>
              <w:rPr>
                <w:szCs w:val="16"/>
                <w:lang w:val="en-US"/>
              </w:rPr>
            </w:pPr>
            <w:r w:rsidRPr="00194B5B">
              <w:rPr>
                <w:szCs w:val="16"/>
                <w:lang w:val="en-US"/>
              </w:rPr>
              <w:t>TRP-LocationInfoElement-r16 ::= SEQUENCE {</w:t>
            </w:r>
          </w:p>
          <w:p w14:paraId="54CAD318" w14:textId="77777777" w:rsidR="004079B7" w:rsidRPr="00D1067D" w:rsidRDefault="004079B7" w:rsidP="00D10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Cs w:val="16"/>
                <w:lang w:eastAsia="sv-SE"/>
              </w:rPr>
            </w:pPr>
            <w:r w:rsidRPr="00D1067D">
              <w:rPr>
                <w:szCs w:val="16"/>
              </w:rPr>
              <w:tab/>
            </w:r>
            <w:r w:rsidRPr="00D1067D">
              <w:rPr>
                <w:rFonts w:ascii="Courier New" w:hAnsi="Courier New"/>
                <w:b/>
                <w:bCs/>
                <w:snapToGrid w:val="0"/>
                <w:color w:val="FF0000"/>
                <w:sz w:val="16"/>
                <w:highlight w:val="yellow"/>
              </w:rPr>
              <w:t>dl-PRS-ID-r16</w:t>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t>INTEGER (</w:t>
            </w:r>
            <w:proofErr w:type="gramStart"/>
            <w:r w:rsidRPr="00D1067D">
              <w:rPr>
                <w:rFonts w:ascii="Courier New" w:hAnsi="Courier New"/>
                <w:b/>
                <w:bCs/>
                <w:snapToGrid w:val="0"/>
                <w:color w:val="FF0000"/>
                <w:sz w:val="16"/>
                <w:highlight w:val="yellow"/>
              </w:rPr>
              <w:t>0..</w:t>
            </w:r>
            <w:proofErr w:type="gramEnd"/>
            <w:r w:rsidRPr="00D1067D">
              <w:rPr>
                <w:rFonts w:ascii="Courier New" w:hAnsi="Courier New"/>
                <w:b/>
                <w:bCs/>
                <w:snapToGrid w:val="0"/>
                <w:color w:val="FF0000"/>
                <w:sz w:val="16"/>
                <w:highlight w:val="yellow"/>
              </w:rPr>
              <w:t>255),</w:t>
            </w:r>
          </w:p>
          <w:p w14:paraId="04112001" w14:textId="77777777" w:rsidR="004079B7" w:rsidRPr="00194B5B" w:rsidRDefault="004079B7" w:rsidP="00744722">
            <w:pPr>
              <w:pStyle w:val="PL"/>
              <w:rPr>
                <w:b/>
                <w:color w:val="0070C0"/>
                <w:szCs w:val="16"/>
                <w:lang w:val="en-US"/>
              </w:rPr>
            </w:pPr>
            <w:r w:rsidRPr="00194B5B">
              <w:rPr>
                <w:b/>
                <w:color w:val="0070C0"/>
                <w:szCs w:val="16"/>
                <w:lang w:val="en-US"/>
              </w:rPr>
              <w:tab/>
              <w:t>nr-PhysCellID-r16</w:t>
            </w:r>
            <w:r w:rsidRPr="00194B5B">
              <w:rPr>
                <w:b/>
                <w:color w:val="0070C0"/>
                <w:szCs w:val="16"/>
                <w:lang w:val="en-US"/>
              </w:rPr>
              <w:tab/>
            </w:r>
            <w:r w:rsidRPr="00194B5B">
              <w:rPr>
                <w:b/>
                <w:color w:val="0070C0"/>
                <w:szCs w:val="16"/>
                <w:lang w:val="en-US"/>
              </w:rPr>
              <w:tab/>
            </w:r>
            <w:r w:rsidRPr="00194B5B">
              <w:rPr>
                <w:b/>
                <w:color w:val="0070C0"/>
                <w:szCs w:val="16"/>
                <w:lang w:val="en-US"/>
              </w:rPr>
              <w:tab/>
            </w:r>
            <w:r w:rsidRPr="00194B5B">
              <w:rPr>
                <w:b/>
                <w:color w:val="0070C0"/>
                <w:szCs w:val="16"/>
                <w:lang w:val="en-US"/>
              </w:rPr>
              <w:tab/>
              <w:t>NR-PhysCellID-r16</w:t>
            </w:r>
            <w:r w:rsidRPr="00194B5B">
              <w:rPr>
                <w:b/>
                <w:color w:val="0070C0"/>
                <w:szCs w:val="16"/>
                <w:lang w:val="en-US"/>
              </w:rPr>
              <w:tab/>
            </w:r>
            <w:r w:rsidRPr="00194B5B">
              <w:rPr>
                <w:b/>
                <w:color w:val="0070C0"/>
                <w:szCs w:val="16"/>
                <w:lang w:val="en-US"/>
              </w:rPr>
              <w:tab/>
            </w:r>
            <w:r w:rsidRPr="00194B5B">
              <w:rPr>
                <w:b/>
                <w:color w:val="0070C0"/>
                <w:szCs w:val="16"/>
                <w:lang w:val="en-US"/>
              </w:rPr>
              <w:tab/>
              <w:t>OPTIONAL,</w:t>
            </w:r>
            <w:r w:rsidRPr="00194B5B">
              <w:rPr>
                <w:b/>
                <w:color w:val="0070C0"/>
                <w:szCs w:val="16"/>
                <w:lang w:val="en-US"/>
              </w:rPr>
              <w:tab/>
              <w:t>-- Need ON</w:t>
            </w:r>
          </w:p>
          <w:p w14:paraId="20058980" w14:textId="77777777" w:rsidR="004079B7" w:rsidRPr="00194B5B" w:rsidRDefault="004079B7" w:rsidP="00744722">
            <w:pPr>
              <w:pStyle w:val="PL"/>
              <w:rPr>
                <w:b/>
                <w:color w:val="0070C0"/>
                <w:szCs w:val="16"/>
                <w:lang w:val="en-US"/>
              </w:rPr>
            </w:pPr>
            <w:r w:rsidRPr="00194B5B">
              <w:rPr>
                <w:b/>
                <w:color w:val="0070C0"/>
                <w:szCs w:val="16"/>
                <w:lang w:val="en-US"/>
              </w:rPr>
              <w:tab/>
              <w:t>nr-CellGlobalID-r16</w:t>
            </w:r>
            <w:r w:rsidRPr="00194B5B">
              <w:rPr>
                <w:b/>
                <w:color w:val="0070C0"/>
                <w:szCs w:val="16"/>
                <w:lang w:val="en-US"/>
              </w:rPr>
              <w:tab/>
            </w:r>
            <w:r w:rsidRPr="00194B5B">
              <w:rPr>
                <w:b/>
                <w:color w:val="0070C0"/>
                <w:szCs w:val="16"/>
                <w:lang w:val="en-US"/>
              </w:rPr>
              <w:tab/>
            </w:r>
            <w:r w:rsidRPr="00194B5B">
              <w:rPr>
                <w:b/>
                <w:color w:val="0070C0"/>
                <w:szCs w:val="16"/>
                <w:lang w:val="en-US"/>
              </w:rPr>
              <w:tab/>
              <w:t>NCGI-r15</w:t>
            </w:r>
            <w:r w:rsidRPr="00194B5B">
              <w:rPr>
                <w:b/>
                <w:color w:val="0070C0"/>
                <w:szCs w:val="16"/>
                <w:lang w:val="en-US"/>
              </w:rPr>
              <w:tab/>
            </w:r>
            <w:r w:rsidRPr="00194B5B">
              <w:rPr>
                <w:b/>
                <w:color w:val="0070C0"/>
                <w:szCs w:val="16"/>
                <w:lang w:val="en-US"/>
              </w:rPr>
              <w:tab/>
            </w:r>
            <w:r w:rsidRPr="00194B5B">
              <w:rPr>
                <w:b/>
                <w:color w:val="0070C0"/>
                <w:szCs w:val="16"/>
                <w:lang w:val="en-US"/>
              </w:rPr>
              <w:tab/>
            </w:r>
            <w:r w:rsidRPr="00194B5B">
              <w:rPr>
                <w:b/>
                <w:color w:val="0070C0"/>
                <w:szCs w:val="16"/>
                <w:lang w:val="en-US"/>
              </w:rPr>
              <w:tab/>
            </w:r>
            <w:r w:rsidRPr="00194B5B">
              <w:rPr>
                <w:b/>
                <w:color w:val="0070C0"/>
                <w:szCs w:val="16"/>
                <w:lang w:val="en-US"/>
              </w:rPr>
              <w:tab/>
              <w:t>OPTIONAL,</w:t>
            </w:r>
            <w:r w:rsidRPr="00194B5B">
              <w:rPr>
                <w:b/>
                <w:color w:val="0070C0"/>
                <w:szCs w:val="16"/>
                <w:lang w:val="en-US"/>
              </w:rPr>
              <w:tab/>
              <w:t>-- Need ON</w:t>
            </w:r>
          </w:p>
          <w:p w14:paraId="0F78C3C0" w14:textId="77777777" w:rsidR="004079B7" w:rsidRPr="00194B5B" w:rsidRDefault="004079B7" w:rsidP="00744722">
            <w:pPr>
              <w:pStyle w:val="PL"/>
              <w:rPr>
                <w:b/>
                <w:color w:val="0070C0"/>
                <w:szCs w:val="16"/>
                <w:lang w:val="en-US"/>
              </w:rPr>
            </w:pPr>
            <w:r w:rsidRPr="00194B5B">
              <w:rPr>
                <w:b/>
                <w:color w:val="0070C0"/>
                <w:szCs w:val="16"/>
                <w:lang w:val="en-US"/>
              </w:rPr>
              <w:tab/>
              <w:t>nr-ARFCN-r16</w:t>
            </w:r>
            <w:r w:rsidRPr="00194B5B">
              <w:rPr>
                <w:b/>
                <w:color w:val="0070C0"/>
                <w:szCs w:val="16"/>
                <w:lang w:val="en-US"/>
              </w:rPr>
              <w:tab/>
            </w:r>
            <w:r w:rsidRPr="00194B5B">
              <w:rPr>
                <w:b/>
                <w:color w:val="0070C0"/>
                <w:szCs w:val="16"/>
                <w:lang w:val="en-US"/>
              </w:rPr>
              <w:tab/>
            </w:r>
            <w:r w:rsidRPr="00194B5B">
              <w:rPr>
                <w:b/>
                <w:color w:val="0070C0"/>
                <w:szCs w:val="16"/>
                <w:lang w:val="en-US"/>
              </w:rPr>
              <w:tab/>
            </w:r>
            <w:r w:rsidRPr="00194B5B">
              <w:rPr>
                <w:b/>
                <w:color w:val="0070C0"/>
                <w:szCs w:val="16"/>
                <w:lang w:val="en-US"/>
              </w:rPr>
              <w:tab/>
            </w:r>
            <w:r w:rsidRPr="00194B5B">
              <w:rPr>
                <w:b/>
                <w:color w:val="0070C0"/>
                <w:szCs w:val="16"/>
                <w:lang w:val="en-US"/>
              </w:rPr>
              <w:tab/>
              <w:t>ARFCN-ValueNR-r15</w:t>
            </w:r>
            <w:r w:rsidRPr="00194B5B">
              <w:rPr>
                <w:b/>
                <w:color w:val="0070C0"/>
                <w:szCs w:val="16"/>
                <w:lang w:val="en-US"/>
              </w:rPr>
              <w:tab/>
            </w:r>
            <w:r w:rsidRPr="00194B5B">
              <w:rPr>
                <w:b/>
                <w:color w:val="0070C0"/>
                <w:szCs w:val="16"/>
                <w:lang w:val="en-US"/>
              </w:rPr>
              <w:tab/>
            </w:r>
            <w:r w:rsidRPr="00194B5B">
              <w:rPr>
                <w:b/>
                <w:color w:val="0070C0"/>
                <w:szCs w:val="16"/>
                <w:lang w:val="en-US"/>
              </w:rPr>
              <w:tab/>
              <w:t>OPTIONAL,</w:t>
            </w:r>
            <w:r w:rsidRPr="00194B5B">
              <w:rPr>
                <w:b/>
                <w:color w:val="0070C0"/>
                <w:szCs w:val="16"/>
                <w:lang w:val="en-US"/>
              </w:rPr>
              <w:tab/>
              <w:t>-- Need ON</w:t>
            </w:r>
          </w:p>
          <w:p w14:paraId="26FA64D5" w14:textId="77777777" w:rsidR="004079B7" w:rsidRPr="00194B5B" w:rsidRDefault="004079B7" w:rsidP="00744722">
            <w:pPr>
              <w:pStyle w:val="PL"/>
              <w:rPr>
                <w:szCs w:val="16"/>
                <w:lang w:val="en-US"/>
              </w:rPr>
            </w:pPr>
            <w:r w:rsidRPr="00194B5B">
              <w:rPr>
                <w:szCs w:val="16"/>
                <w:lang w:val="en-US"/>
              </w:rPr>
              <w:tab/>
              <w:t>associated-DL-PRS-ID-r16</w:t>
            </w:r>
            <w:r w:rsidRPr="00194B5B">
              <w:rPr>
                <w:szCs w:val="16"/>
                <w:lang w:val="en-US"/>
              </w:rPr>
              <w:tab/>
            </w:r>
            <w:r w:rsidRPr="00194B5B">
              <w:rPr>
                <w:szCs w:val="16"/>
                <w:lang w:val="en-US"/>
              </w:rPr>
              <w:tab/>
              <w:t>INTEGER (0..255)</w:t>
            </w:r>
            <w:r w:rsidRPr="00194B5B">
              <w:rPr>
                <w:szCs w:val="16"/>
                <w:lang w:val="en-US"/>
              </w:rPr>
              <w:tab/>
            </w:r>
            <w:r w:rsidRPr="00194B5B">
              <w:rPr>
                <w:szCs w:val="16"/>
                <w:lang w:val="en-US"/>
              </w:rPr>
              <w:tab/>
            </w:r>
            <w:r w:rsidRPr="00194B5B">
              <w:rPr>
                <w:szCs w:val="16"/>
                <w:lang w:val="en-US"/>
              </w:rPr>
              <w:tab/>
              <w:t>OPTIONAL,</w:t>
            </w:r>
            <w:r w:rsidRPr="00194B5B">
              <w:rPr>
                <w:szCs w:val="16"/>
                <w:lang w:val="en-US"/>
              </w:rPr>
              <w:tab/>
              <w:t>-- Need OP</w:t>
            </w:r>
          </w:p>
          <w:p w14:paraId="6EFB0F2D" w14:textId="77777777" w:rsidR="004079B7" w:rsidRPr="00194B5B" w:rsidRDefault="004079B7" w:rsidP="00744722">
            <w:pPr>
              <w:pStyle w:val="PL"/>
              <w:rPr>
                <w:snapToGrid w:val="0"/>
                <w:szCs w:val="16"/>
                <w:lang w:val="en-US"/>
              </w:rPr>
            </w:pPr>
            <w:r w:rsidRPr="00194B5B">
              <w:rPr>
                <w:szCs w:val="16"/>
                <w:lang w:val="en-US"/>
              </w:rPr>
              <w:tab/>
              <w:t>trp-Location-r16</w:t>
            </w:r>
            <w:r w:rsidRPr="00194B5B">
              <w:rPr>
                <w:szCs w:val="16"/>
                <w:lang w:val="en-US"/>
              </w:rPr>
              <w:tab/>
            </w:r>
            <w:r w:rsidRPr="00194B5B">
              <w:rPr>
                <w:szCs w:val="16"/>
                <w:lang w:val="en-US"/>
              </w:rPr>
              <w:tab/>
            </w:r>
            <w:r w:rsidRPr="00194B5B">
              <w:rPr>
                <w:szCs w:val="16"/>
                <w:lang w:val="en-US"/>
              </w:rPr>
              <w:tab/>
            </w:r>
            <w:r w:rsidRPr="00194B5B">
              <w:rPr>
                <w:szCs w:val="16"/>
                <w:lang w:val="en-US"/>
              </w:rPr>
              <w:tab/>
            </w:r>
            <w:r w:rsidRPr="00194B5B">
              <w:rPr>
                <w:snapToGrid w:val="0"/>
                <w:szCs w:val="16"/>
                <w:lang w:val="en-US"/>
              </w:rPr>
              <w:t>RelativeLocation-r16</w:t>
            </w:r>
            <w:r w:rsidRPr="00194B5B">
              <w:rPr>
                <w:snapToGrid w:val="0"/>
                <w:szCs w:val="16"/>
                <w:lang w:val="en-US"/>
              </w:rPr>
              <w:tab/>
            </w:r>
            <w:r w:rsidRPr="00194B5B">
              <w:rPr>
                <w:snapToGrid w:val="0"/>
                <w:szCs w:val="16"/>
                <w:lang w:val="en-US"/>
              </w:rPr>
              <w:tab/>
            </w:r>
            <w:r w:rsidRPr="00194B5B">
              <w:rPr>
                <w:snapToGrid w:val="0"/>
                <w:szCs w:val="16"/>
                <w:lang w:val="en-US"/>
              </w:rPr>
              <w:tab/>
            </w:r>
            <w:r w:rsidRPr="00194B5B">
              <w:rPr>
                <w:snapToGrid w:val="0"/>
                <w:szCs w:val="16"/>
                <w:lang w:val="en-US"/>
              </w:rPr>
              <w:tab/>
            </w:r>
            <w:r w:rsidRPr="00194B5B">
              <w:rPr>
                <w:snapToGrid w:val="0"/>
                <w:szCs w:val="16"/>
                <w:lang w:val="en-US"/>
              </w:rPr>
              <w:tab/>
              <w:t>OPTIONAL,</w:t>
            </w:r>
            <w:r w:rsidRPr="00194B5B">
              <w:rPr>
                <w:snapToGrid w:val="0"/>
                <w:szCs w:val="16"/>
                <w:lang w:val="en-US"/>
              </w:rPr>
              <w:tab/>
              <w:t>-- Need OP</w:t>
            </w:r>
          </w:p>
          <w:p w14:paraId="30821C59" w14:textId="77777777" w:rsidR="004079B7" w:rsidRPr="00194B5B" w:rsidRDefault="004079B7" w:rsidP="00744722">
            <w:pPr>
              <w:pStyle w:val="PL"/>
              <w:rPr>
                <w:snapToGrid w:val="0"/>
                <w:szCs w:val="16"/>
                <w:lang w:val="en-US"/>
              </w:rPr>
            </w:pPr>
            <w:r w:rsidRPr="00194B5B">
              <w:rPr>
                <w:snapToGrid w:val="0"/>
                <w:szCs w:val="16"/>
                <w:lang w:val="en-US"/>
              </w:rPr>
              <w:t>…</w:t>
            </w:r>
          </w:p>
          <w:p w14:paraId="0A86447F" w14:textId="77777777" w:rsidR="004079B7" w:rsidRPr="00194B5B" w:rsidRDefault="004079B7" w:rsidP="00744722">
            <w:pPr>
              <w:pStyle w:val="PL"/>
              <w:rPr>
                <w:snapToGrid w:val="0"/>
                <w:sz w:val="14"/>
                <w:szCs w:val="18"/>
                <w:lang w:val="en-US"/>
              </w:rPr>
            </w:pPr>
            <w:r w:rsidRPr="00194B5B">
              <w:rPr>
                <w:snapToGrid w:val="0"/>
                <w:szCs w:val="16"/>
                <w:lang w:val="en-US"/>
              </w:rPr>
              <w:lastRenderedPageBreak/>
              <w:t>}</w:t>
            </w:r>
          </w:p>
        </w:tc>
      </w:tr>
    </w:tbl>
    <w:p w14:paraId="54116A04" w14:textId="77777777" w:rsidR="004079B7" w:rsidRDefault="004079B7" w:rsidP="004079B7"/>
    <w:p w14:paraId="5070C378" w14:textId="6445C175" w:rsidR="001813F8" w:rsidRDefault="001813F8" w:rsidP="004079B7">
      <w:r>
        <w:t xml:space="preserve">Therefore, the training dataset validity </w:t>
      </w:r>
      <w:r w:rsidRPr="005C6195">
        <w:t>area can be</w:t>
      </w:r>
      <w:r>
        <w:t xml:space="preserve"> defined using the following:</w:t>
      </w:r>
    </w:p>
    <w:tbl>
      <w:tblPr>
        <w:tblStyle w:val="TableGrid"/>
        <w:tblW w:w="0" w:type="auto"/>
        <w:tblLook w:val="04A0" w:firstRow="1" w:lastRow="0" w:firstColumn="1" w:lastColumn="0" w:noHBand="0" w:noVBand="1"/>
      </w:tblPr>
      <w:tblGrid>
        <w:gridCol w:w="9962"/>
      </w:tblGrid>
      <w:tr w:rsidR="001813F8" w14:paraId="146789CE" w14:textId="77777777">
        <w:tc>
          <w:tcPr>
            <w:tcW w:w="9962" w:type="dxa"/>
          </w:tcPr>
          <w:p w14:paraId="1CE1B90E" w14:textId="42FE7E02" w:rsidR="001813F8" w:rsidRPr="00AC7BD9" w:rsidRDefault="001813F8">
            <w:pPr>
              <w:spacing w:after="0"/>
              <w:rPr>
                <w:sz w:val="20"/>
                <w:szCs w:val="18"/>
              </w:rPr>
            </w:pPr>
            <w:r w:rsidRPr="00AC7BD9">
              <w:rPr>
                <w:sz w:val="20"/>
                <w:szCs w:val="20"/>
              </w:rPr>
              <w:t>–</w:t>
            </w:r>
            <w:r w:rsidRPr="00AC7BD9">
              <w:rPr>
                <w:sz w:val="20"/>
                <w:szCs w:val="20"/>
              </w:rPr>
              <w:tab/>
            </w:r>
            <w:proofErr w:type="spellStart"/>
            <w:r w:rsidRPr="00AC7BD9">
              <w:rPr>
                <w:sz w:val="20"/>
                <w:szCs w:val="20"/>
              </w:rPr>
              <w:t>AreaID-</w:t>
            </w:r>
            <w:r w:rsidR="00BD5F8C">
              <w:rPr>
                <w:sz w:val="20"/>
                <w:szCs w:val="20"/>
              </w:rPr>
              <w:t>TRP</w:t>
            </w:r>
            <w:r w:rsidRPr="00AC7BD9">
              <w:rPr>
                <w:sz w:val="20"/>
                <w:szCs w:val="20"/>
              </w:rPr>
              <w:t>List</w:t>
            </w:r>
            <w:proofErr w:type="spellEnd"/>
          </w:p>
          <w:p w14:paraId="1A851233" w14:textId="2660E78D" w:rsidR="001813F8" w:rsidRPr="00AC7BD9" w:rsidRDefault="001813F8">
            <w:pPr>
              <w:keepLines/>
              <w:spacing w:after="0"/>
              <w:rPr>
                <w:sz w:val="18"/>
                <w:szCs w:val="18"/>
              </w:rPr>
            </w:pPr>
            <w:r w:rsidRPr="00AC7BD9">
              <w:rPr>
                <w:sz w:val="20"/>
                <w:szCs w:val="20"/>
              </w:rPr>
              <w:t xml:space="preserve">The IE </w:t>
            </w:r>
            <w:proofErr w:type="spellStart"/>
            <w:r w:rsidRPr="00AC7BD9">
              <w:rPr>
                <w:i/>
                <w:sz w:val="20"/>
                <w:szCs w:val="20"/>
              </w:rPr>
              <w:t>AreaID-</w:t>
            </w:r>
            <w:r w:rsidR="00BD5F8C">
              <w:rPr>
                <w:i/>
                <w:sz w:val="20"/>
                <w:szCs w:val="20"/>
              </w:rPr>
              <w:t>TRP</w:t>
            </w:r>
            <w:r w:rsidRPr="00AC7BD9">
              <w:rPr>
                <w:i/>
                <w:sz w:val="20"/>
                <w:szCs w:val="20"/>
              </w:rPr>
              <w:t>List</w:t>
            </w:r>
            <w:proofErr w:type="spellEnd"/>
            <w:r w:rsidRPr="00AC7BD9">
              <w:rPr>
                <w:sz w:val="20"/>
                <w:szCs w:val="20"/>
              </w:rPr>
              <w:t xml:space="preserve"> </w:t>
            </w:r>
            <w:r w:rsidRPr="00AC7BD9">
              <w:rPr>
                <w:snapToGrid w:val="0"/>
                <w:sz w:val="20"/>
                <w:szCs w:val="20"/>
              </w:rPr>
              <w:t xml:space="preserve">provides the NR </w:t>
            </w:r>
            <w:r w:rsidR="00BD5F8C">
              <w:rPr>
                <w:snapToGrid w:val="0"/>
                <w:sz w:val="20"/>
                <w:szCs w:val="20"/>
              </w:rPr>
              <w:t xml:space="preserve">TRP </w:t>
            </w:r>
            <w:r w:rsidRPr="00AC7BD9">
              <w:rPr>
                <w:snapToGrid w:val="0"/>
                <w:sz w:val="20"/>
                <w:szCs w:val="20"/>
              </w:rPr>
              <w:t>IDs</w:t>
            </w:r>
            <w:r w:rsidRPr="00AC7BD9">
              <w:rPr>
                <w:sz w:val="20"/>
                <w:szCs w:val="20"/>
              </w:rPr>
              <w:t xml:space="preserve"> of the TRPs belonging to a particular network area</w:t>
            </w:r>
            <w:r w:rsidR="00D1067D">
              <w:rPr>
                <w:sz w:val="20"/>
                <w:szCs w:val="20"/>
              </w:rPr>
              <w:t xml:space="preserve">. For AI/ML training data collection, </w:t>
            </w:r>
            <w:proofErr w:type="spellStart"/>
            <w:r w:rsidR="00D1067D" w:rsidRPr="00AC7BD9">
              <w:rPr>
                <w:i/>
                <w:sz w:val="20"/>
                <w:szCs w:val="20"/>
              </w:rPr>
              <w:t>AreaID-</w:t>
            </w:r>
            <w:r w:rsidR="00D1067D">
              <w:rPr>
                <w:i/>
                <w:sz w:val="20"/>
                <w:szCs w:val="20"/>
              </w:rPr>
              <w:t>TRP</w:t>
            </w:r>
            <w:r w:rsidR="00D1067D" w:rsidRPr="00AC7BD9">
              <w:rPr>
                <w:i/>
                <w:sz w:val="20"/>
                <w:szCs w:val="20"/>
              </w:rPr>
              <w:t>List</w:t>
            </w:r>
            <w:proofErr w:type="spellEnd"/>
            <w:r w:rsidR="00D1067D" w:rsidRPr="00AC7BD9">
              <w:rPr>
                <w:sz w:val="20"/>
                <w:szCs w:val="20"/>
              </w:rPr>
              <w:t xml:space="preserve"> </w:t>
            </w:r>
            <w:r w:rsidR="00D1067D" w:rsidRPr="00AC7BD9">
              <w:rPr>
                <w:snapToGrid w:val="0"/>
                <w:sz w:val="20"/>
                <w:szCs w:val="20"/>
              </w:rPr>
              <w:t>provides</w:t>
            </w:r>
            <w:r w:rsidR="00D1067D">
              <w:rPr>
                <w:snapToGrid w:val="0"/>
                <w:sz w:val="20"/>
                <w:szCs w:val="20"/>
              </w:rPr>
              <w:t xml:space="preserve"> the network area where the training data is collected. For a trained AI/ML model,</w:t>
            </w:r>
            <w:r w:rsidRPr="00AC7BD9">
              <w:rPr>
                <w:sz w:val="20"/>
                <w:szCs w:val="20"/>
              </w:rPr>
              <w:t xml:space="preserve"> </w:t>
            </w:r>
            <w:proofErr w:type="spellStart"/>
            <w:r w:rsidR="00D1067D" w:rsidRPr="00AC7BD9">
              <w:rPr>
                <w:i/>
                <w:sz w:val="20"/>
                <w:szCs w:val="20"/>
              </w:rPr>
              <w:t>AreaID-</w:t>
            </w:r>
            <w:r w:rsidR="00D1067D">
              <w:rPr>
                <w:i/>
                <w:sz w:val="20"/>
                <w:szCs w:val="20"/>
              </w:rPr>
              <w:t>TRP</w:t>
            </w:r>
            <w:r w:rsidR="00D1067D" w:rsidRPr="00AC7BD9">
              <w:rPr>
                <w:i/>
                <w:sz w:val="20"/>
                <w:szCs w:val="20"/>
              </w:rPr>
              <w:t>List</w:t>
            </w:r>
            <w:proofErr w:type="spellEnd"/>
            <w:r w:rsidR="00D1067D" w:rsidRPr="00AC7BD9">
              <w:rPr>
                <w:sz w:val="20"/>
                <w:szCs w:val="20"/>
              </w:rPr>
              <w:t xml:space="preserve"> </w:t>
            </w:r>
            <w:r w:rsidR="00D1067D" w:rsidRPr="00AC7BD9">
              <w:rPr>
                <w:snapToGrid w:val="0"/>
                <w:sz w:val="20"/>
                <w:szCs w:val="20"/>
              </w:rPr>
              <w:t>provides</w:t>
            </w:r>
            <w:r w:rsidR="00D1067D">
              <w:rPr>
                <w:snapToGrid w:val="0"/>
                <w:sz w:val="20"/>
                <w:szCs w:val="20"/>
              </w:rPr>
              <w:t xml:space="preserve"> the network area </w:t>
            </w:r>
            <w:r w:rsidRPr="00AC7BD9">
              <w:rPr>
                <w:sz w:val="20"/>
                <w:szCs w:val="20"/>
              </w:rPr>
              <w:t xml:space="preserve">where the </w:t>
            </w:r>
            <w:r w:rsidR="00BD5F8C">
              <w:rPr>
                <w:sz w:val="20"/>
                <w:szCs w:val="20"/>
              </w:rPr>
              <w:t>AI/ML model is</w:t>
            </w:r>
            <w:r w:rsidRPr="00AC7BD9">
              <w:rPr>
                <w:sz w:val="20"/>
                <w:szCs w:val="20"/>
              </w:rPr>
              <w:t xml:space="preserve"> valid. </w:t>
            </w:r>
            <w:r w:rsidR="00D1067D">
              <w:rPr>
                <w:sz w:val="20"/>
                <w:szCs w:val="20"/>
              </w:rPr>
              <w:t>A TRP ID</w:t>
            </w:r>
            <w:r w:rsidRPr="00AC7BD9">
              <w:rPr>
                <w:sz w:val="20"/>
                <w:szCs w:val="20"/>
              </w:rPr>
              <w:t xml:space="preserve"> </w:t>
            </w:r>
            <w:r w:rsidR="00D1067D">
              <w:rPr>
                <w:sz w:val="20"/>
                <w:szCs w:val="20"/>
              </w:rPr>
              <w:t>can be</w:t>
            </w:r>
            <w:r w:rsidRPr="00AC7BD9">
              <w:rPr>
                <w:sz w:val="20"/>
                <w:szCs w:val="20"/>
              </w:rPr>
              <w:t xml:space="preserve"> included in </w:t>
            </w:r>
            <w:r w:rsidR="00D1067D">
              <w:rPr>
                <w:sz w:val="20"/>
                <w:szCs w:val="20"/>
              </w:rPr>
              <w:t>different network</w:t>
            </w:r>
            <w:r w:rsidRPr="00AC7BD9">
              <w:rPr>
                <w:sz w:val="20"/>
                <w:szCs w:val="20"/>
              </w:rPr>
              <w:t xml:space="preserve"> area</w:t>
            </w:r>
            <w:r w:rsidR="00D1067D">
              <w:rPr>
                <w:sz w:val="20"/>
                <w:szCs w:val="20"/>
              </w:rPr>
              <w:t xml:space="preserve">s described by </w:t>
            </w:r>
            <w:proofErr w:type="spellStart"/>
            <w:r w:rsidR="00D1067D" w:rsidRPr="00AC7BD9">
              <w:rPr>
                <w:sz w:val="20"/>
                <w:szCs w:val="20"/>
              </w:rPr>
              <w:t>AreaID-</w:t>
            </w:r>
            <w:r w:rsidR="00D1067D">
              <w:rPr>
                <w:sz w:val="20"/>
                <w:szCs w:val="20"/>
              </w:rPr>
              <w:t>TRP</w:t>
            </w:r>
            <w:r w:rsidR="00D1067D" w:rsidRPr="00AC7BD9">
              <w:rPr>
                <w:sz w:val="20"/>
                <w:szCs w:val="20"/>
              </w:rPr>
              <w:t>List</w:t>
            </w:r>
            <w:proofErr w:type="spellEnd"/>
            <w:r w:rsidRPr="00AC7BD9">
              <w:rPr>
                <w:sz w:val="20"/>
                <w:szCs w:val="20"/>
              </w:rPr>
              <w:t>.</w:t>
            </w:r>
          </w:p>
          <w:p w14:paraId="7E17E645" w14:textId="77777777" w:rsidR="001813F8" w:rsidRPr="00CD59F9"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 ASN1START</w:t>
            </w:r>
          </w:p>
          <w:p w14:paraId="75E9EAA9" w14:textId="77777777" w:rsidR="001813F8" w:rsidRPr="00CD59F9"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9DC5081" w14:textId="0DF11A61"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D1067D">
              <w:rPr>
                <w:rFonts w:ascii="Courier New" w:hAnsi="Courier New"/>
                <w:b/>
                <w:bCs/>
                <w:color w:val="FF0000"/>
                <w:sz w:val="16"/>
              </w:rPr>
              <w:t>AreaID-</w:t>
            </w:r>
            <w:r w:rsidR="00D1067D" w:rsidRPr="00D1067D">
              <w:rPr>
                <w:rFonts w:ascii="Courier New" w:hAnsi="Courier New"/>
                <w:b/>
                <w:bCs/>
                <w:color w:val="FF0000"/>
                <w:sz w:val="16"/>
              </w:rPr>
              <w:t>TRP</w:t>
            </w:r>
            <w:r w:rsidRPr="00D1067D">
              <w:rPr>
                <w:rFonts w:ascii="Courier New" w:hAnsi="Courier New"/>
                <w:b/>
                <w:bCs/>
                <w:color w:val="FF0000"/>
                <w:sz w:val="16"/>
              </w:rPr>
              <w:t>List-r</w:t>
            </w:r>
            <w:proofErr w:type="gramStart"/>
            <w:r w:rsidRPr="00D1067D">
              <w:rPr>
                <w:rFonts w:ascii="Courier New" w:hAnsi="Courier New"/>
                <w:b/>
                <w:bCs/>
                <w:color w:val="FF0000"/>
                <w:sz w:val="16"/>
              </w:rPr>
              <w:t>1</w:t>
            </w:r>
            <w:r w:rsidR="00D1067D" w:rsidRPr="00D1067D">
              <w:rPr>
                <w:rFonts w:ascii="Courier New" w:hAnsi="Courier New"/>
                <w:b/>
                <w:bCs/>
                <w:color w:val="FF0000"/>
                <w:sz w:val="16"/>
              </w:rPr>
              <w:t>9</w:t>
            </w:r>
            <w:r w:rsidRPr="00D1067D">
              <w:rPr>
                <w:rFonts w:ascii="Courier New" w:hAnsi="Courier New"/>
                <w:b/>
                <w:bCs/>
                <w:color w:val="FF0000"/>
                <w:sz w:val="16"/>
              </w:rPr>
              <w:t xml:space="preserve"> ::=</w:t>
            </w:r>
            <w:proofErr w:type="gramEnd"/>
            <w:r w:rsidRPr="00D1067D">
              <w:rPr>
                <w:rFonts w:ascii="Courier New" w:hAnsi="Courier New"/>
                <w:b/>
                <w:bCs/>
                <w:color w:val="FF0000"/>
                <w:sz w:val="16"/>
              </w:rPr>
              <w:t xml:space="preserve"> SEQUENCE (SIZE(1..max</w:t>
            </w:r>
            <w:r w:rsidR="00D1067D" w:rsidRPr="00D1067D">
              <w:rPr>
                <w:rFonts w:ascii="Courier New" w:hAnsi="Courier New"/>
                <w:b/>
                <w:bCs/>
                <w:color w:val="FF0000"/>
                <w:sz w:val="16"/>
              </w:rPr>
              <w:t>TRP</w:t>
            </w:r>
            <w:r w:rsidRPr="00D1067D">
              <w:rPr>
                <w:rFonts w:ascii="Courier New" w:hAnsi="Courier New"/>
                <w:b/>
                <w:bCs/>
                <w:color w:val="FF0000"/>
                <w:sz w:val="16"/>
              </w:rPr>
              <w:t>IDsPerArea-r1</w:t>
            </w:r>
            <w:r w:rsidR="00D1067D" w:rsidRPr="00D1067D">
              <w:rPr>
                <w:rFonts w:ascii="Courier New" w:hAnsi="Courier New"/>
                <w:b/>
                <w:bCs/>
                <w:color w:val="FF0000"/>
                <w:sz w:val="16"/>
              </w:rPr>
              <w:t>9</w:t>
            </w:r>
            <w:r w:rsidRPr="00D1067D">
              <w:rPr>
                <w:rFonts w:ascii="Courier New" w:hAnsi="Courier New"/>
                <w:b/>
                <w:bCs/>
                <w:color w:val="FF0000"/>
                <w:sz w:val="16"/>
              </w:rPr>
              <w:t>)) OF NR-</w:t>
            </w:r>
            <w:r w:rsidR="00D1067D" w:rsidRPr="00D1067D">
              <w:rPr>
                <w:rFonts w:ascii="Courier New" w:hAnsi="Courier New"/>
                <w:b/>
                <w:bCs/>
                <w:color w:val="FF0000"/>
                <w:sz w:val="16"/>
              </w:rPr>
              <w:t>TRP</w:t>
            </w:r>
            <w:r w:rsidRPr="00D1067D">
              <w:rPr>
                <w:rFonts w:ascii="Courier New" w:hAnsi="Courier New"/>
                <w:b/>
                <w:bCs/>
                <w:color w:val="FF0000"/>
                <w:sz w:val="16"/>
              </w:rPr>
              <w:t>-IDs-r1</w:t>
            </w:r>
            <w:r w:rsidR="00D1067D" w:rsidRPr="00D1067D">
              <w:rPr>
                <w:rFonts w:ascii="Courier New" w:hAnsi="Courier New"/>
                <w:b/>
                <w:bCs/>
                <w:color w:val="FF0000"/>
                <w:sz w:val="16"/>
              </w:rPr>
              <w:t>9</w:t>
            </w:r>
          </w:p>
          <w:p w14:paraId="04092920" w14:textId="77777777"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p>
          <w:p w14:paraId="6E7B764E" w14:textId="00FFDA81"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D1067D">
              <w:rPr>
                <w:rFonts w:ascii="Courier New" w:hAnsi="Courier New"/>
                <w:b/>
                <w:bCs/>
                <w:color w:val="FF0000"/>
                <w:sz w:val="16"/>
              </w:rPr>
              <w:t>NR-</w:t>
            </w:r>
            <w:r w:rsidR="00D1067D" w:rsidRPr="00D1067D">
              <w:rPr>
                <w:rFonts w:ascii="Courier New" w:hAnsi="Courier New"/>
                <w:b/>
                <w:bCs/>
                <w:color w:val="FF0000"/>
                <w:sz w:val="16"/>
              </w:rPr>
              <w:t>TRP</w:t>
            </w:r>
            <w:r w:rsidRPr="00D1067D">
              <w:rPr>
                <w:rFonts w:ascii="Courier New" w:hAnsi="Courier New"/>
                <w:b/>
                <w:bCs/>
                <w:color w:val="FF0000"/>
                <w:sz w:val="16"/>
              </w:rPr>
              <w:t>-IDs-r</w:t>
            </w:r>
            <w:proofErr w:type="gramStart"/>
            <w:r w:rsidRPr="00D1067D">
              <w:rPr>
                <w:rFonts w:ascii="Courier New" w:hAnsi="Courier New"/>
                <w:b/>
                <w:bCs/>
                <w:color w:val="FF0000"/>
                <w:sz w:val="16"/>
              </w:rPr>
              <w:t>1</w:t>
            </w:r>
            <w:r w:rsidR="00D1067D" w:rsidRPr="00D1067D">
              <w:rPr>
                <w:rFonts w:ascii="Courier New" w:hAnsi="Courier New"/>
                <w:b/>
                <w:bCs/>
                <w:color w:val="FF0000"/>
                <w:sz w:val="16"/>
              </w:rPr>
              <w:t>9</w:t>
            </w:r>
            <w:r w:rsidRPr="00D1067D">
              <w:rPr>
                <w:rFonts w:ascii="Courier New" w:hAnsi="Courier New"/>
                <w:b/>
                <w:bCs/>
                <w:color w:val="FF0000"/>
                <w:sz w:val="16"/>
              </w:rPr>
              <w:t xml:space="preserve"> ::=</w:t>
            </w:r>
            <w:proofErr w:type="gramEnd"/>
            <w:r w:rsidRPr="00D1067D">
              <w:rPr>
                <w:rFonts w:ascii="Courier New" w:hAnsi="Courier New"/>
                <w:b/>
                <w:bCs/>
                <w:color w:val="FF0000"/>
                <w:sz w:val="16"/>
              </w:rPr>
              <w:t xml:space="preserve"> SEQUENCE {</w:t>
            </w:r>
          </w:p>
          <w:p w14:paraId="27911F5B" w14:textId="77777777" w:rsidR="00D1067D" w:rsidRPr="00D1067D" w:rsidRDefault="00D1067D" w:rsidP="00D106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FF0000"/>
                <w:sz w:val="16"/>
              </w:rPr>
            </w:pPr>
            <w:r w:rsidRPr="00D1067D">
              <w:rPr>
                <w:rFonts w:ascii="Courier New" w:hAnsi="Courier New"/>
                <w:b/>
                <w:bCs/>
                <w:snapToGrid w:val="0"/>
                <w:color w:val="FF0000"/>
                <w:sz w:val="16"/>
              </w:rPr>
              <w:tab/>
            </w:r>
            <w:r w:rsidRPr="00D1067D">
              <w:rPr>
                <w:rFonts w:ascii="Courier New" w:hAnsi="Courier New"/>
                <w:b/>
                <w:bCs/>
                <w:snapToGrid w:val="0"/>
                <w:color w:val="FF0000"/>
                <w:sz w:val="16"/>
                <w:highlight w:val="yellow"/>
              </w:rPr>
              <w:t>dl-PRS-ID-r16</w:t>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r>
            <w:r w:rsidRPr="00D1067D">
              <w:rPr>
                <w:rFonts w:ascii="Courier New" w:hAnsi="Courier New"/>
                <w:b/>
                <w:bCs/>
                <w:snapToGrid w:val="0"/>
                <w:color w:val="FF0000"/>
                <w:sz w:val="16"/>
                <w:highlight w:val="yellow"/>
              </w:rPr>
              <w:tab/>
              <w:t>INTEGER (</w:t>
            </w:r>
            <w:proofErr w:type="gramStart"/>
            <w:r w:rsidRPr="00D1067D">
              <w:rPr>
                <w:rFonts w:ascii="Courier New" w:hAnsi="Courier New"/>
                <w:b/>
                <w:bCs/>
                <w:snapToGrid w:val="0"/>
                <w:color w:val="FF0000"/>
                <w:sz w:val="16"/>
                <w:highlight w:val="yellow"/>
              </w:rPr>
              <w:t>0..</w:t>
            </w:r>
            <w:proofErr w:type="gramEnd"/>
            <w:r w:rsidRPr="00D1067D">
              <w:rPr>
                <w:rFonts w:ascii="Courier New" w:hAnsi="Courier New"/>
                <w:b/>
                <w:bCs/>
                <w:snapToGrid w:val="0"/>
                <w:color w:val="FF0000"/>
                <w:sz w:val="16"/>
                <w:highlight w:val="yellow"/>
              </w:rPr>
              <w:t>255),</w:t>
            </w:r>
          </w:p>
          <w:p w14:paraId="11768BB2" w14:textId="77777777"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D1067D">
              <w:rPr>
                <w:rFonts w:ascii="Courier New" w:hAnsi="Courier New"/>
                <w:b/>
                <w:bCs/>
                <w:color w:val="FF0000"/>
                <w:sz w:val="16"/>
              </w:rPr>
              <w:tab/>
            </w:r>
            <w:r w:rsidRPr="00D1067D">
              <w:rPr>
                <w:rFonts w:ascii="Courier New" w:hAnsi="Courier New"/>
                <w:b/>
                <w:bCs/>
                <w:snapToGrid w:val="0"/>
                <w:color w:val="FF0000"/>
                <w:sz w:val="16"/>
              </w:rPr>
              <w:t>nr-CellGlobalID-r17</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NCGI-r15</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OPTIONAL,</w:t>
            </w:r>
            <w:r w:rsidRPr="00D1067D">
              <w:rPr>
                <w:rFonts w:ascii="Courier New" w:hAnsi="Courier New"/>
                <w:b/>
                <w:bCs/>
                <w:snapToGrid w:val="0"/>
                <w:color w:val="FF0000"/>
                <w:sz w:val="16"/>
              </w:rPr>
              <w:tab/>
              <w:t>-- Need ON</w:t>
            </w:r>
          </w:p>
          <w:p w14:paraId="0BD9DACC" w14:textId="77777777"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napToGrid w:val="0"/>
                <w:color w:val="FF0000"/>
                <w:sz w:val="16"/>
              </w:rPr>
            </w:pPr>
            <w:r w:rsidRPr="00D1067D">
              <w:rPr>
                <w:rFonts w:ascii="Courier New" w:hAnsi="Courier New"/>
                <w:b/>
                <w:bCs/>
                <w:snapToGrid w:val="0"/>
                <w:color w:val="FF0000"/>
                <w:sz w:val="16"/>
              </w:rPr>
              <w:tab/>
              <w:t>nr-PhysCellID-r17</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NR-PhysCellID-r16</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OPTIONAL,</w:t>
            </w:r>
            <w:r w:rsidRPr="00D1067D">
              <w:rPr>
                <w:rFonts w:ascii="Courier New" w:hAnsi="Courier New"/>
                <w:b/>
                <w:bCs/>
                <w:snapToGrid w:val="0"/>
                <w:color w:val="FF0000"/>
                <w:sz w:val="16"/>
              </w:rPr>
              <w:tab/>
              <w:t>-- Need ON</w:t>
            </w:r>
          </w:p>
          <w:p w14:paraId="3FAB8140" w14:textId="77777777" w:rsidR="001813F8" w:rsidRPr="00D1067D"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color w:val="FF0000"/>
                <w:sz w:val="16"/>
              </w:rPr>
            </w:pPr>
            <w:r w:rsidRPr="00D1067D">
              <w:rPr>
                <w:rFonts w:ascii="Courier New" w:hAnsi="Courier New"/>
                <w:b/>
                <w:bCs/>
                <w:snapToGrid w:val="0"/>
                <w:color w:val="FF0000"/>
                <w:sz w:val="16"/>
              </w:rPr>
              <w:tab/>
            </w:r>
            <w:r w:rsidRPr="00D1067D">
              <w:rPr>
                <w:rFonts w:ascii="Courier New" w:hAnsi="Courier New"/>
                <w:b/>
                <w:bCs/>
                <w:color w:val="FF0000"/>
                <w:sz w:val="16"/>
              </w:rPr>
              <w:t>nr-ARFCN</w:t>
            </w:r>
            <w:r w:rsidRPr="00D1067D">
              <w:rPr>
                <w:rFonts w:ascii="Courier New" w:hAnsi="Courier New"/>
                <w:b/>
                <w:bCs/>
                <w:snapToGrid w:val="0"/>
                <w:color w:val="FF0000"/>
                <w:sz w:val="16"/>
              </w:rPr>
              <w:t>-r17</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ARFCN-ValueNR-r15</w:t>
            </w:r>
            <w:r w:rsidRPr="00D1067D">
              <w:rPr>
                <w:rFonts w:ascii="Courier New" w:hAnsi="Courier New"/>
                <w:b/>
                <w:bCs/>
                <w:snapToGrid w:val="0"/>
                <w:color w:val="FF0000"/>
                <w:sz w:val="16"/>
              </w:rPr>
              <w:tab/>
            </w:r>
            <w:r w:rsidRPr="00D1067D">
              <w:rPr>
                <w:rFonts w:ascii="Courier New" w:hAnsi="Courier New"/>
                <w:b/>
                <w:bCs/>
                <w:snapToGrid w:val="0"/>
                <w:color w:val="FF0000"/>
                <w:sz w:val="16"/>
              </w:rPr>
              <w:tab/>
            </w:r>
            <w:r w:rsidRPr="00D1067D">
              <w:rPr>
                <w:rFonts w:ascii="Courier New" w:hAnsi="Courier New"/>
                <w:b/>
                <w:bCs/>
                <w:snapToGrid w:val="0"/>
                <w:color w:val="FF0000"/>
                <w:sz w:val="16"/>
              </w:rPr>
              <w:tab/>
              <w:t>OPTIONAL,</w:t>
            </w:r>
            <w:r w:rsidRPr="00D1067D">
              <w:rPr>
                <w:rFonts w:ascii="Courier New" w:hAnsi="Courier New"/>
                <w:b/>
                <w:bCs/>
                <w:snapToGrid w:val="0"/>
                <w:color w:val="FF0000"/>
                <w:sz w:val="16"/>
              </w:rPr>
              <w:tab/>
              <w:t>-- Need ON</w:t>
            </w:r>
          </w:p>
          <w:p w14:paraId="318A567B" w14:textId="77777777" w:rsidR="001813F8" w:rsidRPr="00CD59F9"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ab/>
              <w:t>...</w:t>
            </w:r>
          </w:p>
          <w:p w14:paraId="23248B8B" w14:textId="77777777" w:rsidR="001813F8" w:rsidRPr="00CD59F9"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D59F9">
              <w:rPr>
                <w:rFonts w:ascii="Courier New" w:hAnsi="Courier New"/>
                <w:sz w:val="16"/>
              </w:rPr>
              <w:t>}</w:t>
            </w:r>
          </w:p>
          <w:p w14:paraId="4C0A2BB0" w14:textId="77777777" w:rsidR="001813F8" w:rsidRPr="00CD59F9"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D3AD0C2" w14:textId="77777777" w:rsidR="001813F8" w:rsidRPr="007C1B67" w:rsidRDefault="001813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D59F9">
              <w:rPr>
                <w:rFonts w:ascii="Courier New" w:hAnsi="Courier New"/>
                <w:sz w:val="16"/>
              </w:rPr>
              <w:t>-- ASN1STOP</w:t>
            </w:r>
          </w:p>
        </w:tc>
      </w:tr>
    </w:tbl>
    <w:p w14:paraId="6CA5E48E" w14:textId="77777777" w:rsidR="001813F8" w:rsidRDefault="001813F8" w:rsidP="004079B7"/>
    <w:p w14:paraId="6317779A" w14:textId="582202F8" w:rsidR="004079B7" w:rsidRDefault="004079B7" w:rsidP="004079B7">
      <w:r>
        <w:t xml:space="preserve">The training dataset validity </w:t>
      </w:r>
      <w:r w:rsidRPr="005C6195">
        <w:t>area can be recorded as</w:t>
      </w:r>
      <w:r>
        <w:t xml:space="preserve"> a part of the metadata for the training dataset, where the metadata describes the model training context. With the list of TRPs recorded as a part of the meta data for the training dataset, the measurements collected for each data sample can be organized with the same hierarchy as for legacy assistance data, i.e. per TRP/frequency layers for the UE, and per TRP for the </w:t>
      </w:r>
      <w:proofErr w:type="spellStart"/>
      <w:r>
        <w:t>gNB</w:t>
      </w:r>
      <w:proofErr w:type="spellEnd"/>
      <w:r>
        <w:t xml:space="preserve"> assistance data.</w:t>
      </w:r>
    </w:p>
    <w:p w14:paraId="4538090D" w14:textId="77777777" w:rsidR="00EF1866" w:rsidRDefault="00EF1866" w:rsidP="004079B7"/>
    <w:p w14:paraId="63346EB9" w14:textId="2BD8CD85" w:rsidR="004079B7" w:rsidRDefault="004079B7" w:rsidP="00C915FF">
      <w:pPr>
        <w:pStyle w:val="Proposal"/>
      </w:pPr>
      <w:bookmarkStart w:id="2188" w:name="_Toc189845154"/>
      <w:r>
        <w:t>The training dataset</w:t>
      </w:r>
      <w:r w:rsidR="00E012C1">
        <w:t xml:space="preserve"> </w:t>
      </w:r>
      <w:r>
        <w:t xml:space="preserve">validity area is recorded as a part of metadata of the training dataset. </w:t>
      </w:r>
      <w:r w:rsidR="00C915FF">
        <w:t>T</w:t>
      </w:r>
      <w:r w:rsidR="00486D7D">
        <w:t>he</w:t>
      </w:r>
      <w:r w:rsidR="00E012C1">
        <w:t xml:space="preserve"> </w:t>
      </w:r>
      <w:r>
        <w:t xml:space="preserve">validity area </w:t>
      </w:r>
      <w:r w:rsidR="003E513B">
        <w:t>is</w:t>
      </w:r>
      <w:r>
        <w:t xml:space="preserve"> defined as a list of TRPs where data is collected.</w:t>
      </w:r>
      <w:bookmarkEnd w:id="2188"/>
    </w:p>
    <w:p w14:paraId="6D88A7C4" w14:textId="77777777" w:rsidR="004079B7" w:rsidRDefault="004079B7" w:rsidP="002938DE">
      <w:pPr>
        <w:pStyle w:val="Proposal"/>
      </w:pPr>
      <w:bookmarkStart w:id="2189" w:name="_Toc189845155"/>
      <w:r>
        <w:t>Training data provided to UE/</w:t>
      </w:r>
      <w:proofErr w:type="spellStart"/>
      <w:r>
        <w:t>gNB</w:t>
      </w:r>
      <w:proofErr w:type="spellEnd"/>
      <w:r>
        <w:t xml:space="preserve"> is organized with the same hierarchy as for legacy assistance data, i.e. per TRP/frequency layers for the UE, and per TRP for the </w:t>
      </w:r>
      <w:proofErr w:type="spellStart"/>
      <w:r>
        <w:t>gNB</w:t>
      </w:r>
      <w:proofErr w:type="spellEnd"/>
      <w:r>
        <w:t xml:space="preserve"> assistance data.</w:t>
      </w:r>
      <w:bookmarkEnd w:id="2189"/>
      <w:r>
        <w:t xml:space="preserve"> </w:t>
      </w:r>
    </w:p>
    <w:p w14:paraId="696B0D61" w14:textId="77777777" w:rsidR="000E0B61" w:rsidRDefault="000E0B61" w:rsidP="009854ED">
      <w:pPr>
        <w:rPr>
          <w:highlight w:val="yellow"/>
        </w:rPr>
      </w:pPr>
    </w:p>
    <w:p w14:paraId="116CAF46" w14:textId="2A0903FE" w:rsidR="000E0B61" w:rsidRDefault="000E0B61" w:rsidP="009854ED">
      <w:r>
        <w:t xml:space="preserve">If the UE collects measurement data based on PRS from </w:t>
      </w:r>
      <w:r w:rsidR="00C915FF">
        <w:t>a</w:t>
      </w:r>
      <w:r>
        <w:t xml:space="preserve"> list of TRPs, then the UE record the </w:t>
      </w:r>
      <w:r w:rsidR="00C915FF">
        <w:t>associated TRP IDs as the validity area of the training data.</w:t>
      </w:r>
      <w:r>
        <w:t xml:space="preserve">  </w:t>
      </w:r>
      <w:r w:rsidR="00C915FF">
        <w:t xml:space="preserve">Assistance data on the PRS configuration, PRS index used in measurement, </w:t>
      </w:r>
      <w:proofErr w:type="spellStart"/>
      <w:r w:rsidR="00365A2B">
        <w:t>etc</w:t>
      </w:r>
      <w:proofErr w:type="spellEnd"/>
      <w:r w:rsidR="00365A2B">
        <w:t>, are also recorded as metadata of training dataset as well.</w:t>
      </w:r>
    </w:p>
    <w:p w14:paraId="6747610E" w14:textId="202BC748" w:rsidR="008C4A8F" w:rsidRDefault="004124FC" w:rsidP="00BC0F03">
      <w:r>
        <w:t>Furthermore, while t</w:t>
      </w:r>
      <w:r w:rsidR="008C4A8F">
        <w:t>he validity area and the RS assistance data are very similar to the assistance data for legacy positioning methods</w:t>
      </w:r>
      <w:r>
        <w:t>, a</w:t>
      </w:r>
      <w:r w:rsidR="008C4A8F">
        <w:t xml:space="preserve"> new assistance data need</w:t>
      </w:r>
      <w:r>
        <w:t>s</w:t>
      </w:r>
      <w:r w:rsidR="008C4A8F">
        <w:t xml:space="preserve"> </w:t>
      </w:r>
      <w:r>
        <w:t>to be introduced for associated ID. F</w:t>
      </w:r>
      <w:r w:rsidR="008C4A8F">
        <w:t xml:space="preserve">or AI/ML </w:t>
      </w:r>
      <w:r>
        <w:t>based positioning,</w:t>
      </w:r>
      <w:r w:rsidR="008C4A8F">
        <w:t xml:space="preserve"> the associated ID</w:t>
      </w:r>
      <w:r>
        <w:t xml:space="preserve"> </w:t>
      </w:r>
      <w:r w:rsidR="008C4A8F">
        <w:t xml:space="preserve">indicates the additional network </w:t>
      </w:r>
      <w:proofErr w:type="gramStart"/>
      <w:r w:rsidR="008C4A8F">
        <w:t>conditions, and</w:t>
      </w:r>
      <w:proofErr w:type="gramEnd"/>
      <w:r w:rsidR="008C4A8F">
        <w:t xml:space="preserve"> provides </w:t>
      </w:r>
      <w:r w:rsidR="008C4A8F">
        <w:lastRenderedPageBreak/>
        <w:t>information on the consistency between training data collection and model inference</w:t>
      </w:r>
      <w:r>
        <w:t xml:space="preserve">, see related discussion in section </w:t>
      </w:r>
      <w:r w:rsidR="00E70DE4">
        <w:fldChar w:fldCharType="begin"/>
      </w:r>
      <w:r w:rsidR="00E70DE4">
        <w:instrText xml:space="preserve"> REF _Ref178770342 \r </w:instrText>
      </w:r>
      <w:r w:rsidR="00E70DE4">
        <w:fldChar w:fldCharType="separate"/>
      </w:r>
      <w:r w:rsidR="00C713E4">
        <w:t>7.2.3</w:t>
      </w:r>
      <w:r w:rsidR="00E70DE4">
        <w:fldChar w:fldCharType="end"/>
      </w:r>
      <w:r w:rsidR="008C4A8F">
        <w:t>.</w:t>
      </w:r>
    </w:p>
    <w:p w14:paraId="3C4C1B45" w14:textId="5817D39F" w:rsidR="002A7FE6" w:rsidRDefault="00BC0F03" w:rsidP="00620951">
      <w:r>
        <w:t>In summary</w:t>
      </w:r>
      <w:r w:rsidR="002A7FE6">
        <w:t xml:space="preserve">, for Case 1/2a, the assistance data </w:t>
      </w:r>
      <w:r w:rsidR="008C4A8F">
        <w:t xml:space="preserve">for training data collection </w:t>
      </w:r>
      <w:r w:rsidR="002A7FE6">
        <w:t>includes:</w:t>
      </w:r>
    </w:p>
    <w:p w14:paraId="490AF079" w14:textId="563F4983" w:rsidR="008C4A8F" w:rsidRDefault="00CA4CD8" w:rsidP="00620951">
      <w:pPr>
        <w:pStyle w:val="ListParagraph"/>
        <w:numPr>
          <w:ilvl w:val="1"/>
          <w:numId w:val="2"/>
        </w:numPr>
        <w:ind w:left="630"/>
      </w:pPr>
      <w:r>
        <w:t>T</w:t>
      </w:r>
      <w:r w:rsidR="008C4A8F">
        <w:t>raining dataset validity area,</w:t>
      </w:r>
    </w:p>
    <w:p w14:paraId="680B73CC" w14:textId="7ED76CE7" w:rsidR="002A7FE6" w:rsidRDefault="0075463A" w:rsidP="00620951">
      <w:pPr>
        <w:pStyle w:val="ListParagraph"/>
        <w:numPr>
          <w:ilvl w:val="1"/>
          <w:numId w:val="2"/>
        </w:numPr>
        <w:ind w:left="630"/>
      </w:pPr>
      <w:r>
        <w:t xml:space="preserve">The </w:t>
      </w:r>
      <w:r w:rsidR="002A7FE6" w:rsidRPr="4EAD9CE0">
        <w:t>assistance data</w:t>
      </w:r>
      <w:r>
        <w:t xml:space="preserve"> necessary for PRS reception</w:t>
      </w:r>
      <w:r w:rsidR="00C054AF">
        <w:t>. In general, the assistance data that can be provided from LMF to UE (info #1-15, except info #7) as agreed in RAN1#119 is more than enough.</w:t>
      </w:r>
      <w:r>
        <w:t xml:space="preserve"> </w:t>
      </w:r>
    </w:p>
    <w:p w14:paraId="50878DCF" w14:textId="01E0ECA4" w:rsidR="002A7FE6" w:rsidRDefault="002A7FE6" w:rsidP="00620951">
      <w:pPr>
        <w:pStyle w:val="ListParagraph"/>
        <w:numPr>
          <w:ilvl w:val="1"/>
          <w:numId w:val="2"/>
        </w:numPr>
        <w:ind w:left="630"/>
      </w:pPr>
      <w:r w:rsidRPr="4EAD9CE0">
        <w:t xml:space="preserve">Associated ID to indicate the additional network conditions. </w:t>
      </w:r>
      <w:r w:rsidR="007E7C7B" w:rsidRPr="4EAD9CE0">
        <w:t>The additional network conditions are those that are not explicitly signaled but may affect the consistency between training data collection and model inference</w:t>
      </w:r>
      <w:r w:rsidR="001F30EE">
        <w:t>, for example, info #7</w:t>
      </w:r>
      <w:r w:rsidR="007E7C7B" w:rsidRPr="4EAD9CE0">
        <w:t>.</w:t>
      </w:r>
      <w:r w:rsidR="00E457BC">
        <w:t xml:space="preserve"> Details of associated ID are discussed further in section 7.1. </w:t>
      </w:r>
    </w:p>
    <w:p w14:paraId="01F98033" w14:textId="77777777" w:rsidR="002A7FE6" w:rsidRDefault="002A7FE6" w:rsidP="00F22A2D"/>
    <w:p w14:paraId="6E342B9F" w14:textId="2E07D65B" w:rsidR="00485AC3" w:rsidRDefault="0048027C" w:rsidP="006E2BA1">
      <w:pPr>
        <w:pStyle w:val="Proposal"/>
      </w:pPr>
      <w:bookmarkStart w:id="2190" w:name="_Toc189845156"/>
      <w:r>
        <w:t>For Part A training data collection of Case 1</w:t>
      </w:r>
      <w:r w:rsidR="00626EF5">
        <w:t>/2a</w:t>
      </w:r>
      <w:r>
        <w:t xml:space="preserve">, the assistance data include: </w:t>
      </w:r>
      <w:r w:rsidR="0075463A">
        <w:t xml:space="preserve">training dataset </w:t>
      </w:r>
      <w:r>
        <w:t xml:space="preserve">validity area, </w:t>
      </w:r>
      <w:r w:rsidR="00C804DC" w:rsidRPr="4EAD9CE0">
        <w:t>assistance data</w:t>
      </w:r>
      <w:r w:rsidR="00C804DC">
        <w:t xml:space="preserve"> necessary for PRS reception</w:t>
      </w:r>
      <w:r>
        <w:t xml:space="preserve">, and associated ID for additional network conditions. </w:t>
      </w:r>
      <w:r w:rsidR="00BD0AFF">
        <w:t>Corresponding assistance data is sent during model inference as well</w:t>
      </w:r>
      <w:r w:rsidR="007940C0">
        <w:t xml:space="preserve"> for consistency checking</w:t>
      </w:r>
      <w:r w:rsidR="00BD0AFF">
        <w:t>.</w:t>
      </w:r>
      <w:bookmarkEnd w:id="2190"/>
    </w:p>
    <w:p w14:paraId="1014EB77" w14:textId="77777777" w:rsidR="00626EF5" w:rsidRDefault="00626EF5" w:rsidP="00626EF5">
      <w:pPr>
        <w:pStyle w:val="Proposal"/>
      </w:pPr>
      <w:bookmarkStart w:id="2191" w:name="_Toc189845157"/>
      <w:r>
        <w:t>The assistance data required for PRS/SRS reception is the same across all use cases for both direct and AI/ML assisted positioning.</w:t>
      </w:r>
      <w:bookmarkEnd w:id="2191"/>
      <w:r>
        <w:t xml:space="preserve"> </w:t>
      </w:r>
    </w:p>
    <w:p w14:paraId="4F0C41E1" w14:textId="1264EADD" w:rsidR="00053CE1" w:rsidRPr="002D7D8F" w:rsidRDefault="00EC6D72" w:rsidP="00053CE1">
      <w:pPr>
        <w:pStyle w:val="Heading1"/>
        <w:rPr>
          <w:lang w:val="en-US"/>
        </w:rPr>
      </w:pPr>
      <w:bookmarkStart w:id="2192" w:name="_Ref178767633"/>
      <w:bookmarkStart w:id="2193" w:name="_Toc189845040"/>
      <w:r>
        <w:rPr>
          <w:lang w:val="en-US"/>
        </w:rPr>
        <w:t xml:space="preserve">LCM and </w:t>
      </w:r>
      <w:r w:rsidR="00053CE1" w:rsidRPr="00E215F0">
        <w:rPr>
          <w:lang w:val="en-US"/>
        </w:rPr>
        <w:t xml:space="preserve">Model </w:t>
      </w:r>
      <w:r w:rsidR="00053CE1" w:rsidRPr="002D7D8F">
        <w:rPr>
          <w:lang w:val="en-US"/>
        </w:rPr>
        <w:t>performance monitoring</w:t>
      </w:r>
      <w:bookmarkEnd w:id="2175"/>
      <w:bookmarkEnd w:id="2192"/>
      <w:bookmarkEnd w:id="2193"/>
    </w:p>
    <w:p w14:paraId="464BC905" w14:textId="1CE7063A" w:rsidR="009C3421" w:rsidRPr="00E215F0" w:rsidRDefault="00B60D8D" w:rsidP="009C3421">
      <w:pPr>
        <w:pStyle w:val="Heading2"/>
        <w:rPr>
          <w:lang w:val="en-US"/>
        </w:rPr>
      </w:pPr>
      <w:bookmarkStart w:id="2194" w:name="_Toc189042861"/>
      <w:bookmarkStart w:id="2195" w:name="_Toc189042862"/>
      <w:bookmarkStart w:id="2196" w:name="_Toc189042863"/>
      <w:bookmarkStart w:id="2197" w:name="_Toc189042864"/>
      <w:bookmarkStart w:id="2198" w:name="_Toc189042865"/>
      <w:bookmarkStart w:id="2199" w:name="_Ref189836870"/>
      <w:bookmarkStart w:id="2200" w:name="_Toc189845041"/>
      <w:bookmarkEnd w:id="2194"/>
      <w:bookmarkEnd w:id="2195"/>
      <w:bookmarkEnd w:id="2196"/>
      <w:bookmarkEnd w:id="2197"/>
      <w:bookmarkEnd w:id="2198"/>
      <w:r>
        <w:t>Model-level and functionality-level</w:t>
      </w:r>
      <w:r w:rsidR="009C3421" w:rsidRPr="00E215F0">
        <w:rPr>
          <w:lang w:val="en-US"/>
        </w:rPr>
        <w:t xml:space="preserve"> monitoring</w:t>
      </w:r>
      <w:bookmarkEnd w:id="2199"/>
      <w:bookmarkEnd w:id="2200"/>
    </w:p>
    <w:p w14:paraId="646B93CA" w14:textId="77777777" w:rsidR="009C3421" w:rsidRDefault="009C3421" w:rsidP="009C3421"/>
    <w:p w14:paraId="53EC2CA2" w14:textId="6B421384" w:rsidR="009C3421" w:rsidRDefault="009C3421" w:rsidP="009C3421">
      <w:r>
        <w:t xml:space="preserve">During RAN1#118, we discussed which entity (LMF, </w:t>
      </w:r>
      <w:proofErr w:type="spellStart"/>
      <w:r>
        <w:t>gNB</w:t>
      </w:r>
      <w:proofErr w:type="spellEnd"/>
      <w:r>
        <w:t>, TRP, UE) should make LCM decision, particularly whether entity beside the model hosting entity should make LCM decision for the model hosting entity:</w:t>
      </w:r>
    </w:p>
    <w:tbl>
      <w:tblPr>
        <w:tblStyle w:val="TableGrid"/>
        <w:tblW w:w="0" w:type="auto"/>
        <w:tblLook w:val="04A0" w:firstRow="1" w:lastRow="0" w:firstColumn="1" w:lastColumn="0" w:noHBand="0" w:noVBand="1"/>
      </w:tblPr>
      <w:tblGrid>
        <w:gridCol w:w="9962"/>
      </w:tblGrid>
      <w:tr w:rsidR="0078718A" w:rsidRPr="0078718A" w14:paraId="059003AF" w14:textId="77777777">
        <w:tc>
          <w:tcPr>
            <w:tcW w:w="9962" w:type="dxa"/>
          </w:tcPr>
          <w:p w14:paraId="10EC715A" w14:textId="77777777" w:rsidR="009C3421" w:rsidRPr="0078718A" w:rsidRDefault="009C3421">
            <w:pPr>
              <w:rPr>
                <w:b/>
                <w:color w:val="000000" w:themeColor="text1"/>
                <w:sz w:val="20"/>
                <w:szCs w:val="20"/>
                <w:u w:val="single"/>
              </w:rPr>
            </w:pPr>
            <w:r w:rsidRPr="00D73F2A">
              <w:rPr>
                <w:b/>
                <w:color w:val="000000" w:themeColor="text1"/>
                <w:sz w:val="20"/>
                <w:szCs w:val="20"/>
                <w:u w:val="single"/>
              </w:rPr>
              <w:t>Proposal 6.2.5-1</w:t>
            </w:r>
          </w:p>
          <w:p w14:paraId="59C5511A" w14:textId="77777777" w:rsidR="009C3421" w:rsidRPr="0078718A" w:rsidRDefault="009C3421">
            <w:pPr>
              <w:rPr>
                <w:color w:val="000000" w:themeColor="text1"/>
                <w:sz w:val="20"/>
                <w:szCs w:val="20"/>
              </w:rPr>
            </w:pPr>
            <w:r w:rsidRPr="0078718A">
              <w:rPr>
                <w:color w:val="000000" w:themeColor="text1"/>
                <w:sz w:val="20"/>
                <w:szCs w:val="20"/>
              </w:rPr>
              <w:t xml:space="preserve">For </w:t>
            </w:r>
            <w:r w:rsidRPr="0078718A">
              <w:rPr>
                <w:b/>
                <w:bCs/>
                <w:color w:val="000000" w:themeColor="text1"/>
                <w:sz w:val="20"/>
                <w:szCs w:val="20"/>
              </w:rPr>
              <w:t>label-based</w:t>
            </w:r>
            <w:r w:rsidRPr="0078718A">
              <w:rPr>
                <w:color w:val="000000" w:themeColor="text1"/>
                <w:sz w:val="20"/>
                <w:szCs w:val="20"/>
              </w:rPr>
              <w:t xml:space="preserve"> model performance monitoring of AI/ML positioning Case 1, study the following options:</w:t>
            </w:r>
          </w:p>
          <w:p w14:paraId="01C53042" w14:textId="77777777" w:rsidR="009C3421" w:rsidRPr="0078718A" w:rsidRDefault="009C3421" w:rsidP="005925D5">
            <w:pPr>
              <w:pStyle w:val="ListParagraph"/>
              <w:numPr>
                <w:ilvl w:val="0"/>
                <w:numId w:val="78"/>
              </w:numPr>
              <w:spacing w:line="276" w:lineRule="auto"/>
              <w:rPr>
                <w:color w:val="000000" w:themeColor="text1"/>
                <w:sz w:val="20"/>
              </w:rPr>
            </w:pPr>
            <w:r w:rsidRPr="0078718A">
              <w:rPr>
                <w:color w:val="000000" w:themeColor="text1"/>
                <w:sz w:val="20"/>
              </w:rPr>
              <w:t xml:space="preserve">Option 1: the target UE makes the functionality/model management decision/recommendation (e.g., activate or deactivate a model, update a model, fallback to legacy positioning methods) </w:t>
            </w:r>
            <w:proofErr w:type="gramStart"/>
            <w:r w:rsidRPr="0078718A">
              <w:rPr>
                <w:color w:val="000000" w:themeColor="text1"/>
                <w:sz w:val="20"/>
              </w:rPr>
              <w:t>as a result of</w:t>
            </w:r>
            <w:proofErr w:type="gramEnd"/>
            <w:r w:rsidRPr="0078718A">
              <w:rPr>
                <w:color w:val="000000" w:themeColor="text1"/>
                <w:sz w:val="20"/>
              </w:rPr>
              <w:t xml:space="preserve"> model performance monitoring. </w:t>
            </w:r>
          </w:p>
          <w:p w14:paraId="04D91757"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The target UE notifies the LMF of its functionality/model management decision/recommendation.</w:t>
            </w:r>
          </w:p>
          <w:p w14:paraId="17612367"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lastRenderedPageBreak/>
              <w:t>Option 1 is at least applicable if Option A (The target UE side performs monitoring metric calculation) is supported.</w:t>
            </w:r>
          </w:p>
          <w:p w14:paraId="0497D2C6" w14:textId="77777777" w:rsidR="009C3421" w:rsidRPr="0078718A" w:rsidRDefault="009C3421" w:rsidP="005925D5">
            <w:pPr>
              <w:pStyle w:val="ListParagraph"/>
              <w:numPr>
                <w:ilvl w:val="0"/>
                <w:numId w:val="78"/>
              </w:numPr>
              <w:spacing w:line="276" w:lineRule="auto"/>
              <w:rPr>
                <w:color w:val="000000" w:themeColor="text1"/>
                <w:sz w:val="20"/>
              </w:rPr>
            </w:pPr>
            <w:r w:rsidRPr="0078718A">
              <w:rPr>
                <w:color w:val="000000" w:themeColor="text1"/>
                <w:sz w:val="20"/>
              </w:rPr>
              <w:t xml:space="preserve">Option 2: LMF makes the functionality/model management decision (e.g., functionality/model deactivation, fallback) </w:t>
            </w:r>
            <w:proofErr w:type="gramStart"/>
            <w:r w:rsidRPr="0078718A">
              <w:rPr>
                <w:color w:val="000000" w:themeColor="text1"/>
                <w:sz w:val="20"/>
              </w:rPr>
              <w:t>as a result of</w:t>
            </w:r>
            <w:proofErr w:type="gramEnd"/>
            <w:r w:rsidRPr="0078718A">
              <w:rPr>
                <w:color w:val="000000" w:themeColor="text1"/>
                <w:sz w:val="20"/>
              </w:rPr>
              <w:t xml:space="preserve"> model performance monitoring, and notifies the target UE.</w:t>
            </w:r>
          </w:p>
          <w:p w14:paraId="4F7DB629"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Option 2 is at least applicable if Option B (The LMF performs monitoring metric calculation) is supported.</w:t>
            </w:r>
          </w:p>
          <w:p w14:paraId="24C22E70" w14:textId="77777777" w:rsidR="009C3421" w:rsidRPr="0078718A" w:rsidRDefault="009C3421">
            <w:pPr>
              <w:tabs>
                <w:tab w:val="left" w:pos="786"/>
              </w:tabs>
              <w:rPr>
                <w:color w:val="000000" w:themeColor="text1"/>
                <w:sz w:val="20"/>
                <w:szCs w:val="20"/>
              </w:rPr>
            </w:pPr>
            <w:r w:rsidRPr="0078718A">
              <w:rPr>
                <w:color w:val="000000" w:themeColor="text1"/>
                <w:sz w:val="20"/>
                <w:szCs w:val="20"/>
              </w:rPr>
              <w:t xml:space="preserve">Note: From RAN1 perspective, related to model inference and model monitoring of AI/ML based positioning, LMF makes the decision on whether to activate or deactivate positioning methods, including methods </w:t>
            </w:r>
            <w:proofErr w:type="gramStart"/>
            <w:r w:rsidRPr="0078718A">
              <w:rPr>
                <w:color w:val="000000" w:themeColor="text1"/>
                <w:sz w:val="20"/>
                <w:szCs w:val="20"/>
              </w:rPr>
              <w:t>using  AI</w:t>
            </w:r>
            <w:proofErr w:type="gramEnd"/>
            <w:r w:rsidRPr="0078718A">
              <w:rPr>
                <w:color w:val="000000" w:themeColor="text1"/>
                <w:sz w:val="20"/>
                <w:szCs w:val="20"/>
              </w:rPr>
              <w:t>/ML positioning.</w:t>
            </w:r>
          </w:p>
          <w:p w14:paraId="487C4366" w14:textId="77777777" w:rsidR="009C3421" w:rsidRPr="0078718A" w:rsidRDefault="009C3421">
            <w:pPr>
              <w:rPr>
                <w:b/>
                <w:color w:val="000000" w:themeColor="text1"/>
                <w:sz w:val="20"/>
                <w:szCs w:val="20"/>
                <w:u w:val="single"/>
              </w:rPr>
            </w:pPr>
            <w:r w:rsidRPr="00D73F2A">
              <w:rPr>
                <w:b/>
                <w:color w:val="000000" w:themeColor="text1"/>
                <w:sz w:val="20"/>
                <w:szCs w:val="20"/>
                <w:u w:val="single"/>
              </w:rPr>
              <w:t>Proposal 6.3.4-1</w:t>
            </w:r>
          </w:p>
          <w:p w14:paraId="6232692F" w14:textId="77777777" w:rsidR="009C3421" w:rsidRPr="0078718A" w:rsidRDefault="009C3421">
            <w:pPr>
              <w:rPr>
                <w:color w:val="000000" w:themeColor="text1"/>
                <w:sz w:val="20"/>
                <w:szCs w:val="20"/>
              </w:rPr>
            </w:pPr>
            <w:r w:rsidRPr="0078718A">
              <w:rPr>
                <w:color w:val="000000" w:themeColor="text1"/>
                <w:sz w:val="20"/>
                <w:szCs w:val="20"/>
              </w:rPr>
              <w:t xml:space="preserve">For </w:t>
            </w:r>
            <w:r w:rsidRPr="0078718A">
              <w:rPr>
                <w:b/>
                <w:bCs/>
                <w:color w:val="000000" w:themeColor="text1"/>
                <w:sz w:val="20"/>
                <w:szCs w:val="20"/>
              </w:rPr>
              <w:t>label-based</w:t>
            </w:r>
            <w:r w:rsidRPr="0078718A">
              <w:rPr>
                <w:color w:val="000000" w:themeColor="text1"/>
                <w:sz w:val="20"/>
                <w:szCs w:val="20"/>
              </w:rPr>
              <w:t xml:space="preserve"> model performance monitoring of AI/ML positioning Case 3a, study the following options:</w:t>
            </w:r>
          </w:p>
          <w:p w14:paraId="42FA14B4" w14:textId="77777777" w:rsidR="009C3421" w:rsidRPr="0078718A" w:rsidRDefault="009C3421" w:rsidP="005925D5">
            <w:pPr>
              <w:pStyle w:val="ListParagraph"/>
              <w:numPr>
                <w:ilvl w:val="0"/>
                <w:numId w:val="78"/>
              </w:numPr>
              <w:spacing w:line="276" w:lineRule="auto"/>
              <w:rPr>
                <w:color w:val="000000" w:themeColor="text1"/>
                <w:sz w:val="20"/>
              </w:rPr>
            </w:pPr>
            <w:r w:rsidRPr="0078718A">
              <w:rPr>
                <w:color w:val="000000" w:themeColor="text1"/>
                <w:sz w:val="20"/>
              </w:rPr>
              <w:t xml:space="preserve">Option 1: the </w:t>
            </w:r>
            <w:proofErr w:type="spellStart"/>
            <w:r w:rsidRPr="0078718A">
              <w:rPr>
                <w:color w:val="000000" w:themeColor="text1"/>
                <w:sz w:val="20"/>
              </w:rPr>
              <w:t>gNB</w:t>
            </w:r>
            <w:proofErr w:type="spellEnd"/>
            <w:r w:rsidRPr="0078718A">
              <w:rPr>
                <w:color w:val="000000" w:themeColor="text1"/>
                <w:sz w:val="20"/>
              </w:rPr>
              <w:t xml:space="preserve"> makes the functionality/model management decision/recommendation (e.g., activate or deactivate a model, update a model, fallback to legacy positioning methods) </w:t>
            </w:r>
            <w:proofErr w:type="gramStart"/>
            <w:r w:rsidRPr="0078718A">
              <w:rPr>
                <w:color w:val="000000" w:themeColor="text1"/>
                <w:sz w:val="20"/>
              </w:rPr>
              <w:t>as a result of</w:t>
            </w:r>
            <w:proofErr w:type="gramEnd"/>
            <w:r w:rsidRPr="0078718A">
              <w:rPr>
                <w:color w:val="000000" w:themeColor="text1"/>
                <w:sz w:val="20"/>
              </w:rPr>
              <w:t xml:space="preserve"> model performance monitoring. </w:t>
            </w:r>
          </w:p>
          <w:p w14:paraId="0EF9150F"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 xml:space="preserve">The </w:t>
            </w:r>
            <w:proofErr w:type="spellStart"/>
            <w:r w:rsidRPr="0078718A">
              <w:rPr>
                <w:color w:val="000000" w:themeColor="text1"/>
                <w:sz w:val="20"/>
              </w:rPr>
              <w:t>gNB</w:t>
            </w:r>
            <w:proofErr w:type="spellEnd"/>
            <w:r w:rsidRPr="0078718A">
              <w:rPr>
                <w:color w:val="000000" w:themeColor="text1"/>
                <w:sz w:val="20"/>
              </w:rPr>
              <w:t xml:space="preserve"> notifies the LMF of its functionality/model management decision/recommendation.</w:t>
            </w:r>
          </w:p>
          <w:p w14:paraId="04A9A7DC"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Option 1 is at least applicable if Option A (NG-RAN node performs monitoring metric calculation for its own model) is supported.</w:t>
            </w:r>
          </w:p>
          <w:p w14:paraId="7B995A5E" w14:textId="77777777"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Send an LS to RAN3 asking whether existing procedures are sufficient to enable this notification.</w:t>
            </w:r>
          </w:p>
          <w:p w14:paraId="452CB1DF" w14:textId="77777777" w:rsidR="009C3421" w:rsidRPr="0078718A" w:rsidRDefault="009C3421" w:rsidP="005925D5">
            <w:pPr>
              <w:pStyle w:val="ListParagraph"/>
              <w:numPr>
                <w:ilvl w:val="0"/>
                <w:numId w:val="78"/>
              </w:numPr>
              <w:spacing w:line="276" w:lineRule="auto"/>
              <w:rPr>
                <w:color w:val="000000" w:themeColor="text1"/>
                <w:sz w:val="20"/>
              </w:rPr>
            </w:pPr>
            <w:r w:rsidRPr="0078718A">
              <w:rPr>
                <w:color w:val="000000" w:themeColor="text1"/>
                <w:sz w:val="20"/>
              </w:rPr>
              <w:t xml:space="preserve">Option 2: LMF makes the functionality/model management decision (e.g., functionality/model deactivation, fallback) </w:t>
            </w:r>
            <w:proofErr w:type="gramStart"/>
            <w:r w:rsidRPr="0078718A">
              <w:rPr>
                <w:color w:val="000000" w:themeColor="text1"/>
                <w:sz w:val="20"/>
              </w:rPr>
              <w:t>as a result of</w:t>
            </w:r>
            <w:proofErr w:type="gramEnd"/>
            <w:r w:rsidRPr="0078718A">
              <w:rPr>
                <w:color w:val="000000" w:themeColor="text1"/>
                <w:sz w:val="20"/>
              </w:rPr>
              <w:t xml:space="preserve"> model performance monitoring, and notifies the </w:t>
            </w:r>
            <w:proofErr w:type="spellStart"/>
            <w:r w:rsidRPr="0078718A">
              <w:rPr>
                <w:color w:val="000000" w:themeColor="text1"/>
                <w:sz w:val="20"/>
              </w:rPr>
              <w:t>gNB</w:t>
            </w:r>
            <w:proofErr w:type="spellEnd"/>
            <w:r w:rsidRPr="0078718A">
              <w:rPr>
                <w:color w:val="000000" w:themeColor="text1"/>
                <w:sz w:val="20"/>
              </w:rPr>
              <w:t>.</w:t>
            </w:r>
          </w:p>
          <w:p w14:paraId="1799E26C" w14:textId="2A0BC6C6" w:rsidR="009C3421" w:rsidRPr="0078718A" w:rsidRDefault="009C3421" w:rsidP="005925D5">
            <w:pPr>
              <w:pStyle w:val="ListParagraph"/>
              <w:numPr>
                <w:ilvl w:val="1"/>
                <w:numId w:val="78"/>
              </w:numPr>
              <w:spacing w:line="276" w:lineRule="auto"/>
              <w:rPr>
                <w:color w:val="000000" w:themeColor="text1"/>
                <w:sz w:val="20"/>
              </w:rPr>
            </w:pPr>
            <w:r w:rsidRPr="0078718A">
              <w:rPr>
                <w:color w:val="000000" w:themeColor="text1"/>
                <w:sz w:val="20"/>
              </w:rPr>
              <w:t>Option 2 is at least applicable if Option B (LMF performs monitoring metric calculation for the model located at the NG-RAN node) is supported.</w:t>
            </w:r>
          </w:p>
        </w:tc>
      </w:tr>
    </w:tbl>
    <w:p w14:paraId="2AD2CD9B" w14:textId="77777777" w:rsidR="009C3421" w:rsidRDefault="009C3421" w:rsidP="009C3421"/>
    <w:p w14:paraId="2DC15BAC" w14:textId="0A175487" w:rsidR="0052056E" w:rsidRDefault="0052056E">
      <w:r>
        <w:t xml:space="preserve">During RAN1#119, </w:t>
      </w:r>
      <w:r w:rsidR="00E15F4A">
        <w:t>RAN1</w:t>
      </w:r>
      <w:r>
        <w:t xml:space="preserve"> discussed the following proposals on model monitoring</w:t>
      </w:r>
      <w:r w:rsidR="00E15F4A">
        <w:t>.</w:t>
      </w:r>
    </w:p>
    <w:tbl>
      <w:tblPr>
        <w:tblStyle w:val="TableGrid"/>
        <w:tblW w:w="0" w:type="auto"/>
        <w:tblLook w:val="04A0" w:firstRow="1" w:lastRow="0" w:firstColumn="1" w:lastColumn="0" w:noHBand="0" w:noVBand="1"/>
      </w:tblPr>
      <w:tblGrid>
        <w:gridCol w:w="9962"/>
      </w:tblGrid>
      <w:tr w:rsidR="0052056E" w:rsidRPr="00C2003F" w14:paraId="32214B9E" w14:textId="77777777">
        <w:tc>
          <w:tcPr>
            <w:tcW w:w="9962" w:type="dxa"/>
          </w:tcPr>
          <w:p w14:paraId="42E9D5F7" w14:textId="77777777" w:rsidR="0052056E" w:rsidRPr="00E15F4A" w:rsidRDefault="0052056E" w:rsidP="0052056E">
            <w:pPr>
              <w:rPr>
                <w:b/>
                <w:bCs/>
                <w:sz w:val="20"/>
                <w:szCs w:val="20"/>
                <w:u w:val="single"/>
              </w:rPr>
            </w:pPr>
            <w:r w:rsidRPr="00E15F4A">
              <w:rPr>
                <w:b/>
                <w:bCs/>
                <w:szCs w:val="20"/>
                <w:u w:val="single"/>
              </w:rPr>
              <w:t>Proposal 6.1.2-2</w:t>
            </w:r>
          </w:p>
          <w:p w14:paraId="1FC24AB6" w14:textId="77777777" w:rsidR="0052056E" w:rsidRPr="00E15F4A" w:rsidRDefault="0052056E" w:rsidP="0052056E">
            <w:pPr>
              <w:rPr>
                <w:sz w:val="20"/>
                <w:szCs w:val="20"/>
              </w:rPr>
            </w:pPr>
            <w:r w:rsidRPr="00E15F4A">
              <w:rPr>
                <w:szCs w:val="20"/>
              </w:rPr>
              <w:t>For AI/ML based positioning, regarding model performance monitoring, the same entity performs the monitoring metric calculation and model-level monitoring decision making.</w:t>
            </w:r>
          </w:p>
          <w:p w14:paraId="7BB8E3C2" w14:textId="77777777" w:rsidR="0052056E" w:rsidRPr="00E15F4A" w:rsidRDefault="0052056E" w:rsidP="0052056E">
            <w:pPr>
              <w:rPr>
                <w:b/>
                <w:bCs/>
                <w:sz w:val="20"/>
                <w:szCs w:val="20"/>
                <w:u w:val="single"/>
              </w:rPr>
            </w:pPr>
            <w:r w:rsidRPr="00E15F4A">
              <w:rPr>
                <w:b/>
                <w:bCs/>
                <w:szCs w:val="20"/>
                <w:u w:val="single"/>
              </w:rPr>
              <w:t>Proposal 6.1.2-3</w:t>
            </w:r>
          </w:p>
          <w:p w14:paraId="367B4560" w14:textId="4F36BBFA" w:rsidR="0052056E" w:rsidRPr="00004346" w:rsidRDefault="0052056E" w:rsidP="0052056E">
            <w:pPr>
              <w:rPr>
                <w:sz w:val="20"/>
                <w:szCs w:val="20"/>
              </w:rPr>
            </w:pPr>
            <w:r w:rsidRPr="00E15F4A">
              <w:rPr>
                <w:szCs w:val="20"/>
              </w:rPr>
              <w:t>For AI/ML based positioning all cases, LMF is responsible for functionality-level performance monitoring and management decision making (e.g., functionality selection, activation, deactivation, fallback to a legacy method).</w:t>
            </w:r>
          </w:p>
        </w:tc>
      </w:tr>
    </w:tbl>
    <w:p w14:paraId="269461AB" w14:textId="77777777" w:rsidR="002D02EC" w:rsidRDefault="002D02EC" w:rsidP="009D759C"/>
    <w:p w14:paraId="249B4706" w14:textId="1B7EA84C" w:rsidR="000657E5" w:rsidRDefault="000657E5" w:rsidP="009D759C">
      <w:r>
        <w:t xml:space="preserve">Performance monitoring can be roughly split between </w:t>
      </w:r>
      <w:r w:rsidR="0094177F">
        <w:t>two levels</w:t>
      </w:r>
      <w:r>
        <w:t>:</w:t>
      </w:r>
    </w:p>
    <w:p w14:paraId="6C090817" w14:textId="650B38DC" w:rsidR="000657E5" w:rsidRDefault="000657E5" w:rsidP="009D759C">
      <w:r>
        <w:t xml:space="preserve">- </w:t>
      </w:r>
      <w:r w:rsidRPr="00004346">
        <w:rPr>
          <w:b/>
          <w:bCs/>
        </w:rPr>
        <w:t>M</w:t>
      </w:r>
      <w:r w:rsidR="009D759C" w:rsidRPr="00004346">
        <w:rPr>
          <w:b/>
          <w:bCs/>
        </w:rPr>
        <w:t>odel-level</w:t>
      </w:r>
      <w:r w:rsidR="009D759C">
        <w:t xml:space="preserve"> performance monitoring and management, </w:t>
      </w:r>
    </w:p>
    <w:p w14:paraId="06B9673C" w14:textId="7A91342C" w:rsidR="009D759C" w:rsidRDefault="000657E5" w:rsidP="009D759C">
      <w:r>
        <w:lastRenderedPageBreak/>
        <w:t xml:space="preserve">- </w:t>
      </w:r>
      <w:r w:rsidRPr="00004346">
        <w:rPr>
          <w:b/>
          <w:bCs/>
        </w:rPr>
        <w:t>F</w:t>
      </w:r>
      <w:r w:rsidR="009D759C" w:rsidRPr="00004346">
        <w:rPr>
          <w:b/>
          <w:bCs/>
        </w:rPr>
        <w:t>unctionality-level</w:t>
      </w:r>
      <w:r w:rsidR="009D759C">
        <w:t xml:space="preserve"> performance monitoring and management. </w:t>
      </w:r>
    </w:p>
    <w:p w14:paraId="11BA16A8" w14:textId="0AFB2FB6" w:rsidR="009D759C" w:rsidRDefault="009D759C" w:rsidP="009D759C">
      <w:r>
        <w:t xml:space="preserve">For the </w:t>
      </w:r>
      <w:r w:rsidRPr="00004346">
        <w:rPr>
          <w:b/>
          <w:bCs/>
        </w:rPr>
        <w:t>model-level</w:t>
      </w:r>
      <w:r>
        <w:t xml:space="preserve"> performance monitoring and management, this includes model performance monitoring metric calculation, the decision making on whether the model performs satisfactorily, and actions to take if the model no longer performs well (e.g., deactivate the current model, switch to an alternative model, trigger model update). For this set of procedure, only the model inference entity has the necessary information to carry out, for example, UE for Case 1, </w:t>
      </w:r>
      <w:proofErr w:type="spellStart"/>
      <w:r>
        <w:t>gNB</w:t>
      </w:r>
      <w:proofErr w:type="spellEnd"/>
      <w:r>
        <w:t xml:space="preserve"> for Case 3a. External entities (e.g., LMF) has no knowledge about the details on the model</w:t>
      </w:r>
      <w:r w:rsidR="0094177F">
        <w:t xml:space="preserve"> design</w:t>
      </w:r>
      <w:r>
        <w:t xml:space="preserve"> to </w:t>
      </w:r>
      <w:r w:rsidR="0094177F">
        <w:t xml:space="preserve">make </w:t>
      </w:r>
      <w:r>
        <w:t>judge</w:t>
      </w:r>
      <w:r w:rsidR="0094177F">
        <w:t>ments</w:t>
      </w:r>
      <w:r>
        <w:t xml:space="preserve">. There </w:t>
      </w:r>
      <w:proofErr w:type="gramStart"/>
      <w:r>
        <w:t>are</w:t>
      </w:r>
      <w:proofErr w:type="gramEnd"/>
      <w:r>
        <w:t xml:space="preserve"> many detailed information on the model that can affect the performance monitoring and management decisions, including:</w:t>
      </w:r>
    </w:p>
    <w:p w14:paraId="2B03E4CD" w14:textId="77777777" w:rsidR="009D759C" w:rsidRDefault="009D759C" w:rsidP="009D759C">
      <w:pPr>
        <w:pStyle w:val="ListParagraph"/>
        <w:numPr>
          <w:ilvl w:val="1"/>
          <w:numId w:val="2"/>
        </w:numPr>
        <w:ind w:left="720"/>
      </w:pPr>
      <w:r>
        <w:t xml:space="preserve">the type/size/granularity of channel measurements used as model input, </w:t>
      </w:r>
    </w:p>
    <w:p w14:paraId="4F6D6809" w14:textId="77777777" w:rsidR="009D759C" w:rsidRDefault="009D759C" w:rsidP="009D759C">
      <w:pPr>
        <w:pStyle w:val="ListParagraph"/>
        <w:numPr>
          <w:ilvl w:val="1"/>
          <w:numId w:val="2"/>
        </w:numPr>
        <w:ind w:left="720"/>
      </w:pPr>
      <w:r>
        <w:t xml:space="preserve">the model structure (e.g., distributed or centralized model), </w:t>
      </w:r>
    </w:p>
    <w:p w14:paraId="333CF9C3" w14:textId="77777777" w:rsidR="009D759C" w:rsidRDefault="009D759C" w:rsidP="009D759C">
      <w:pPr>
        <w:pStyle w:val="ListParagraph"/>
        <w:numPr>
          <w:ilvl w:val="1"/>
          <w:numId w:val="2"/>
        </w:numPr>
        <w:ind w:left="720"/>
      </w:pPr>
      <w:r>
        <w:t xml:space="preserve">how the model was trained (e.g., whether the model can accommodate a varying number of active TRPs), </w:t>
      </w:r>
    </w:p>
    <w:p w14:paraId="4546752C" w14:textId="77777777" w:rsidR="009D759C" w:rsidRDefault="009D759C" w:rsidP="009D759C">
      <w:pPr>
        <w:pStyle w:val="ListParagraph"/>
        <w:numPr>
          <w:ilvl w:val="1"/>
          <w:numId w:val="2"/>
        </w:numPr>
        <w:ind w:left="720"/>
      </w:pPr>
      <w:r>
        <w:t xml:space="preserve">the generalization capability of the trained model (e.g., whether/what mixed dataset was used in training), </w:t>
      </w:r>
    </w:p>
    <w:p w14:paraId="3B09EFD4" w14:textId="77777777" w:rsidR="009D759C" w:rsidRDefault="009D759C" w:rsidP="009D759C">
      <w:pPr>
        <w:pStyle w:val="ListParagraph"/>
        <w:numPr>
          <w:ilvl w:val="1"/>
          <w:numId w:val="2"/>
        </w:numPr>
        <w:ind w:left="720"/>
      </w:pPr>
      <w:r>
        <w:t xml:space="preserve">pre-processing and feature engineering applied at model input, </w:t>
      </w:r>
    </w:p>
    <w:p w14:paraId="07425F80" w14:textId="77777777" w:rsidR="009D759C" w:rsidRDefault="009D759C" w:rsidP="009D759C">
      <w:pPr>
        <w:pStyle w:val="ListParagraph"/>
        <w:numPr>
          <w:ilvl w:val="1"/>
          <w:numId w:val="2"/>
        </w:numPr>
        <w:ind w:left="720"/>
      </w:pPr>
      <w:r>
        <w:t>postprocessing applied at model output,</w:t>
      </w:r>
    </w:p>
    <w:p w14:paraId="18566FEB" w14:textId="77777777" w:rsidR="009D759C" w:rsidRDefault="009D759C" w:rsidP="009D759C">
      <w:pPr>
        <w:pStyle w:val="ListParagraph"/>
        <w:numPr>
          <w:ilvl w:val="1"/>
          <w:numId w:val="2"/>
        </w:numPr>
        <w:ind w:left="720"/>
      </w:pPr>
      <w:r>
        <w:t>whether an alternative model is available, and if so, the details of the alternative model,</w:t>
      </w:r>
    </w:p>
    <w:p w14:paraId="4710499C" w14:textId="0C7C791F" w:rsidR="009D759C" w:rsidRDefault="009D759C" w:rsidP="009D759C">
      <w:pPr>
        <w:pStyle w:val="ListParagraph"/>
        <w:numPr>
          <w:ilvl w:val="1"/>
          <w:numId w:val="2"/>
        </w:numPr>
        <w:ind w:left="720"/>
      </w:pPr>
      <w:r>
        <w:t>whether a performance degradation is intentional and temporary due to run</w:t>
      </w:r>
      <w:r w:rsidR="003A6A91">
        <w:t>-</w:t>
      </w:r>
      <w:r>
        <w:t xml:space="preserve">time constraints of the model host, e.g., power consumption, memory, processing pipeline, coexistence with other functionalities, etc. </w:t>
      </w:r>
    </w:p>
    <w:p w14:paraId="22544217" w14:textId="7DCED076" w:rsidR="009D759C" w:rsidRDefault="009D759C" w:rsidP="00004346">
      <w:r>
        <w:t xml:space="preserve">With the above considerations, </w:t>
      </w:r>
      <w:proofErr w:type="gramStart"/>
      <w:r>
        <w:t>it is clear that the</w:t>
      </w:r>
      <w:proofErr w:type="gramEnd"/>
      <w:r>
        <w:t xml:space="preserve"> model-level performance monitoring and management have to be handled by the model inference entity, i.e., UE for Case 1, </w:t>
      </w:r>
      <w:proofErr w:type="spellStart"/>
      <w:r>
        <w:t>gNB</w:t>
      </w:r>
      <w:proofErr w:type="spellEnd"/>
      <w:r>
        <w:t xml:space="preserve"> for Case 3a. In other words, self-monitoring should be supported as a baseline, with the detailed procedure up to the implementation.   </w:t>
      </w:r>
    </w:p>
    <w:p w14:paraId="157828AD" w14:textId="77777777" w:rsidR="009D759C" w:rsidRDefault="009D759C" w:rsidP="009D759C">
      <w:r>
        <w:t xml:space="preserve">For </w:t>
      </w:r>
      <w:r w:rsidRPr="00561472">
        <w:t>direct positioning, the</w:t>
      </w:r>
      <w:r>
        <w:t xml:space="preserve"> model inference entity should act as the core entity that performs model monitoring. This includes calculation of model monitoring metrics and making (preliminary) model monitoring decision. To support the model monitoring procedure, assistance information may be provided between nodes, for example, LMF may send LOS/NLOS assistance information to UE for Case 1. This is much more efficient than UE sends raw information about the model input and/or model output to LMF, and LMF calculates the model monitoring metrics for the UE.</w:t>
      </w:r>
    </w:p>
    <w:p w14:paraId="3DBD30CA" w14:textId="0076B322" w:rsidR="009D759C" w:rsidRPr="00BC25BB" w:rsidRDefault="009D759C" w:rsidP="009D759C">
      <w:r w:rsidRPr="00BC25BB">
        <w:t>For Case 2b and 3b</w:t>
      </w:r>
      <w:r>
        <w:t>,</w:t>
      </w:r>
      <w:r w:rsidRPr="00BC25BB">
        <w:t xml:space="preserve"> LMF is the model inference entity. </w:t>
      </w:r>
      <w:proofErr w:type="gramStart"/>
      <w:r w:rsidRPr="00BC25BB">
        <w:t>Thus</w:t>
      </w:r>
      <w:proofErr w:type="gramEnd"/>
      <w:r w:rsidRPr="00BC25BB">
        <w:t xml:space="preserve"> there is no need </w:t>
      </w:r>
      <w:r>
        <w:t>to define</w:t>
      </w:r>
      <w:r w:rsidRPr="00BC25BB">
        <w:t xml:space="preserve"> signaling for </w:t>
      </w:r>
      <w:r>
        <w:t xml:space="preserve">reporting </w:t>
      </w:r>
      <w:r w:rsidRPr="00BC25BB">
        <w:t>model performance monitoring</w:t>
      </w:r>
      <w:r>
        <w:t xml:space="preserve"> decisions</w:t>
      </w:r>
      <w:r w:rsidRPr="00BC25BB">
        <w:t>.</w:t>
      </w:r>
      <w:r>
        <w:t xml:space="preserve"> There can be, however, additional signaling to support the LMF decision making in model monitoring. One need is assistance information from UE/</w:t>
      </w:r>
      <w:proofErr w:type="spellStart"/>
      <w:r>
        <w:t>gNB</w:t>
      </w:r>
      <w:proofErr w:type="spellEnd"/>
      <w:r>
        <w:t xml:space="preserve"> to LMF to provide </w:t>
      </w:r>
      <w:proofErr w:type="spellStart"/>
      <w:r>
        <w:t>LoS</w:t>
      </w:r>
      <w:proofErr w:type="spellEnd"/>
      <w:r>
        <w:t xml:space="preserve"> link information (see section </w:t>
      </w:r>
      <w:r>
        <w:fldChar w:fldCharType="begin"/>
      </w:r>
      <w:r>
        <w:instrText xml:space="preserve"> REF _Ref166248755 \r </w:instrText>
      </w:r>
      <w:r>
        <w:fldChar w:fldCharType="separate"/>
      </w:r>
      <w:r w:rsidR="00C713E4">
        <w:t>11.1.1</w:t>
      </w:r>
      <w:r>
        <w:fldChar w:fldCharType="end"/>
      </w:r>
      <w:r>
        <w:t xml:space="preserve">). </w:t>
      </w:r>
      <w:proofErr w:type="gramStart"/>
      <w:r>
        <w:t>Also</w:t>
      </w:r>
      <w:proofErr w:type="gramEnd"/>
      <w:r>
        <w:t xml:space="preserve"> LMF could request support from UE/</w:t>
      </w:r>
      <w:proofErr w:type="spellStart"/>
      <w:r>
        <w:t>gNB</w:t>
      </w:r>
      <w:proofErr w:type="spellEnd"/>
      <w:r>
        <w:t xml:space="preserve"> to validate the AI</w:t>
      </w:r>
      <w:r w:rsidR="008312FD">
        <w:t>/</w:t>
      </w:r>
      <w:r>
        <w:t xml:space="preserve">ML model input. </w:t>
      </w:r>
    </w:p>
    <w:p w14:paraId="1E059B36" w14:textId="77777777" w:rsidR="009D759C" w:rsidRPr="00E215F0" w:rsidRDefault="009D759C" w:rsidP="009D759C">
      <w:r>
        <w:lastRenderedPageBreak/>
        <w:t xml:space="preserve">For </w:t>
      </w:r>
      <w:r w:rsidRPr="00561472">
        <w:t>assisted positioning,</w:t>
      </w:r>
      <w:r>
        <w:t xml:space="preserve"> the model inference entity should also act as the core entity that performs model monitoring for itself. To support the calculation of model monitoring metrics, the </w:t>
      </w:r>
      <w:r w:rsidRPr="00E215F0">
        <w:t>LM</w:t>
      </w:r>
      <w:r>
        <w:t xml:space="preserve">F can help by providing the estimated ground truth to the model inference entity (i.e., UE for Case 2a, </w:t>
      </w:r>
      <w:proofErr w:type="spellStart"/>
      <w:r>
        <w:t>gNB</w:t>
      </w:r>
      <w:proofErr w:type="spellEnd"/>
      <w:r>
        <w:t xml:space="preserve"> for Case 3a), where the estimated ground truth is generated by the LMF using the associated conventional positioning methods.</w:t>
      </w:r>
    </w:p>
    <w:p w14:paraId="4ADA61DB" w14:textId="7798DB66" w:rsidR="00285ED3" w:rsidRDefault="00285ED3" w:rsidP="00285ED3">
      <w:r>
        <w:t xml:space="preserve">For </w:t>
      </w:r>
      <w:r w:rsidRPr="00004346">
        <w:rPr>
          <w:b/>
          <w:bCs/>
        </w:rPr>
        <w:t>functionality-level</w:t>
      </w:r>
      <w:r>
        <w:t xml:space="preserve"> performance monitoring and management, </w:t>
      </w:r>
      <w:r w:rsidR="00674AE8">
        <w:t>the LMF</w:t>
      </w:r>
      <w:r w:rsidR="0064196E">
        <w:t xml:space="preserve"> is the responsible node in the positioning framework architecture. For Rel-19, </w:t>
      </w:r>
      <w:r>
        <w:t>LMF should continue to be responsible. That is, with the introduction of AI/ML based positioning, LMF continues to maintain its role as described in TS 38.305:</w:t>
      </w:r>
    </w:p>
    <w:p w14:paraId="36E8FA28" w14:textId="77777777" w:rsidR="00285ED3" w:rsidRPr="00910935" w:rsidRDefault="00285ED3" w:rsidP="00285ED3">
      <w:pPr>
        <w:ind w:left="567"/>
        <w:rPr>
          <w:i/>
          <w:iCs/>
        </w:rPr>
      </w:pPr>
      <w:r w:rsidRPr="00910935">
        <w:rPr>
          <w:i/>
          <w:iCs/>
        </w:rPr>
        <w:t xml:space="preserve">“For positioning of a target UE, the </w:t>
      </w:r>
      <w:r w:rsidRPr="00910935">
        <w:rPr>
          <w:i/>
          <w:iCs/>
          <w:color w:val="FF0000"/>
        </w:rPr>
        <w:t>LMF decides on the position methods to be used</w:t>
      </w:r>
      <w:r w:rsidRPr="00910935">
        <w:rPr>
          <w:i/>
          <w:iCs/>
        </w:rPr>
        <w:t xml:space="preserve">, based on factors that may include the LCS Client type, the required QoS, UE positioning capabilities, </w:t>
      </w:r>
      <w:proofErr w:type="spellStart"/>
      <w:r w:rsidRPr="00910935">
        <w:rPr>
          <w:i/>
          <w:iCs/>
        </w:rPr>
        <w:t>gNB</w:t>
      </w:r>
      <w:proofErr w:type="spellEnd"/>
      <w:r w:rsidRPr="00910935">
        <w:rPr>
          <w:i/>
          <w:iCs/>
        </w:rPr>
        <w:t xml:space="preserve"> positioning capabilities and ng-</w:t>
      </w:r>
      <w:proofErr w:type="spellStart"/>
      <w:r w:rsidRPr="00910935">
        <w:rPr>
          <w:i/>
          <w:iCs/>
        </w:rPr>
        <w:t>eNB</w:t>
      </w:r>
      <w:proofErr w:type="spellEnd"/>
      <w:r w:rsidRPr="00910935">
        <w:rPr>
          <w:i/>
          <w:iCs/>
        </w:rPr>
        <w:t xml:space="preserve"> positioning capabilities. </w:t>
      </w:r>
      <w:r w:rsidRPr="00910935">
        <w:rPr>
          <w:i/>
          <w:iCs/>
          <w:color w:val="FF0000"/>
        </w:rPr>
        <w:t xml:space="preserve">The LMF then invokes these positioning methods in the UE, serving </w:t>
      </w:r>
      <w:proofErr w:type="spellStart"/>
      <w:r w:rsidRPr="00910935">
        <w:rPr>
          <w:i/>
          <w:iCs/>
          <w:color w:val="FF0000"/>
        </w:rPr>
        <w:t>gNB</w:t>
      </w:r>
      <w:proofErr w:type="spellEnd"/>
      <w:r w:rsidRPr="00910935">
        <w:rPr>
          <w:i/>
          <w:iCs/>
          <w:color w:val="FF0000"/>
        </w:rPr>
        <w:t xml:space="preserve"> and/or serving ng</w:t>
      </w:r>
      <w:r w:rsidRPr="00910935">
        <w:rPr>
          <w:i/>
          <w:iCs/>
          <w:color w:val="FF0000"/>
        </w:rPr>
        <w:noBreakHyphen/>
      </w:r>
      <w:proofErr w:type="spellStart"/>
      <w:r w:rsidRPr="00910935">
        <w:rPr>
          <w:i/>
          <w:iCs/>
          <w:color w:val="FF0000"/>
        </w:rPr>
        <w:t>eNB</w:t>
      </w:r>
      <w:proofErr w:type="spellEnd"/>
      <w:r w:rsidRPr="00910935">
        <w:rPr>
          <w:i/>
          <w:iCs/>
          <w:color w:val="FF0000"/>
        </w:rPr>
        <w:t xml:space="preserve">. </w:t>
      </w:r>
      <w:r w:rsidRPr="00910935">
        <w:rPr>
          <w:i/>
          <w:iCs/>
        </w:rPr>
        <w:t xml:space="preserve">The positioning methods may yield a location estimate for UE-based position methods and/or positioning measurements for UE-assisted and network-based position methods. </w:t>
      </w:r>
      <w:r w:rsidRPr="00910935">
        <w:rPr>
          <w:i/>
          <w:iCs/>
          <w:color w:val="FF0000"/>
        </w:rPr>
        <w:t xml:space="preserve">The LMF may combine all the received results and determine a single location estimate for the target UE (hybrid positioning). </w:t>
      </w:r>
      <w:r w:rsidRPr="00910935">
        <w:rPr>
          <w:i/>
          <w:iCs/>
        </w:rPr>
        <w:t>Additional information like accuracy of the location estimate and velocity may also be determined.”</w:t>
      </w:r>
    </w:p>
    <w:p w14:paraId="22D1A414" w14:textId="77777777" w:rsidR="00285ED3" w:rsidRDefault="00285ED3" w:rsidP="00285ED3">
      <w:pPr>
        <w:tabs>
          <w:tab w:val="num" w:pos="0"/>
        </w:tabs>
      </w:pPr>
      <w:r>
        <w:t xml:space="preserve">In general, LMF is responsible for selecting/activating the desired positioning methods, </w:t>
      </w:r>
      <w:proofErr w:type="gramStart"/>
      <w:r>
        <w:t>taking into account</w:t>
      </w:r>
      <w:proofErr w:type="gramEnd"/>
      <w:r>
        <w:t xml:space="preserve"> the positioning accuracy requirement. LMF manage the positioning functionality, but it does not have detailed information to manage individual models residing at </w:t>
      </w:r>
      <w:proofErr w:type="spellStart"/>
      <w:r>
        <w:t>gNB</w:t>
      </w:r>
      <w:proofErr w:type="spellEnd"/>
      <w:r>
        <w:t xml:space="preserve"> or UE.</w:t>
      </w:r>
    </w:p>
    <w:p w14:paraId="1A4B5481" w14:textId="6DADDA49" w:rsidR="00C74F0B" w:rsidRDefault="008377BA" w:rsidP="00C74F0B">
      <w:r>
        <w:t>Thus, f</w:t>
      </w:r>
      <w:r w:rsidR="00C74F0B">
        <w:t xml:space="preserve">or functionality-level decision making, the LMF is responsible.  </w:t>
      </w:r>
      <w:r w:rsidR="001F3C63">
        <w:t>RAN2 has agreed to continue with the</w:t>
      </w:r>
      <w:r w:rsidR="00C74F0B">
        <w:t xml:space="preserve"> legacy principle based on LMF-driven functionality management for the positioning method, with UE providing </w:t>
      </w:r>
      <w:proofErr w:type="gramStart"/>
      <w:r w:rsidR="00C74F0B">
        <w:t>feedback  on</w:t>
      </w:r>
      <w:proofErr w:type="gramEnd"/>
      <w:r w:rsidR="00C74F0B">
        <w:t xml:space="preserve"> whether the functionality is applicable to the UE based on capability reporting or error cause reporting: </w:t>
      </w:r>
    </w:p>
    <w:tbl>
      <w:tblPr>
        <w:tblStyle w:val="TableGrid"/>
        <w:tblW w:w="0" w:type="auto"/>
        <w:tblLook w:val="04A0" w:firstRow="1" w:lastRow="0" w:firstColumn="1" w:lastColumn="0" w:noHBand="0" w:noVBand="1"/>
      </w:tblPr>
      <w:tblGrid>
        <w:gridCol w:w="9962"/>
      </w:tblGrid>
      <w:tr w:rsidR="00C74F0B" w:rsidRPr="00E15F4A" w14:paraId="1BD02253" w14:textId="77777777">
        <w:tc>
          <w:tcPr>
            <w:tcW w:w="9962" w:type="dxa"/>
          </w:tcPr>
          <w:p w14:paraId="01E35385" w14:textId="77777777" w:rsidR="001F3C63" w:rsidRPr="00E15F4A" w:rsidRDefault="001F3C63" w:rsidP="001F3C63">
            <w:pPr>
              <w:rPr>
                <w:rFonts w:ascii="Times New Roman" w:hAnsi="Times New Roman" w:cs="Times New Roman"/>
                <w:b/>
                <w:sz w:val="20"/>
                <w:szCs w:val="20"/>
              </w:rPr>
            </w:pPr>
            <w:r w:rsidRPr="00E15F4A">
              <w:rPr>
                <w:rFonts w:ascii="Times New Roman" w:eastAsia="Calibri" w:hAnsi="Times New Roman" w:cs="Times New Roman"/>
                <w:b/>
                <w:sz w:val="20"/>
                <w:szCs w:val="20"/>
                <w:highlight w:val="green"/>
              </w:rPr>
              <w:t>Agreements</w:t>
            </w:r>
            <w:r w:rsidRPr="00E15F4A">
              <w:rPr>
                <w:rFonts w:ascii="Times New Roman" w:eastAsia="Calibri" w:hAnsi="Times New Roman" w:cs="Times New Roman"/>
                <w:b/>
                <w:sz w:val="20"/>
                <w:szCs w:val="20"/>
              </w:rPr>
              <w:t xml:space="preserve"> (RAN2#125bis):</w:t>
            </w:r>
          </w:p>
          <w:p w14:paraId="0907C13A" w14:textId="77777777" w:rsidR="001F3C63" w:rsidRPr="00E15F4A" w:rsidRDefault="001F3C63" w:rsidP="001F3C63">
            <w:pPr>
              <w:rPr>
                <w:rFonts w:ascii="Times New Roman" w:hAnsi="Times New Roman" w:cs="Times New Roman"/>
                <w:sz w:val="20"/>
                <w:szCs w:val="20"/>
              </w:rPr>
            </w:pPr>
            <w:r w:rsidRPr="00E15F4A">
              <w:rPr>
                <w:rFonts w:ascii="Times New Roman" w:eastAsia="Calibri" w:hAnsi="Times New Roman" w:cs="Times New Roman"/>
                <w:sz w:val="20"/>
                <w:szCs w:val="20"/>
              </w:rPr>
              <w:t>1</w:t>
            </w:r>
            <w:r w:rsidRPr="00E15F4A">
              <w:rPr>
                <w:rFonts w:ascii="Times New Roman" w:eastAsia="Calibri" w:hAnsi="Times New Roman" w:cs="Times New Roman"/>
                <w:sz w:val="20"/>
                <w:szCs w:val="20"/>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0F3CBE34" w14:textId="77777777" w:rsidR="001F3C63" w:rsidRPr="00E15F4A" w:rsidRDefault="001F3C63" w:rsidP="001F3C63">
            <w:pPr>
              <w:pStyle w:val="paragraph"/>
              <w:spacing w:before="0" w:beforeAutospacing="0" w:after="0" w:afterAutospacing="0"/>
              <w:ind w:left="360" w:hanging="360"/>
              <w:textAlignment w:val="baseline"/>
              <w:rPr>
                <w:rFonts w:eastAsia="Calibri"/>
                <w:sz w:val="20"/>
                <w:szCs w:val="20"/>
              </w:rPr>
            </w:pPr>
            <w:r w:rsidRPr="00E15F4A">
              <w:rPr>
                <w:rFonts w:eastAsia="Calibri"/>
                <w:sz w:val="20"/>
                <w:szCs w:val="20"/>
              </w:rPr>
              <w:t>2</w:t>
            </w:r>
            <w:r w:rsidRPr="00E15F4A">
              <w:rPr>
                <w:rFonts w:eastAsia="Calibri"/>
                <w:sz w:val="20"/>
                <w:szCs w:val="20"/>
              </w:rPr>
              <w:tab/>
              <w:t>“UE-autonomous, UE’s decision is not reported to the network” is not considered for Rel-19</w:t>
            </w:r>
          </w:p>
          <w:p w14:paraId="31EE6325" w14:textId="77777777" w:rsidR="001F3C63" w:rsidRPr="00E15F4A" w:rsidRDefault="001F3C63" w:rsidP="001F3C63">
            <w:pPr>
              <w:pStyle w:val="paragraph"/>
              <w:spacing w:before="0" w:beforeAutospacing="0" w:after="0" w:afterAutospacing="0"/>
              <w:ind w:left="360" w:hanging="360"/>
              <w:textAlignment w:val="baseline"/>
              <w:rPr>
                <w:rStyle w:val="normaltextrun"/>
                <w:rFonts w:eastAsia="Calibri"/>
                <w:b/>
                <w:sz w:val="20"/>
                <w:szCs w:val="20"/>
              </w:rPr>
            </w:pPr>
          </w:p>
          <w:p w14:paraId="56F59554" w14:textId="5CA1DE9D" w:rsidR="00C74F0B" w:rsidRPr="00E15F4A" w:rsidRDefault="00C74F0B" w:rsidP="001F3C63">
            <w:pPr>
              <w:pStyle w:val="paragraph"/>
              <w:spacing w:before="0" w:beforeAutospacing="0" w:after="0" w:afterAutospacing="0"/>
              <w:ind w:left="360" w:hanging="360"/>
              <w:textAlignment w:val="baseline"/>
              <w:rPr>
                <w:sz w:val="20"/>
                <w:szCs w:val="20"/>
              </w:rPr>
            </w:pPr>
            <w:r w:rsidRPr="00E15F4A">
              <w:rPr>
                <w:rStyle w:val="normaltextrun"/>
                <w:b/>
                <w:sz w:val="20"/>
                <w:szCs w:val="20"/>
                <w:highlight w:val="green"/>
              </w:rPr>
              <w:t>Agreements</w:t>
            </w:r>
            <w:r w:rsidRPr="00E15F4A">
              <w:rPr>
                <w:rStyle w:val="normaltextrun"/>
                <w:b/>
                <w:sz w:val="20"/>
                <w:szCs w:val="20"/>
              </w:rPr>
              <w:t xml:space="preserve"> (RAN2#128, </w:t>
            </w:r>
            <w:r w:rsidR="00547F85" w:rsidRPr="00E15F4A">
              <w:rPr>
                <w:rStyle w:val="normaltextrun"/>
                <w:b/>
                <w:sz w:val="20"/>
                <w:szCs w:val="20"/>
              </w:rPr>
              <w:t>N</w:t>
            </w:r>
            <w:r w:rsidRPr="00E15F4A">
              <w:rPr>
                <w:rStyle w:val="normaltextrun"/>
                <w:b/>
                <w:sz w:val="20"/>
                <w:szCs w:val="20"/>
              </w:rPr>
              <w:t>ov 2024)</w:t>
            </w:r>
            <w:r w:rsidRPr="00E15F4A">
              <w:rPr>
                <w:rStyle w:val="eop"/>
                <w:sz w:val="20"/>
                <w:szCs w:val="20"/>
              </w:rPr>
              <w:t> </w:t>
            </w:r>
          </w:p>
          <w:p w14:paraId="266EA7C3" w14:textId="77777777" w:rsidR="00C74F0B" w:rsidRPr="00E15F4A" w:rsidRDefault="00C74F0B">
            <w:pPr>
              <w:pStyle w:val="paragraph"/>
              <w:spacing w:before="0" w:beforeAutospacing="0" w:after="0" w:afterAutospacing="0"/>
              <w:ind w:left="360" w:hanging="360"/>
              <w:textAlignment w:val="baseline"/>
              <w:rPr>
                <w:sz w:val="20"/>
                <w:szCs w:val="20"/>
              </w:rPr>
            </w:pPr>
            <w:r w:rsidRPr="00E15F4A">
              <w:rPr>
                <w:rStyle w:val="normaltextrun"/>
                <w:sz w:val="20"/>
                <w:szCs w:val="20"/>
              </w:rPr>
              <w:t>1</w:t>
            </w:r>
            <w:r w:rsidRPr="00E15F4A">
              <w:rPr>
                <w:rStyle w:val="tabchar"/>
                <w:sz w:val="20"/>
                <w:szCs w:val="20"/>
              </w:rPr>
              <w:tab/>
            </w:r>
            <w:r w:rsidRPr="00E15F4A">
              <w:rPr>
                <w:rStyle w:val="normaltextrun"/>
                <w:sz w:val="20"/>
                <w:szCs w:val="20"/>
              </w:rPr>
              <w:t>For POS Case 1, RAN2 confirm that the existing unsolicited UE capability report mechanism in LPP can support UE to report the applicable functionality in both “proactive” and “reactive” as a baseline.</w:t>
            </w:r>
            <w:r w:rsidRPr="00E15F4A">
              <w:rPr>
                <w:rStyle w:val="eop"/>
                <w:sz w:val="20"/>
                <w:szCs w:val="20"/>
              </w:rPr>
              <w:t> </w:t>
            </w:r>
          </w:p>
          <w:p w14:paraId="7E269B0F" w14:textId="77777777" w:rsidR="00C74F0B" w:rsidRPr="00E15F4A" w:rsidRDefault="00C74F0B">
            <w:pPr>
              <w:pStyle w:val="paragraph"/>
              <w:spacing w:before="0" w:beforeAutospacing="0" w:after="0" w:afterAutospacing="0"/>
              <w:ind w:left="540" w:hanging="360"/>
              <w:textAlignment w:val="baseline"/>
              <w:rPr>
                <w:sz w:val="20"/>
                <w:szCs w:val="20"/>
              </w:rPr>
            </w:pPr>
            <w:r w:rsidRPr="00E15F4A">
              <w:rPr>
                <w:rStyle w:val="normaltextrun"/>
                <w:sz w:val="20"/>
                <w:szCs w:val="20"/>
              </w:rPr>
              <w:t xml:space="preserve">- </w:t>
            </w:r>
            <w:r w:rsidRPr="00E15F4A">
              <w:rPr>
                <w:rStyle w:val="tabchar"/>
                <w:sz w:val="20"/>
                <w:szCs w:val="20"/>
              </w:rPr>
              <w:tab/>
            </w:r>
            <w:r w:rsidRPr="00E15F4A">
              <w:rPr>
                <w:rStyle w:val="normaltextrun"/>
                <w:sz w:val="20"/>
                <w:szCs w:val="20"/>
              </w:rPr>
              <w:t xml:space="preserve">Proactive case: When the applicability change, UE can send an unsolicited LPP </w:t>
            </w:r>
            <w:proofErr w:type="spellStart"/>
            <w:r w:rsidRPr="00E15F4A">
              <w:rPr>
                <w:rStyle w:val="normaltextrun"/>
                <w:sz w:val="20"/>
                <w:szCs w:val="20"/>
              </w:rPr>
              <w:t>ProvideCapabilities</w:t>
            </w:r>
            <w:proofErr w:type="spellEnd"/>
            <w:r w:rsidRPr="00E15F4A">
              <w:rPr>
                <w:rStyle w:val="normaltextrun"/>
                <w:sz w:val="20"/>
                <w:szCs w:val="20"/>
              </w:rPr>
              <w:t xml:space="preserve"> message to </w:t>
            </w:r>
            <w:proofErr w:type="gramStart"/>
            <w:r w:rsidRPr="00E15F4A">
              <w:rPr>
                <w:rStyle w:val="normaltextrun"/>
                <w:sz w:val="20"/>
                <w:szCs w:val="20"/>
              </w:rPr>
              <w:t>LMF .</w:t>
            </w:r>
            <w:proofErr w:type="gramEnd"/>
            <w:r w:rsidRPr="00E15F4A">
              <w:rPr>
                <w:rStyle w:val="eop"/>
                <w:sz w:val="20"/>
                <w:szCs w:val="20"/>
              </w:rPr>
              <w:t> </w:t>
            </w:r>
          </w:p>
          <w:p w14:paraId="2A1789A2" w14:textId="77777777" w:rsidR="00C74F0B" w:rsidRPr="00E15F4A" w:rsidRDefault="00C74F0B">
            <w:pPr>
              <w:pStyle w:val="paragraph"/>
              <w:spacing w:before="0" w:beforeAutospacing="0" w:after="0" w:afterAutospacing="0"/>
              <w:ind w:left="540" w:hanging="360"/>
              <w:textAlignment w:val="baseline"/>
              <w:rPr>
                <w:sz w:val="20"/>
                <w:szCs w:val="20"/>
              </w:rPr>
            </w:pPr>
            <w:r w:rsidRPr="00E15F4A">
              <w:rPr>
                <w:rStyle w:val="normaltextrun"/>
                <w:sz w:val="20"/>
                <w:szCs w:val="20"/>
              </w:rPr>
              <w:t>-</w:t>
            </w:r>
            <w:r w:rsidRPr="00E15F4A">
              <w:rPr>
                <w:rStyle w:val="tabchar"/>
                <w:sz w:val="20"/>
                <w:szCs w:val="20"/>
              </w:rPr>
              <w:tab/>
            </w:r>
            <w:r w:rsidRPr="00E15F4A">
              <w:rPr>
                <w:rStyle w:val="normaltextrun"/>
                <w:sz w:val="20"/>
                <w:szCs w:val="20"/>
              </w:rPr>
              <w:t xml:space="preserve">Reactive case: If the applicability changes based on the configuration in LPP </w:t>
            </w:r>
            <w:proofErr w:type="spellStart"/>
            <w:r w:rsidRPr="00E15F4A">
              <w:rPr>
                <w:rStyle w:val="normaltextrun"/>
                <w:sz w:val="20"/>
                <w:szCs w:val="20"/>
              </w:rPr>
              <w:t>ProvideAssistanceData</w:t>
            </w:r>
            <w:proofErr w:type="spellEnd"/>
            <w:r w:rsidRPr="00E15F4A">
              <w:rPr>
                <w:rStyle w:val="normaltextrun"/>
                <w:sz w:val="20"/>
                <w:szCs w:val="20"/>
              </w:rPr>
              <w:t xml:space="preserve"> message in step 3, UE can send an unsolicited LPP </w:t>
            </w:r>
            <w:proofErr w:type="spellStart"/>
            <w:r w:rsidRPr="00E15F4A">
              <w:rPr>
                <w:rStyle w:val="normaltextrun"/>
                <w:sz w:val="20"/>
                <w:szCs w:val="20"/>
              </w:rPr>
              <w:t>ProvideCapabilities</w:t>
            </w:r>
            <w:proofErr w:type="spellEnd"/>
            <w:r w:rsidRPr="00E15F4A">
              <w:rPr>
                <w:rStyle w:val="normaltextrun"/>
                <w:sz w:val="20"/>
                <w:szCs w:val="20"/>
              </w:rPr>
              <w:t xml:space="preserve"> message to LMF.  Configuration details are FFS </w:t>
            </w:r>
            <w:r w:rsidRPr="00E15F4A">
              <w:rPr>
                <w:rStyle w:val="eop"/>
                <w:sz w:val="20"/>
                <w:szCs w:val="20"/>
              </w:rPr>
              <w:t> </w:t>
            </w:r>
          </w:p>
          <w:p w14:paraId="6407D701" w14:textId="77777777" w:rsidR="00C74F0B" w:rsidRPr="00E15F4A" w:rsidRDefault="00C74F0B">
            <w:pPr>
              <w:pStyle w:val="paragraph"/>
              <w:spacing w:before="0" w:beforeAutospacing="0" w:after="0" w:afterAutospacing="0"/>
              <w:ind w:left="360" w:hanging="360"/>
              <w:textAlignment w:val="baseline"/>
              <w:rPr>
                <w:sz w:val="20"/>
                <w:szCs w:val="20"/>
              </w:rPr>
            </w:pPr>
            <w:r w:rsidRPr="00E15F4A">
              <w:rPr>
                <w:rStyle w:val="normaltextrun"/>
                <w:sz w:val="20"/>
                <w:szCs w:val="20"/>
              </w:rPr>
              <w:t xml:space="preserve">2     As a baseline, If the AIML based positioning method becomes non-applicable when LMF requests UE location estimation, UE cannot perform the AIML based </w:t>
            </w:r>
            <w:proofErr w:type="gramStart"/>
            <w:r w:rsidRPr="00E15F4A">
              <w:rPr>
                <w:rStyle w:val="normaltextrun"/>
                <w:sz w:val="20"/>
                <w:szCs w:val="20"/>
              </w:rPr>
              <w:t>positioning, and</w:t>
            </w:r>
            <w:proofErr w:type="gramEnd"/>
            <w:r w:rsidRPr="00E15F4A">
              <w:rPr>
                <w:rStyle w:val="normaltextrun"/>
                <w:sz w:val="20"/>
                <w:szCs w:val="20"/>
              </w:rPr>
              <w:t xml:space="preserve"> reply with LPP </w:t>
            </w:r>
            <w:proofErr w:type="spellStart"/>
            <w:r w:rsidRPr="00E15F4A">
              <w:rPr>
                <w:rStyle w:val="normaltextrun"/>
                <w:sz w:val="20"/>
                <w:szCs w:val="20"/>
              </w:rPr>
              <w:t>Providelocationinformation</w:t>
            </w:r>
            <w:proofErr w:type="spellEnd"/>
            <w:r w:rsidRPr="00E15F4A">
              <w:rPr>
                <w:rStyle w:val="normaltextrun"/>
                <w:sz w:val="20"/>
                <w:szCs w:val="20"/>
              </w:rPr>
              <w:t xml:space="preserve"> message with error cause.  FFS if other fallback options are considered</w:t>
            </w:r>
            <w:r w:rsidRPr="00E15F4A">
              <w:rPr>
                <w:rStyle w:val="eop"/>
                <w:sz w:val="20"/>
                <w:szCs w:val="20"/>
              </w:rPr>
              <w:t> </w:t>
            </w:r>
          </w:p>
        </w:tc>
      </w:tr>
    </w:tbl>
    <w:p w14:paraId="28C21B02" w14:textId="77777777" w:rsidR="002F1BC9" w:rsidRDefault="002F1BC9" w:rsidP="00C74F0B"/>
    <w:p w14:paraId="4145CE8C" w14:textId="46F1D035" w:rsidR="00285ED3" w:rsidRDefault="00285ED3" w:rsidP="00285ED3">
      <w:r>
        <w:t xml:space="preserve">Thus, </w:t>
      </w:r>
      <w:r w:rsidR="008A1EE9">
        <w:t>for both label</w:t>
      </w:r>
      <w:r w:rsidR="002F1BC9">
        <w:t>-</w:t>
      </w:r>
      <w:r w:rsidR="008A1EE9">
        <w:t xml:space="preserve">based or label-free </w:t>
      </w:r>
      <w:r>
        <w:t>monitoring, the LMF should still be able to request the UE/</w:t>
      </w:r>
      <w:proofErr w:type="spellStart"/>
      <w:r>
        <w:t>gNB</w:t>
      </w:r>
      <w:proofErr w:type="spellEnd"/>
      <w:r>
        <w:t xml:space="preserve"> to send </w:t>
      </w:r>
      <w:r w:rsidR="002F1BC9">
        <w:t xml:space="preserve">model-level </w:t>
      </w:r>
      <w:r>
        <w:t xml:space="preserve">monitoring updates. </w:t>
      </w:r>
    </w:p>
    <w:p w14:paraId="2E11BAA9" w14:textId="77777777" w:rsidR="00285ED3" w:rsidRDefault="00285ED3" w:rsidP="00285ED3"/>
    <w:p w14:paraId="7932AB26" w14:textId="77777777" w:rsidR="00285ED3" w:rsidRDefault="00285ED3" w:rsidP="00285ED3">
      <w:pPr>
        <w:pStyle w:val="Proposal"/>
      </w:pPr>
      <w:bookmarkStart w:id="2201" w:name="_Toc189845158"/>
      <w:r>
        <w:t>The model inference entity is responsible for model-level performance monitoring and management, including calculation of model monitoring metrics. The detailed algorithm and procedure are up to implementation.</w:t>
      </w:r>
      <w:bookmarkEnd w:id="2201"/>
    </w:p>
    <w:p w14:paraId="27DCD521" w14:textId="77777777" w:rsidR="00285ED3" w:rsidRDefault="00285ED3" w:rsidP="00285ED3">
      <w:pPr>
        <w:pStyle w:val="Proposal"/>
      </w:pPr>
      <w:bookmarkStart w:id="2202" w:name="_Toc189845159"/>
      <w:r>
        <w:t>For AI/ML based positioning, LMF is responsible for functionality-level performance monitoring and management.</w:t>
      </w:r>
      <w:bookmarkEnd w:id="2202"/>
      <w:r>
        <w:t xml:space="preserve">  </w:t>
      </w:r>
    </w:p>
    <w:p w14:paraId="23251C23" w14:textId="77777777" w:rsidR="00B00470" w:rsidRDefault="00B00470" w:rsidP="009C3421"/>
    <w:p w14:paraId="03BD221B" w14:textId="67585863" w:rsidR="009C3421" w:rsidRPr="00E215F0" w:rsidRDefault="00561472" w:rsidP="009C3421">
      <w:r>
        <w:t>For Case 1</w:t>
      </w:r>
      <w:r w:rsidR="009C3421">
        <w:t>,</w:t>
      </w:r>
      <w:r>
        <w:t xml:space="preserve"> beyond monitoring the deployed model by UE,</w:t>
      </w:r>
      <w:r w:rsidR="009C3421">
        <w:t xml:space="preserve"> some additional validation or supervision may be necessary to ensure a reliable system-level performance. </w:t>
      </w:r>
      <w:r w:rsidR="009C3421">
        <w:rPr>
          <w:rFonts w:eastAsia="Calibri"/>
        </w:rPr>
        <w:t>Specifically,</w:t>
      </w:r>
      <w:r w:rsidR="009C3421">
        <w:t xml:space="preserve"> LMF may need to check from time to time whether the AI/ML model in UE works well or not. For this purpose, the UE can report</w:t>
      </w:r>
      <w:r w:rsidR="00E40CC7">
        <w:t xml:space="preserve"> model quality information</w:t>
      </w:r>
      <w:r w:rsidR="009C3421">
        <w:t xml:space="preserve"> to LMF periodically or when triggered by LMF. </w:t>
      </w:r>
      <w:r w:rsidR="00E40CC7">
        <w:t xml:space="preserve">The model quality information may </w:t>
      </w:r>
      <w:proofErr w:type="gramStart"/>
      <w:r w:rsidR="00E40CC7">
        <w:t>include:</w:t>
      </w:r>
      <w:proofErr w:type="gramEnd"/>
      <w:r w:rsidR="00E40CC7">
        <w:t xml:space="preserve"> model monitoring decisions by UE, quality of the model output (e.g., uncertainty and confidence of model output). </w:t>
      </w:r>
      <w:r w:rsidR="009C3421">
        <w:t>This allows the LMF to supervise the UE's AI/ML positioning functionality at a high level.</w:t>
      </w:r>
    </w:p>
    <w:p w14:paraId="5C885289" w14:textId="21C91BD0" w:rsidR="009C3421" w:rsidRDefault="00E40CC7" w:rsidP="009C3421">
      <w:r>
        <w:t xml:space="preserve">Similarly, for Case 3a, the LMF need to supervise </w:t>
      </w:r>
      <w:proofErr w:type="spellStart"/>
      <w:r>
        <w:t>gNB’s</w:t>
      </w:r>
      <w:proofErr w:type="spellEnd"/>
      <w:r>
        <w:t xml:space="preserve"> AI/ML positioning functionality at a high level. LMF can check the quality of model output reported by </w:t>
      </w:r>
      <w:proofErr w:type="spellStart"/>
      <w:r>
        <w:t>gNB</w:t>
      </w:r>
      <w:proofErr w:type="spellEnd"/>
      <w:r>
        <w:t xml:space="preserve">. In addition, the </w:t>
      </w:r>
      <w:proofErr w:type="spellStart"/>
      <w:r>
        <w:t>gNB</w:t>
      </w:r>
      <w:proofErr w:type="spellEnd"/>
      <w:r>
        <w:t xml:space="preserve"> can report its model monitoring decisions to LMF periodically or when triggered by LMF.</w:t>
      </w:r>
      <w:r w:rsidR="00BA35FE">
        <w:t xml:space="preserve"> </w:t>
      </w:r>
      <w:r w:rsidR="00A57968">
        <w:t>Specifically, t</w:t>
      </w:r>
      <w:r w:rsidR="00BA35FE">
        <w:t xml:space="preserve">he </w:t>
      </w:r>
      <w:proofErr w:type="spellStart"/>
      <w:r w:rsidR="00BA35FE">
        <w:t>gNB</w:t>
      </w:r>
      <w:proofErr w:type="spellEnd"/>
      <w:r w:rsidR="00BA35FE">
        <w:t xml:space="preserve"> can feedback model monitoring decision to the LMF using e.g. measurement error with cause value. The signaling details are up to RAN3.</w:t>
      </w:r>
    </w:p>
    <w:p w14:paraId="41459B94" w14:textId="48A564E8" w:rsidR="009C3421" w:rsidRDefault="00F548F3" w:rsidP="009C3421">
      <w:r w:rsidRPr="00004346">
        <w:rPr>
          <w:i/>
          <w:iCs/>
        </w:rPr>
        <w:t>i</w:t>
      </w:r>
      <w:r>
        <w:t>n terms of functionality management,</w:t>
      </w:r>
      <w:r w:rsidR="00291F72">
        <w:t xml:space="preserve"> </w:t>
      </w:r>
      <w:r w:rsidR="009C3421">
        <w:t xml:space="preserve">the LMF can decide to deactivate the AI/ML based positioning </w:t>
      </w:r>
      <w:r w:rsidR="009C3421" w:rsidRPr="00F6182E">
        <w:rPr>
          <w:i/>
          <w:iCs/>
          <w:u w:val="single"/>
        </w:rPr>
        <w:t>methods</w:t>
      </w:r>
      <w:r w:rsidR="009C3421">
        <w:t xml:space="preserve">, e.g., if the LMF decides that the model is no longer appropriate for the deployment. For example, for Case 1/2a/3a, it can be understood the model inference entity (UE, </w:t>
      </w:r>
      <w:proofErr w:type="spellStart"/>
      <w:r w:rsidR="009C3421">
        <w:t>gNB</w:t>
      </w:r>
      <w:proofErr w:type="spellEnd"/>
      <w:r w:rsidR="009C3421">
        <w:t>) performs model monitoring and makes preliminary model monitoring decision, while LMF can make the final decision</w:t>
      </w:r>
      <w:r w:rsidR="004561FC">
        <w:t xml:space="preserve"> such as </w:t>
      </w:r>
      <w:r w:rsidR="004561FC" w:rsidRPr="0078718A">
        <w:rPr>
          <w:color w:val="000000" w:themeColor="text1"/>
          <w:szCs w:val="20"/>
        </w:rPr>
        <w:t>functionality deactivation, fallback</w:t>
      </w:r>
      <w:r w:rsidR="004561FC">
        <w:rPr>
          <w:color w:val="000000" w:themeColor="text1"/>
          <w:szCs w:val="20"/>
        </w:rPr>
        <w:t xml:space="preserve"> to a legacy method</w:t>
      </w:r>
      <w:r w:rsidR="009C3421">
        <w:t xml:space="preserve">. </w:t>
      </w:r>
      <w:r w:rsidR="00EF6C58">
        <w:t>Fallback can be done by implementation</w:t>
      </w:r>
      <w:r w:rsidR="00C574B7">
        <w:t xml:space="preserve"> in the LMF, no additional specification is needed. </w:t>
      </w:r>
    </w:p>
    <w:p w14:paraId="70ADBE75" w14:textId="2F881464" w:rsidR="00AD630B" w:rsidRDefault="00AD630B" w:rsidP="00AD630B">
      <w:pPr>
        <w:pStyle w:val="Proposal"/>
      </w:pPr>
      <w:bookmarkStart w:id="2203" w:name="_Toc189845160"/>
      <w:r>
        <w:t xml:space="preserve">For AI/ML based positioning, LMF </w:t>
      </w:r>
      <w:r w:rsidR="00D3563B">
        <w:t>can decide on a fallback method based on performance monitoring reports from the UE/</w:t>
      </w:r>
      <w:proofErr w:type="spellStart"/>
      <w:r w:rsidR="00D3563B">
        <w:t>gNB</w:t>
      </w:r>
      <w:bookmarkEnd w:id="2203"/>
      <w:proofErr w:type="spellEnd"/>
    </w:p>
    <w:p w14:paraId="3863CCD8" w14:textId="12C17E4D" w:rsidR="00D3563B" w:rsidRDefault="00D3563B" w:rsidP="00004346">
      <w:pPr>
        <w:pStyle w:val="Proposal"/>
        <w:numPr>
          <w:ilvl w:val="1"/>
          <w:numId w:val="2"/>
        </w:numPr>
      </w:pPr>
      <w:bookmarkStart w:id="2204" w:name="_Toc189845161"/>
      <w:r>
        <w:t xml:space="preserve">Note: </w:t>
      </w:r>
      <w:r w:rsidR="00EF6C58">
        <w:t>there is no specification impact needed to enable a fallback mechanism.</w:t>
      </w:r>
      <w:bookmarkEnd w:id="2204"/>
      <w:r w:rsidR="00EF6C58">
        <w:t xml:space="preserve"> </w:t>
      </w:r>
    </w:p>
    <w:p w14:paraId="71D5A7CD" w14:textId="50E90EC4" w:rsidR="006F064F" w:rsidRDefault="000B41BC" w:rsidP="006F064F">
      <w:pPr>
        <w:pStyle w:val="Heading2"/>
      </w:pPr>
      <w:bookmarkStart w:id="2205" w:name="_Toc189125207"/>
      <w:bookmarkStart w:id="2206" w:name="_Toc189125208"/>
      <w:bookmarkStart w:id="2207" w:name="_Toc189125209"/>
      <w:bookmarkStart w:id="2208" w:name="_Ref189836809"/>
      <w:bookmarkStart w:id="2209" w:name="_Toc189845042"/>
      <w:bookmarkEnd w:id="2205"/>
      <w:bookmarkEnd w:id="2206"/>
      <w:bookmarkEnd w:id="2207"/>
      <w:r>
        <w:rPr>
          <w:lang w:val="en-US"/>
        </w:rPr>
        <w:t xml:space="preserve">Self-monitoring: </w:t>
      </w:r>
      <w:r w:rsidR="006F064F">
        <w:rPr>
          <w:lang w:val="en-US"/>
        </w:rPr>
        <w:t xml:space="preserve">Label-free </w:t>
      </w:r>
      <w:r>
        <w:rPr>
          <w:lang w:val="en-US"/>
        </w:rPr>
        <w:t>or</w:t>
      </w:r>
      <w:r w:rsidR="00A74788">
        <w:rPr>
          <w:lang w:val="en-US"/>
        </w:rPr>
        <w:t xml:space="preserve"> label-based</w:t>
      </w:r>
      <w:bookmarkEnd w:id="2208"/>
      <w:bookmarkEnd w:id="2209"/>
    </w:p>
    <w:p w14:paraId="2C936327" w14:textId="77777777" w:rsidR="006F064F" w:rsidRDefault="006F064F" w:rsidP="006F064F"/>
    <w:p w14:paraId="2D4F966D" w14:textId="4929DF45" w:rsidR="006F064F" w:rsidRDefault="006F064F" w:rsidP="006F064F">
      <w:r>
        <w:t xml:space="preserve">During RAN1#119 </w:t>
      </w:r>
      <w:r w:rsidR="00B30074">
        <w:t>l</w:t>
      </w:r>
      <w:r>
        <w:t>abel</w:t>
      </w:r>
      <w:r w:rsidR="00B30074">
        <w:t>-</w:t>
      </w:r>
      <w:r>
        <w:t>free monitoring was captured in the FL summary with the following proposal:</w:t>
      </w:r>
    </w:p>
    <w:tbl>
      <w:tblPr>
        <w:tblStyle w:val="TableGrid"/>
        <w:tblW w:w="0" w:type="auto"/>
        <w:tblLook w:val="04A0" w:firstRow="1" w:lastRow="0" w:firstColumn="1" w:lastColumn="0" w:noHBand="0" w:noVBand="1"/>
      </w:tblPr>
      <w:tblGrid>
        <w:gridCol w:w="9962"/>
      </w:tblGrid>
      <w:tr w:rsidR="006F064F" w:rsidRPr="00086E8A" w14:paraId="0E841310" w14:textId="77777777">
        <w:tc>
          <w:tcPr>
            <w:tcW w:w="9962" w:type="dxa"/>
          </w:tcPr>
          <w:p w14:paraId="614AA378" w14:textId="77777777" w:rsidR="006F064F" w:rsidRPr="00B879FA" w:rsidRDefault="006F064F">
            <w:pPr>
              <w:rPr>
                <w:b/>
                <w:bCs/>
                <w:sz w:val="20"/>
                <w:szCs w:val="20"/>
                <w:u w:val="single"/>
              </w:rPr>
            </w:pPr>
            <w:r w:rsidRPr="00B879FA">
              <w:rPr>
                <w:b/>
                <w:bCs/>
                <w:szCs w:val="20"/>
                <w:u w:val="single"/>
              </w:rPr>
              <w:t>Proposal 6.1.2-1</w:t>
            </w:r>
          </w:p>
          <w:p w14:paraId="076E2490" w14:textId="77777777" w:rsidR="006F064F" w:rsidRPr="00B879FA" w:rsidRDefault="006F064F">
            <w:pPr>
              <w:rPr>
                <w:sz w:val="20"/>
                <w:szCs w:val="20"/>
              </w:rPr>
            </w:pPr>
            <w:r w:rsidRPr="00B879FA">
              <w:rPr>
                <w:szCs w:val="20"/>
              </w:rPr>
              <w:t xml:space="preserve">For AI/ML positioning Cases, label-free monitoring methods are supported, where the model inference entity performs self-monitoring without external information on the ground truth label. </w:t>
            </w:r>
          </w:p>
          <w:p w14:paraId="277D665B" w14:textId="77777777" w:rsidR="006F064F" w:rsidRPr="00B879FA" w:rsidRDefault="006F064F">
            <w:pPr>
              <w:pStyle w:val="ListParagraph"/>
              <w:widowControl w:val="0"/>
              <w:numPr>
                <w:ilvl w:val="0"/>
                <w:numId w:val="96"/>
              </w:numPr>
              <w:tabs>
                <w:tab w:val="left" w:pos="720"/>
              </w:tabs>
              <w:spacing w:after="80"/>
              <w:rPr>
                <w:sz w:val="20"/>
              </w:rPr>
            </w:pPr>
            <w:r w:rsidRPr="00B879FA">
              <w:t xml:space="preserve">For Case 1 and Case 3a, the UE (Case 1) and </w:t>
            </w:r>
            <w:proofErr w:type="spellStart"/>
            <w:r w:rsidRPr="00B879FA">
              <w:t>gNB</w:t>
            </w:r>
            <w:proofErr w:type="spellEnd"/>
            <w:r w:rsidRPr="00B879FA">
              <w:t xml:space="preserve"> (Case 3a) sends the monitoring decision to LMF, at least when the monitoring decision indicates that the model becomes inappropriate for inference. </w:t>
            </w:r>
          </w:p>
          <w:p w14:paraId="10CC73D3" w14:textId="77777777" w:rsidR="006F064F" w:rsidRPr="00B879FA" w:rsidRDefault="006F064F">
            <w:pPr>
              <w:pStyle w:val="ListParagraph"/>
              <w:widowControl w:val="0"/>
              <w:numPr>
                <w:ilvl w:val="0"/>
                <w:numId w:val="96"/>
              </w:numPr>
              <w:tabs>
                <w:tab w:val="left" w:pos="720"/>
              </w:tabs>
              <w:spacing w:after="80"/>
              <w:rPr>
                <w:sz w:val="20"/>
              </w:rPr>
            </w:pPr>
            <w:r w:rsidRPr="00B879FA">
              <w:t>FFS: other specification impact (e.g., assistance data).</w:t>
            </w:r>
          </w:p>
        </w:tc>
      </w:tr>
    </w:tbl>
    <w:p w14:paraId="427123A4" w14:textId="77777777" w:rsidR="006F064F" w:rsidRDefault="006F064F" w:rsidP="006F064F"/>
    <w:p w14:paraId="097120D3" w14:textId="77777777" w:rsidR="006F064F" w:rsidRDefault="006F064F" w:rsidP="006F064F">
      <w:r w:rsidRPr="00E215F0">
        <w:t>For AI/ML based positioning, model performance monitoring was studied in Rel-18 study item phase. Both label-based methods and label-free methods were explored.</w:t>
      </w:r>
      <w:r>
        <w:t xml:space="preserve"> </w:t>
      </w:r>
      <w:r w:rsidRPr="00E215F0">
        <w:t xml:space="preserve">If </w:t>
      </w:r>
      <w:r>
        <w:t xml:space="preserve">true </w:t>
      </w:r>
      <w:r w:rsidRPr="00E215F0">
        <w:t xml:space="preserve">ground truth label can be found, it is preferred to use label-based method and monitor the accuracy of model output directly. </w:t>
      </w:r>
      <w:r>
        <w:t>However, f</w:t>
      </w:r>
      <w:r w:rsidRPr="00E215F0">
        <w:t>or real life deployment, the problem is, ground truth label</w:t>
      </w:r>
      <w:r>
        <w:t xml:space="preserve"> or its estimation</w:t>
      </w:r>
      <w:r w:rsidRPr="00E215F0">
        <w:t xml:space="preserve"> is rarely available during model deployment. </w:t>
      </w:r>
    </w:p>
    <w:p w14:paraId="5404F4C0" w14:textId="77777777" w:rsidR="006F064F" w:rsidRDefault="006F064F" w:rsidP="006F064F">
      <w:r>
        <w:t>For label-free model performance monitoring, as discussed in Rel-18 SI, the monitoring metrics can be various formats depending on the method:</w:t>
      </w:r>
    </w:p>
    <w:p w14:paraId="5D2E4922" w14:textId="77777777" w:rsidR="006F064F" w:rsidRDefault="006F064F" w:rsidP="006F064F">
      <w:pPr>
        <w:pStyle w:val="ListParagraph"/>
        <w:numPr>
          <w:ilvl w:val="0"/>
          <w:numId w:val="38"/>
        </w:numPr>
      </w:pPr>
      <w:r w:rsidRPr="006A103B">
        <w:t xml:space="preserve">statistics of measurement(s) compared to the statistics associated with the training data, </w:t>
      </w:r>
    </w:p>
    <w:p w14:paraId="53B87FF5" w14:textId="77777777" w:rsidR="006F064F" w:rsidRDefault="006F064F" w:rsidP="006F064F">
      <w:pPr>
        <w:pStyle w:val="ListParagraph"/>
        <w:numPr>
          <w:ilvl w:val="0"/>
          <w:numId w:val="38"/>
        </w:numPr>
      </w:pPr>
      <w:r w:rsidRPr="006A103B">
        <w:t>statistics associated with the model output</w:t>
      </w:r>
      <w:r>
        <w:t>,</w:t>
      </w:r>
    </w:p>
    <w:p w14:paraId="6811B557" w14:textId="77777777" w:rsidR="006F064F" w:rsidRDefault="006F064F" w:rsidP="006F064F">
      <w:pPr>
        <w:pStyle w:val="ListParagraph"/>
        <w:numPr>
          <w:ilvl w:val="0"/>
          <w:numId w:val="38"/>
        </w:numPr>
      </w:pPr>
      <w:r w:rsidRPr="006A103B">
        <w:t xml:space="preserve">relative displacement, </w:t>
      </w:r>
    </w:p>
    <w:p w14:paraId="0A66B48F" w14:textId="22BFADF0" w:rsidR="006F064F" w:rsidRDefault="006F064F" w:rsidP="006F064F">
      <w:pPr>
        <w:pStyle w:val="ListParagraph"/>
        <w:numPr>
          <w:ilvl w:val="0"/>
          <w:numId w:val="38"/>
        </w:numPr>
      </w:pPr>
      <w:r w:rsidRPr="006A103B">
        <w:t>inference output inconsistency</w:t>
      </w:r>
      <w:r>
        <w:t xml:space="preserve"> (e.g., approach 3 in section </w:t>
      </w:r>
      <w:r>
        <w:fldChar w:fldCharType="begin"/>
      </w:r>
      <w:r>
        <w:instrText xml:space="preserve"> REF _Ref166232203 \r </w:instrText>
      </w:r>
      <w:r>
        <w:fldChar w:fldCharType="separate"/>
      </w:r>
      <w:r w:rsidR="00C713E4">
        <w:t>11.1.3</w:t>
      </w:r>
      <w:r>
        <w:fldChar w:fldCharType="end"/>
      </w:r>
      <w:r>
        <w:t>),</w:t>
      </w:r>
    </w:p>
    <w:p w14:paraId="21297F48" w14:textId="77777777" w:rsidR="006F064F" w:rsidRDefault="006F064F" w:rsidP="006F064F">
      <w:pPr>
        <w:pStyle w:val="ListParagraph"/>
        <w:numPr>
          <w:ilvl w:val="0"/>
          <w:numId w:val="38"/>
        </w:numPr>
      </w:pPr>
      <w:r>
        <w:t>…</w:t>
      </w:r>
    </w:p>
    <w:p w14:paraId="5004C2E0" w14:textId="77777777" w:rsidR="006F064F" w:rsidRDefault="006F064F" w:rsidP="006F064F">
      <w:r>
        <w:t xml:space="preserve">There is no effort to acquire ground truth label or its approximation or substitution. The calculation of monitoring metric is up to implementation. It is not feasible to align the monitoring metric among the different monitoring </w:t>
      </w:r>
      <w:proofErr w:type="gramStart"/>
      <w:r>
        <w:t>methods, or</w:t>
      </w:r>
      <w:proofErr w:type="gramEnd"/>
      <w:r>
        <w:t xml:space="preserve"> align on a threshold for decision making at the end of model monitoring. Hence the entire m</w:t>
      </w:r>
      <w:r w:rsidRPr="00E215F0">
        <w:t>odel performance monitoring</w:t>
      </w:r>
      <w:r>
        <w:t xml:space="preserve"> procedure is self-contained within the model inference entity, i.e., no need to receive assistance data on ground truth label; no need to send monitoring metric to another entity; no need to receive thresholds or criteria for decision making. The only potential specification impact is to notify other entities of the model monitoring decision, if necessary. </w:t>
      </w:r>
    </w:p>
    <w:p w14:paraId="61B4DD6B" w14:textId="77777777" w:rsidR="006F064F" w:rsidRDefault="006F064F" w:rsidP="006F064F">
      <w:pPr>
        <w:pStyle w:val="Observation"/>
      </w:pPr>
      <w:bookmarkStart w:id="2210" w:name="_Toc189845091"/>
      <w:r>
        <w:t>Label-free model performance monitoring is up to implementation of model inference entity. The only potential specification impact is to notify other entities of the model monitoring decision, if necessary.</w:t>
      </w:r>
      <w:bookmarkEnd w:id="2210"/>
    </w:p>
    <w:p w14:paraId="729F4E19" w14:textId="77777777" w:rsidR="006F064F" w:rsidRDefault="006F064F" w:rsidP="006F064F"/>
    <w:p w14:paraId="64841B6D" w14:textId="77777777" w:rsidR="006F064F" w:rsidRDefault="006F064F" w:rsidP="006F064F">
      <w:r>
        <w:t>For label-based model performance monitoring, as discussed in Rel-18 SI, the monitoring metric is:</w:t>
      </w:r>
    </w:p>
    <w:p w14:paraId="3B1D18AA" w14:textId="77777777" w:rsidR="006F064F" w:rsidRPr="00397642" w:rsidRDefault="006F064F" w:rsidP="006F064F">
      <w:pPr>
        <w:pStyle w:val="ListParagraph"/>
        <w:numPr>
          <w:ilvl w:val="0"/>
          <w:numId w:val="38"/>
        </w:numPr>
      </w:pPr>
      <w:r w:rsidRPr="00F125CA">
        <w:t>statistics of the difference between model output and provided ground truth label</w:t>
      </w:r>
      <w:r>
        <w:t xml:space="preserve"> (or its approximation/substitution).</w:t>
      </w:r>
    </w:p>
    <w:p w14:paraId="4F622210" w14:textId="77777777" w:rsidR="00753A7D" w:rsidRDefault="00753A7D" w:rsidP="006F064F"/>
    <w:p w14:paraId="6647F318" w14:textId="10A97109" w:rsidR="006F064F" w:rsidRDefault="006F064F" w:rsidP="006F064F">
      <w:proofErr w:type="gramStart"/>
      <w:r>
        <w:t>Thus</w:t>
      </w:r>
      <w:proofErr w:type="gramEnd"/>
      <w:r>
        <w:t xml:space="preserve"> there is a need to provide </w:t>
      </w:r>
      <w:r w:rsidRPr="00F125CA">
        <w:t>ground truth label</w:t>
      </w:r>
      <w:r>
        <w:t xml:space="preserve"> (or its approximation/substitution). </w:t>
      </w:r>
    </w:p>
    <w:p w14:paraId="7145C88A" w14:textId="175E335C" w:rsidR="006F064F" w:rsidRDefault="006F064F" w:rsidP="006F064F">
      <w:pPr>
        <w:pStyle w:val="ListParagraph"/>
        <w:numPr>
          <w:ilvl w:val="0"/>
          <w:numId w:val="38"/>
        </w:numPr>
      </w:pPr>
      <w:r>
        <w:t xml:space="preserve">If certain information on the </w:t>
      </w:r>
      <w:r w:rsidRPr="00F125CA">
        <w:t>ground truth label</w:t>
      </w:r>
      <w:r>
        <w:t xml:space="preserve"> can be generated by the model inference entity (e.g., a variant of approach 1 of section </w:t>
      </w:r>
      <w:r>
        <w:fldChar w:fldCharType="begin"/>
      </w:r>
      <w:r>
        <w:instrText>REF _Ref166232055 \r</w:instrText>
      </w:r>
      <w:r>
        <w:fldChar w:fldCharType="separate"/>
      </w:r>
      <w:r w:rsidR="00C713E4">
        <w:t>11.1.1</w:t>
      </w:r>
      <w:r>
        <w:fldChar w:fldCharType="end"/>
      </w:r>
      <w:r>
        <w:t xml:space="preserve">), then such label-based model performance monitoring is also self-contained and up to implementation of model inference entity. </w:t>
      </w:r>
    </w:p>
    <w:p w14:paraId="1D2B5AC2" w14:textId="77777777" w:rsidR="006F064F" w:rsidRPr="00397642" w:rsidRDefault="006F064F" w:rsidP="006F064F">
      <w:pPr>
        <w:pStyle w:val="ListParagraph"/>
        <w:numPr>
          <w:ilvl w:val="0"/>
          <w:numId w:val="38"/>
        </w:numPr>
      </w:pPr>
      <w:r>
        <w:t xml:space="preserve">On the other hand, if the information on the </w:t>
      </w:r>
      <w:r w:rsidRPr="00F125CA">
        <w:t>ground truth label</w:t>
      </w:r>
      <w:r>
        <w:t xml:space="preserve"> </w:t>
      </w:r>
      <w:proofErr w:type="gramStart"/>
      <w:r>
        <w:t>has to</w:t>
      </w:r>
      <w:proofErr w:type="gramEnd"/>
      <w:r>
        <w:t xml:space="preserve"> be provided by another entity, then signaling needs to be specified so that model output and </w:t>
      </w:r>
      <w:r w:rsidRPr="00F125CA">
        <w:t>ground truth label</w:t>
      </w:r>
      <w:r>
        <w:t xml:space="preserve"> information are brought together to the model monitoring entity. If the model monitoring entity is different than the model inference entity, then signaling is also needed to send the monitoring decision.</w:t>
      </w:r>
    </w:p>
    <w:p w14:paraId="6BD2CE4C" w14:textId="779B1A1C" w:rsidR="000C7330" w:rsidRDefault="006F064F" w:rsidP="000C7330">
      <w:pPr>
        <w:pStyle w:val="ListParagraph"/>
        <w:numPr>
          <w:ilvl w:val="1"/>
          <w:numId w:val="38"/>
        </w:numPr>
      </w:pPr>
      <w:r>
        <w:t xml:space="preserve">Still, it is infeasible to align the exact monitoring metric </w:t>
      </w:r>
      <w:proofErr w:type="gramStart"/>
      <w:r>
        <w:t>calculation, or</w:t>
      </w:r>
      <w:proofErr w:type="gramEnd"/>
      <w:r>
        <w:t xml:space="preserve"> align on a threshold for decision making at the end of model monitoring.</w:t>
      </w:r>
      <w:r w:rsidR="00753A7D">
        <w:t xml:space="preserve"> This imposes unacceptable difficulty to specify them over a standardized interface.</w:t>
      </w:r>
      <w:r>
        <w:t xml:space="preserve"> </w:t>
      </w:r>
    </w:p>
    <w:p w14:paraId="65CFF920" w14:textId="77777777" w:rsidR="000C7330" w:rsidRDefault="000C7330" w:rsidP="00004346">
      <w:pPr>
        <w:ind w:left="1080"/>
      </w:pPr>
    </w:p>
    <w:p w14:paraId="23458B49" w14:textId="610F2B45" w:rsidR="006F064F" w:rsidRDefault="000C7330" w:rsidP="00004346">
      <w:r>
        <w:t xml:space="preserve">Considering the above, </w:t>
      </w:r>
      <w:proofErr w:type="gramStart"/>
      <w:r w:rsidR="00E4191A">
        <w:t>similar to</w:t>
      </w:r>
      <w:proofErr w:type="gramEnd"/>
      <w:r w:rsidR="00E4191A">
        <w:t xml:space="preserve"> label-free monitoring, </w:t>
      </w:r>
      <w:r>
        <w:t>for label-based monitoring,</w:t>
      </w:r>
      <w:r w:rsidR="006F064F">
        <w:t xml:space="preserve"> a same entity should perform both monitoring metric calculation and monitoring decision making regarding how to handle the </w:t>
      </w:r>
      <w:r w:rsidR="006F064F" w:rsidRPr="000C7330">
        <w:rPr>
          <w:i/>
          <w:iCs/>
        </w:rPr>
        <w:t>model</w:t>
      </w:r>
      <w:r w:rsidR="006F064F">
        <w:t>.</w:t>
      </w:r>
      <w:r w:rsidR="00525B16">
        <w:t xml:space="preserve"> That is, self-monitoring is the baseline for all cases.</w:t>
      </w:r>
      <w:r w:rsidR="006F064F">
        <w:t xml:space="preserve">  Note that the network</w:t>
      </w:r>
      <w:r w:rsidR="00E8780D">
        <w:t xml:space="preserve"> (i.e., LMF)</w:t>
      </w:r>
      <w:r w:rsidR="006F064F">
        <w:t xml:space="preserve"> is still in charge of the positioning procedure at large</w:t>
      </w:r>
      <w:r w:rsidR="00E8780D">
        <w:t xml:space="preserve"> (i.e., LMF for functionality-level monitoring)</w:t>
      </w:r>
      <w:r w:rsidR="006F064F">
        <w:t>, and may decide to interrupt the positioning procedure based on received information.</w:t>
      </w:r>
    </w:p>
    <w:p w14:paraId="3DFD3BF2" w14:textId="77777777" w:rsidR="006F064F" w:rsidRDefault="006F064F" w:rsidP="00004346">
      <w:pPr>
        <w:pStyle w:val="ListParagraph"/>
        <w:numPr>
          <w:ilvl w:val="0"/>
          <w:numId w:val="0"/>
        </w:numPr>
        <w:ind w:left="1440"/>
      </w:pPr>
    </w:p>
    <w:p w14:paraId="6D4407AD" w14:textId="666E0F0C" w:rsidR="006F064F" w:rsidRDefault="006F064F" w:rsidP="00CD7FDF">
      <w:pPr>
        <w:pStyle w:val="Observation"/>
      </w:pPr>
      <w:bookmarkStart w:id="2211" w:name="_Toc189845092"/>
      <w:r>
        <w:t xml:space="preserve">If certain information on the </w:t>
      </w:r>
      <w:r w:rsidRPr="00F125CA">
        <w:t>ground truth label</w:t>
      </w:r>
      <w:r>
        <w:t xml:space="preserve">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bookmarkEnd w:id="2211"/>
    </w:p>
    <w:p w14:paraId="7BAA9FD4" w14:textId="77777777" w:rsidR="006F064F" w:rsidRPr="00DA4C5B" w:rsidRDefault="006F064F" w:rsidP="006F064F">
      <w:pPr>
        <w:rPr>
          <w:b/>
          <w:bCs/>
        </w:rPr>
      </w:pPr>
    </w:p>
    <w:p w14:paraId="5BC286CB" w14:textId="0CC7EFB2" w:rsidR="006F064F" w:rsidRDefault="006F064F" w:rsidP="006F064F">
      <w:pPr>
        <w:pStyle w:val="Proposal"/>
      </w:pPr>
      <w:bookmarkStart w:id="2212" w:name="_Toc189845162"/>
      <w:r>
        <w:t>For AI/ML positioning Cases, LMF based functionality management using label-free monitoring methods are supported</w:t>
      </w:r>
      <w:r w:rsidR="00525B16">
        <w:t xml:space="preserve">, where </w:t>
      </w:r>
      <w:r w:rsidR="00525B16">
        <w:t>the model inference entity performs self-monitoring without external information on the ground truth label</w:t>
      </w:r>
      <w:r w:rsidR="00525B16">
        <w:t>.</w:t>
      </w:r>
      <w:bookmarkEnd w:id="2212"/>
    </w:p>
    <w:p w14:paraId="2EC6BDC5" w14:textId="7FA64129" w:rsidR="00525B16" w:rsidRDefault="00525B16" w:rsidP="006F064F">
      <w:pPr>
        <w:pStyle w:val="Proposal"/>
      </w:pPr>
      <w:bookmarkStart w:id="2213" w:name="_Toc189845163"/>
      <w:r>
        <w:t xml:space="preserve">For AI/ML positioning Cases, self-monitoring is the </w:t>
      </w:r>
      <w:proofErr w:type="gramStart"/>
      <w:r>
        <w:t>baseline,  where</w:t>
      </w:r>
      <w:proofErr w:type="gramEnd"/>
      <w:r>
        <w:t xml:space="preserve"> the model inference entity performs self-monitoring with or without external information on the ground truth label (i.e., label-free or label-based).</w:t>
      </w:r>
      <w:bookmarkEnd w:id="2213"/>
    </w:p>
    <w:p w14:paraId="50BA0079" w14:textId="36C999F1" w:rsidR="006F064F" w:rsidRDefault="00525B16" w:rsidP="006F064F">
      <w:pPr>
        <w:pStyle w:val="Proposal"/>
        <w:numPr>
          <w:ilvl w:val="1"/>
          <w:numId w:val="2"/>
        </w:numPr>
      </w:pPr>
      <w:bookmarkStart w:id="2214" w:name="_Toc189845164"/>
      <w:r>
        <w:t>The detailed s</w:t>
      </w:r>
      <w:r w:rsidR="006F064F">
        <w:t>elf-monitoring method</w:t>
      </w:r>
      <w:r>
        <w:t xml:space="preserve"> and decision-making are</w:t>
      </w:r>
      <w:r w:rsidR="006F064F">
        <w:t xml:space="preserve"> up to the implementation of the </w:t>
      </w:r>
      <w:r>
        <w:t>model inference entity (</w:t>
      </w:r>
      <w:proofErr w:type="spellStart"/>
      <w:r w:rsidR="006F064F">
        <w:t>gNB</w:t>
      </w:r>
      <w:proofErr w:type="spellEnd"/>
      <w:r>
        <w:t xml:space="preserve"> or </w:t>
      </w:r>
      <w:r w:rsidR="006F064F">
        <w:t>UE</w:t>
      </w:r>
      <w:r>
        <w:t xml:space="preserve"> or LMF)</w:t>
      </w:r>
      <w:r w:rsidR="00A532AA">
        <w:t>.</w:t>
      </w:r>
      <w:bookmarkEnd w:id="2214"/>
    </w:p>
    <w:p w14:paraId="0AB0FCEC" w14:textId="3CC19530" w:rsidR="006F064F" w:rsidRDefault="00A532AA" w:rsidP="006F064F">
      <w:pPr>
        <w:pStyle w:val="Proposal"/>
        <w:numPr>
          <w:ilvl w:val="1"/>
          <w:numId w:val="2"/>
        </w:numPr>
      </w:pPr>
      <w:bookmarkStart w:id="2215" w:name="_Toc189845165"/>
      <w:r>
        <w:t>T</w:t>
      </w:r>
      <w:r w:rsidR="006F064F">
        <w:t>he LMF can request / configure the reporting of monitoring outcome by the</w:t>
      </w:r>
      <w:r>
        <w:t xml:space="preserve"> model inference entity</w:t>
      </w:r>
      <w:r w:rsidR="006F064F">
        <w:t xml:space="preserve"> </w:t>
      </w:r>
      <w:r>
        <w:t xml:space="preserve">when it’s </w:t>
      </w:r>
      <w:proofErr w:type="spellStart"/>
      <w:r w:rsidR="006F064F">
        <w:t>gNB</w:t>
      </w:r>
      <w:proofErr w:type="spellEnd"/>
      <w:r>
        <w:t xml:space="preserve"> or </w:t>
      </w:r>
      <w:r w:rsidR="006F064F">
        <w:t>UE.</w:t>
      </w:r>
      <w:bookmarkEnd w:id="2215"/>
      <w:r w:rsidR="006F064F">
        <w:t xml:space="preserve"> </w:t>
      </w:r>
    </w:p>
    <w:p w14:paraId="42E3B0D7" w14:textId="77777777" w:rsidR="006F064F" w:rsidRDefault="006F064F" w:rsidP="006F064F">
      <w:pPr>
        <w:pStyle w:val="Proposal"/>
        <w:numPr>
          <w:ilvl w:val="1"/>
          <w:numId w:val="2"/>
        </w:numPr>
      </w:pPr>
      <w:bookmarkStart w:id="2216" w:name="_Toc189845166"/>
      <w:r>
        <w:t xml:space="preserve">For Case 1 and Case 3a, the UE (Case 1) and </w:t>
      </w:r>
      <w:proofErr w:type="spellStart"/>
      <w:r>
        <w:t>gNB</w:t>
      </w:r>
      <w:proofErr w:type="spellEnd"/>
      <w:r>
        <w:t xml:space="preserve"> (Case 3a) sends the monitoring decision to LMF, at least when the monitoring decision indicates that the model becomes inappropriate for inference.</w:t>
      </w:r>
      <w:bookmarkEnd w:id="2216"/>
      <w:r>
        <w:t xml:space="preserve"> </w:t>
      </w:r>
    </w:p>
    <w:p w14:paraId="1AF639A1" w14:textId="6296EA38" w:rsidR="006F064F" w:rsidRDefault="006F064F" w:rsidP="00004346">
      <w:pPr>
        <w:pStyle w:val="Proposal"/>
        <w:numPr>
          <w:ilvl w:val="1"/>
          <w:numId w:val="2"/>
        </w:numPr>
      </w:pPr>
      <w:bookmarkStart w:id="2217" w:name="_Toc189845167"/>
      <w:r>
        <w:t xml:space="preserve">For model inference at UE (Case 1, 2a) or </w:t>
      </w:r>
      <w:proofErr w:type="spellStart"/>
      <w:r>
        <w:t>gNB</w:t>
      </w:r>
      <w:proofErr w:type="spellEnd"/>
      <w:r>
        <w:t xml:space="preserve"> (Case 3a), the LMF can </w:t>
      </w:r>
      <w:proofErr w:type="gramStart"/>
      <w:r>
        <w:t>provide assistance</w:t>
      </w:r>
      <w:proofErr w:type="gramEnd"/>
      <w:r>
        <w:t xml:space="preserve"> information to support the calculation of model monitoring metrics.</w:t>
      </w:r>
      <w:r w:rsidR="00D41CC5">
        <w:t xml:space="preserve"> </w:t>
      </w:r>
      <w:r>
        <w:t>FFS: what assistance data may be provided.</w:t>
      </w:r>
      <w:bookmarkEnd w:id="2217"/>
    </w:p>
    <w:p w14:paraId="730D92C7" w14:textId="77777777" w:rsidR="006F064F" w:rsidRDefault="006F064F" w:rsidP="006F064F">
      <w:pPr>
        <w:pStyle w:val="Proposal"/>
        <w:numPr>
          <w:ilvl w:val="0"/>
          <w:numId w:val="0"/>
        </w:numPr>
        <w:ind w:left="1080"/>
      </w:pPr>
    </w:p>
    <w:p w14:paraId="6AC4CC75" w14:textId="77777777" w:rsidR="006F064F" w:rsidRDefault="006F064F" w:rsidP="006F064F">
      <w:pPr>
        <w:pStyle w:val="Heading2"/>
      </w:pPr>
      <w:bookmarkStart w:id="2218" w:name="_Toc189845043"/>
      <w:r>
        <w:rPr>
          <w:lang w:val="en-US"/>
        </w:rPr>
        <w:t>M</w:t>
      </w:r>
      <w:r w:rsidRPr="000F4A0B">
        <w:rPr>
          <w:lang w:val="en-US"/>
        </w:rPr>
        <w:t xml:space="preserve">odel performance monitoring metric calculation </w:t>
      </w:r>
      <w:r>
        <w:rPr>
          <w:lang w:val="en-US"/>
        </w:rPr>
        <w:t>for Case 1</w:t>
      </w:r>
      <w:bookmarkEnd w:id="2218"/>
    </w:p>
    <w:p w14:paraId="1AE4A190" w14:textId="77777777" w:rsidR="006F064F" w:rsidRDefault="006F064F" w:rsidP="006F064F">
      <w:r>
        <w:t xml:space="preserve">Several label-based options for case 1 were proposed for further study </w:t>
      </w:r>
      <w:r>
        <w:tab/>
      </w:r>
    </w:p>
    <w:tbl>
      <w:tblPr>
        <w:tblStyle w:val="TableGrid"/>
        <w:tblW w:w="0" w:type="auto"/>
        <w:tblLook w:val="04A0" w:firstRow="1" w:lastRow="0" w:firstColumn="1" w:lastColumn="0" w:noHBand="0" w:noVBand="1"/>
      </w:tblPr>
      <w:tblGrid>
        <w:gridCol w:w="9962"/>
      </w:tblGrid>
      <w:tr w:rsidR="006F064F" w:rsidRPr="00E215F0" w14:paraId="21E4A0C7" w14:textId="77777777">
        <w:tc>
          <w:tcPr>
            <w:tcW w:w="9962" w:type="dxa"/>
          </w:tcPr>
          <w:p w14:paraId="5016CAEF" w14:textId="77777777" w:rsidR="006F064F" w:rsidRPr="00225CB5" w:rsidRDefault="006F064F">
            <w:pPr>
              <w:spacing w:after="0"/>
              <w:rPr>
                <w:rFonts w:ascii="Times New Roman" w:eastAsia="DengXian" w:hAnsi="Times New Roman" w:cs="Times New Roman"/>
                <w:sz w:val="18"/>
                <w:szCs w:val="18"/>
              </w:rPr>
            </w:pPr>
            <w:r w:rsidRPr="00225CB5">
              <w:rPr>
                <w:rFonts w:ascii="Times New Roman" w:eastAsia="DengXian" w:hAnsi="Times New Roman" w:cs="Times New Roman"/>
                <w:sz w:val="18"/>
                <w:szCs w:val="18"/>
              </w:rPr>
              <w:t>RAN1 #116-bis</w:t>
            </w:r>
          </w:p>
          <w:p w14:paraId="15740074" w14:textId="77777777" w:rsidR="006F064F" w:rsidRPr="00225CB5" w:rsidRDefault="006F064F">
            <w:pPr>
              <w:spacing w:after="0"/>
              <w:rPr>
                <w:rFonts w:ascii="Times New Roman" w:eastAsia="DengXian" w:hAnsi="Times New Roman" w:cs="Times New Roman"/>
                <w:b/>
                <w:sz w:val="18"/>
                <w:szCs w:val="18"/>
                <w:highlight w:val="green"/>
              </w:rPr>
            </w:pPr>
            <w:r w:rsidRPr="00225CB5">
              <w:rPr>
                <w:rFonts w:ascii="Times New Roman" w:eastAsia="DengXian" w:hAnsi="Times New Roman" w:cs="Times New Roman" w:hint="eastAsia"/>
                <w:b/>
                <w:sz w:val="18"/>
                <w:szCs w:val="18"/>
                <w:highlight w:val="green"/>
              </w:rPr>
              <w:t>Agreement</w:t>
            </w:r>
          </w:p>
          <w:p w14:paraId="1E421C83" w14:textId="77777777" w:rsidR="006F064F" w:rsidRPr="00225CB5" w:rsidRDefault="006F064F">
            <w:pPr>
              <w:spacing w:after="0"/>
              <w:rPr>
                <w:rFonts w:ascii="Times New Roman" w:hAnsi="Times New Roman" w:cs="Times New Roman"/>
                <w:strike/>
                <w:sz w:val="18"/>
                <w:szCs w:val="18"/>
              </w:rPr>
            </w:pPr>
            <w:r w:rsidRPr="00225CB5">
              <w:rPr>
                <w:rFonts w:ascii="Times New Roman" w:hAnsi="Times New Roman" w:cs="Times New Roman"/>
                <w:sz w:val="18"/>
                <w:szCs w:val="18"/>
              </w:rPr>
              <w:t xml:space="preserve">For model performance monitoring of AI/ML positioning Case 1, for model performance monitoring metric calculation in label-based model monitoring, study the feasibility, benefits, and </w:t>
            </w:r>
            <w:r w:rsidRPr="00225CB5">
              <w:rPr>
                <w:rFonts w:ascii="Times New Roman" w:eastAsia="DengXian" w:hAnsi="Times New Roman" w:cs="Times New Roman"/>
                <w:sz w:val="18"/>
                <w:szCs w:val="18"/>
              </w:rPr>
              <w:t>potential</w:t>
            </w:r>
            <w:r w:rsidRPr="00225CB5">
              <w:rPr>
                <w:rFonts w:ascii="Times New Roman" w:eastAsia="DengXian" w:hAnsi="Times New Roman" w:cs="Times New Roman" w:hint="eastAsia"/>
                <w:sz w:val="18"/>
                <w:szCs w:val="18"/>
              </w:rPr>
              <w:t xml:space="preserve"> </w:t>
            </w:r>
            <w:r w:rsidRPr="00225CB5">
              <w:rPr>
                <w:rFonts w:ascii="Times New Roman" w:hAnsi="Times New Roman" w:cs="Times New Roman"/>
                <w:sz w:val="18"/>
                <w:szCs w:val="18"/>
              </w:rPr>
              <w:t xml:space="preserve">specification impact of the following options </w:t>
            </w:r>
            <w:proofErr w:type="gramStart"/>
            <w:r w:rsidRPr="00225CB5">
              <w:rPr>
                <w:rFonts w:ascii="Times New Roman" w:hAnsi="Times New Roman" w:cs="Times New Roman"/>
                <w:sz w:val="18"/>
                <w:szCs w:val="18"/>
              </w:rPr>
              <w:t>with regard to</w:t>
            </w:r>
            <w:proofErr w:type="gramEnd"/>
            <w:r w:rsidRPr="00225CB5">
              <w:rPr>
                <w:rFonts w:ascii="Times New Roman" w:hAnsi="Times New Roman" w:cs="Times New Roman"/>
                <w:sz w:val="18"/>
                <w:szCs w:val="18"/>
              </w:rPr>
              <w:t xml:space="preserve"> how to generate information on ground truth label: </w:t>
            </w:r>
          </w:p>
          <w:p w14:paraId="694C942C" w14:textId="77777777" w:rsidR="006F064F" w:rsidRPr="00225CB5" w:rsidRDefault="006F064F">
            <w:pPr>
              <w:widowControl w:val="0"/>
              <w:numPr>
                <w:ilvl w:val="0"/>
                <w:numId w:val="56"/>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 xml:space="preserve">Option A. The target UE side performs monitoring metric calculation. </w:t>
            </w:r>
          </w:p>
          <w:p w14:paraId="39DD39DF"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 xml:space="preserve">Option A-1. At least information on ground truth label of the target UE is generated by LMF and provided to the target UE. </w:t>
            </w:r>
          </w:p>
          <w:p w14:paraId="7701EA56" w14:textId="77777777" w:rsidR="006F064F" w:rsidRPr="00225CB5" w:rsidRDefault="006F064F">
            <w:pPr>
              <w:widowControl w:val="0"/>
              <w:numPr>
                <w:ilvl w:val="2"/>
                <w:numId w:val="42"/>
              </w:numPr>
              <w:spacing w:after="0"/>
              <w:ind w:left="2360" w:hanging="56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 xml:space="preserve">In one example, target UE and/or </w:t>
            </w:r>
            <w:proofErr w:type="spellStart"/>
            <w:r w:rsidRPr="00225CB5">
              <w:rPr>
                <w:rFonts w:ascii="Times New Roman" w:hAnsi="Times New Roman" w:cs="Times New Roman"/>
                <w:sz w:val="18"/>
                <w:szCs w:val="18"/>
                <w:lang w:eastAsia="x-none"/>
              </w:rPr>
              <w:t>gNB</w:t>
            </w:r>
            <w:proofErr w:type="spellEnd"/>
            <w:r w:rsidRPr="00225CB5">
              <w:rPr>
                <w:rFonts w:ascii="Times New Roman" w:hAnsi="Times New Roman" w:cs="Times New Roman"/>
                <w:sz w:val="18"/>
                <w:szCs w:val="18"/>
                <w:lang w:eastAsia="x-none"/>
              </w:rPr>
              <w:t xml:space="preserve"> sends measurement (e.g., legacy measurement) to LMF so that LMF can derive the information on ground truth label.</w:t>
            </w:r>
          </w:p>
          <w:p w14:paraId="1F87ECA4"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Option A-2. At least position calculation assistance data (e.g., existing information for UE-based positioning method) is provided from LMF to the target UE.</w:t>
            </w:r>
          </w:p>
          <w:p w14:paraId="3C8E0BBF"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 xml:space="preserve">Option A-3. Reuse Rel-18 assistance data transfer framework from LMF to the target UE, where the PRU measurement (e.g., legacy measurement) and the corresponding PRU location are sent via LMF to the target UE. </w:t>
            </w:r>
          </w:p>
          <w:p w14:paraId="306572C2"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 xml:space="preserve">Option A-4. PRU measurement (and the corresponding PRU location if not already known at the UE-side) are sent from PRU to the target UE side. </w:t>
            </w:r>
          </w:p>
          <w:p w14:paraId="3EF0442F" w14:textId="77777777" w:rsidR="006F064F" w:rsidRPr="00225CB5" w:rsidRDefault="006F064F">
            <w:pPr>
              <w:widowControl w:val="0"/>
              <w:numPr>
                <w:ilvl w:val="2"/>
                <w:numId w:val="42"/>
              </w:numPr>
              <w:spacing w:after="0"/>
              <w:ind w:left="2360" w:hanging="56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Note: Option A-4 can be realized by implementation in a manner transparent to specification if the PRU sends information to the target UE side in a proprietary method.</w:t>
            </w:r>
          </w:p>
          <w:p w14:paraId="22749266" w14:textId="77777777" w:rsidR="006F064F" w:rsidRPr="00225CB5" w:rsidRDefault="006F064F">
            <w:pPr>
              <w:widowControl w:val="0"/>
              <w:numPr>
                <w:ilvl w:val="0"/>
                <w:numId w:val="42"/>
              </w:numPr>
              <w:spacing w:after="0"/>
              <w:rPr>
                <w:rFonts w:ascii="Times New Roman" w:hAnsi="Times New Roman" w:cs="Times New Roman"/>
                <w:sz w:val="18"/>
                <w:szCs w:val="18"/>
                <w:lang w:eastAsia="x-none"/>
              </w:rPr>
            </w:pPr>
            <w:r w:rsidRPr="00225CB5">
              <w:rPr>
                <w:rFonts w:ascii="Times New Roman" w:hAnsi="Times New Roman" w:cs="Times New Roman"/>
                <w:sz w:val="18"/>
                <w:szCs w:val="18"/>
                <w:lang w:eastAsia="x-none"/>
              </w:rPr>
              <w:t>Option B. The LMF performs monitoring metric calculation.</w:t>
            </w:r>
          </w:p>
          <w:p w14:paraId="6D2105EE"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eastAsia="DengXian" w:hAnsi="Times New Roman" w:cs="Times New Roman"/>
                <w:sz w:val="18"/>
                <w:szCs w:val="18"/>
              </w:rPr>
              <w:t xml:space="preserve">Option B-1. </w:t>
            </w:r>
            <w:r w:rsidRPr="00225CB5">
              <w:rPr>
                <w:rFonts w:ascii="Times New Roman" w:hAnsi="Times New Roman" w:cs="Times New Roman"/>
                <w:sz w:val="18"/>
                <w:szCs w:val="18"/>
                <w:lang w:eastAsia="x-none"/>
              </w:rPr>
              <w:t xml:space="preserve">at least </w:t>
            </w:r>
            <w:r w:rsidRPr="00225CB5">
              <w:rPr>
                <w:rFonts w:ascii="Times New Roman" w:eastAsia="SimSun" w:hAnsi="Times New Roman" w:cs="Times New Roman"/>
                <w:sz w:val="18"/>
                <w:szCs w:val="18"/>
              </w:rPr>
              <w:t>inference result</w:t>
            </w:r>
            <w:r w:rsidRPr="00225CB5">
              <w:rPr>
                <w:rFonts w:ascii="Times New Roman" w:hAnsi="Times New Roman" w:cs="Times New Roman"/>
                <w:sz w:val="18"/>
                <w:szCs w:val="18"/>
                <w:lang w:eastAsia="x-none"/>
              </w:rPr>
              <w:t xml:space="preserve"> </w:t>
            </w:r>
            <w:r w:rsidRPr="00225CB5">
              <w:rPr>
                <w:rFonts w:ascii="Times New Roman" w:eastAsia="SimSun" w:hAnsi="Times New Roman" w:cs="Times New Roman"/>
                <w:sz w:val="18"/>
                <w:szCs w:val="18"/>
              </w:rPr>
              <w:t xml:space="preserve">(i.e., the model output corresponding to target UE’s channel measurement) </w:t>
            </w:r>
            <w:r w:rsidRPr="00225CB5">
              <w:rPr>
                <w:rFonts w:ascii="Times New Roman" w:hAnsi="Times New Roman" w:cs="Times New Roman"/>
                <w:sz w:val="18"/>
                <w:szCs w:val="18"/>
                <w:lang w:eastAsia="x-none"/>
              </w:rPr>
              <w:t>of the target UE</w:t>
            </w:r>
            <w:r w:rsidRPr="00225CB5">
              <w:rPr>
                <w:rFonts w:ascii="Times New Roman" w:eastAsia="SimSun" w:hAnsi="Times New Roman" w:cs="Times New Roman"/>
                <w:sz w:val="18"/>
                <w:szCs w:val="18"/>
              </w:rPr>
              <w:t xml:space="preserve"> is sent by the target UE to </w:t>
            </w:r>
            <w:r w:rsidRPr="00225CB5">
              <w:rPr>
                <w:rFonts w:ascii="Times New Roman" w:hAnsi="Times New Roman" w:cs="Times New Roman"/>
                <w:sz w:val="18"/>
                <w:szCs w:val="18"/>
                <w:lang w:eastAsia="x-none"/>
              </w:rPr>
              <w:t xml:space="preserve">LMF. </w:t>
            </w:r>
          </w:p>
          <w:p w14:paraId="26ED621D" w14:textId="77777777" w:rsidR="006F064F" w:rsidRPr="00225CB5" w:rsidRDefault="006F064F">
            <w:pPr>
              <w:widowControl w:val="0"/>
              <w:numPr>
                <w:ilvl w:val="1"/>
                <w:numId w:val="42"/>
              </w:numPr>
              <w:spacing w:after="0"/>
              <w:rPr>
                <w:rFonts w:ascii="Times New Roman" w:hAnsi="Times New Roman" w:cs="Times New Roman"/>
                <w:sz w:val="18"/>
                <w:szCs w:val="18"/>
                <w:lang w:eastAsia="x-none"/>
              </w:rPr>
            </w:pPr>
            <w:r w:rsidRPr="00225CB5">
              <w:rPr>
                <w:rFonts w:ascii="Times New Roman" w:eastAsia="SimSun" w:hAnsi="Times New Roman" w:cs="Times New Roman"/>
                <w:sz w:val="18"/>
                <w:szCs w:val="18"/>
              </w:rPr>
              <w:t xml:space="preserve">Option B-2. </w:t>
            </w:r>
            <w:r w:rsidRPr="00225CB5">
              <w:rPr>
                <w:rFonts w:ascii="Times New Roman" w:hAnsi="Times New Roman" w:cs="Times New Roman"/>
                <w:sz w:val="18"/>
                <w:szCs w:val="18"/>
                <w:lang w:eastAsia="x-none"/>
              </w:rPr>
              <w:t>PRU</w:t>
            </w:r>
            <w:r w:rsidRPr="00225CB5">
              <w:rPr>
                <w:rFonts w:ascii="Times New Roman" w:eastAsia="SimSun" w:hAnsi="Times New Roman" w:cs="Times New Roman"/>
                <w:sz w:val="18"/>
                <w:szCs w:val="18"/>
              </w:rPr>
              <w:t>’s</w:t>
            </w:r>
            <w:r w:rsidRPr="00225CB5">
              <w:rPr>
                <w:rFonts w:ascii="Times New Roman" w:hAnsi="Times New Roman" w:cs="Times New Roman"/>
                <w:sz w:val="18"/>
                <w:szCs w:val="18"/>
                <w:lang w:eastAsia="x-none"/>
              </w:rPr>
              <w:t xml:space="preserve"> </w:t>
            </w:r>
            <w:r w:rsidRPr="00225CB5">
              <w:rPr>
                <w:rFonts w:ascii="Times New Roman" w:eastAsia="SimSun" w:hAnsi="Times New Roman" w:cs="Times New Roman"/>
                <w:sz w:val="18"/>
                <w:szCs w:val="18"/>
              </w:rPr>
              <w:t xml:space="preserve">channel </w:t>
            </w:r>
            <w:r w:rsidRPr="00225CB5">
              <w:rPr>
                <w:rFonts w:ascii="Times New Roman" w:hAnsi="Times New Roman" w:cs="Times New Roman"/>
                <w:sz w:val="18"/>
                <w:szCs w:val="18"/>
                <w:lang w:eastAsia="x-none"/>
              </w:rPr>
              <w:t>measurement is sent via LMF to the target UE</w:t>
            </w:r>
            <w:r w:rsidRPr="00225CB5">
              <w:rPr>
                <w:rFonts w:ascii="Times New Roman" w:eastAsia="SimSun" w:hAnsi="Times New Roman" w:cs="Times New Roman"/>
                <w:sz w:val="18"/>
                <w:szCs w:val="18"/>
              </w:rPr>
              <w:t xml:space="preserve">, and the inference result (i.e., the model output corresponding to PRU’s channel measurement) is sent by the target UE to </w:t>
            </w:r>
            <w:r w:rsidRPr="00225CB5">
              <w:rPr>
                <w:rFonts w:ascii="Times New Roman" w:hAnsi="Times New Roman" w:cs="Times New Roman"/>
                <w:sz w:val="18"/>
                <w:szCs w:val="18"/>
                <w:lang w:eastAsia="x-none"/>
              </w:rPr>
              <w:t>LMF.</w:t>
            </w:r>
          </w:p>
          <w:p w14:paraId="7BD9C687" w14:textId="77777777" w:rsidR="006F064F" w:rsidRPr="00225CB5" w:rsidRDefault="006F064F">
            <w:pPr>
              <w:spacing w:after="0"/>
              <w:rPr>
                <w:rFonts w:ascii="Times New Roman" w:eastAsia="DengXian" w:hAnsi="Times New Roman" w:cs="Times New Roman"/>
                <w:sz w:val="18"/>
                <w:szCs w:val="18"/>
              </w:rPr>
            </w:pPr>
            <w:r w:rsidRPr="00225CB5">
              <w:rPr>
                <w:rFonts w:ascii="Times New Roman" w:hAnsi="Times New Roman" w:cs="Times New Roman"/>
                <w:sz w:val="18"/>
                <w:szCs w:val="18"/>
              </w:rPr>
              <w:t xml:space="preserve">Note: exact method to perform the monitoring metric calculation is up to implementation. </w:t>
            </w:r>
          </w:p>
          <w:p w14:paraId="6CA21AA2" w14:textId="77777777" w:rsidR="006F064F" w:rsidRPr="00225CB5" w:rsidRDefault="006F064F">
            <w:pPr>
              <w:spacing w:after="0"/>
              <w:rPr>
                <w:rFonts w:ascii="Times New Roman" w:eastAsia="Batang" w:hAnsi="Times New Roman" w:cs="Times New Roman"/>
                <w:sz w:val="18"/>
                <w:szCs w:val="18"/>
                <w:lang w:eastAsia="x-none"/>
              </w:rPr>
            </w:pPr>
            <w:r w:rsidRPr="00225CB5">
              <w:rPr>
                <w:rFonts w:ascii="Times New Roman" w:eastAsia="DengXian" w:hAnsi="Times New Roman" w:cs="Times New Roman" w:hint="eastAsia"/>
                <w:sz w:val="18"/>
                <w:szCs w:val="18"/>
              </w:rPr>
              <w:t>Note: Other options are not precluded.</w:t>
            </w:r>
          </w:p>
        </w:tc>
      </w:tr>
    </w:tbl>
    <w:p w14:paraId="5AF8C9BC" w14:textId="77777777" w:rsidR="006F064F" w:rsidRDefault="006F064F" w:rsidP="006F064F">
      <w:pPr>
        <w:tabs>
          <w:tab w:val="left" w:pos="3531"/>
        </w:tabs>
      </w:pPr>
    </w:p>
    <w:p w14:paraId="2072B112" w14:textId="3577E23E" w:rsidR="006F064F" w:rsidRDefault="006F064F" w:rsidP="006F064F">
      <w:pPr>
        <w:tabs>
          <w:tab w:val="left" w:pos="3531"/>
        </w:tabs>
      </w:pPr>
      <w:r>
        <w:t>In RAN1#11</w:t>
      </w:r>
      <w:r w:rsidR="00882A88">
        <w:t>8</w:t>
      </w:r>
      <w:r>
        <w:t>, it was concluded that Option A-4 does not need to be further discussed. RAN1#119 discussed further without agreements, but the following was captured as proposals in the FL summary:</w:t>
      </w:r>
    </w:p>
    <w:tbl>
      <w:tblPr>
        <w:tblStyle w:val="TableGrid"/>
        <w:tblW w:w="0" w:type="auto"/>
        <w:tblLook w:val="04A0" w:firstRow="1" w:lastRow="0" w:firstColumn="1" w:lastColumn="0" w:noHBand="0" w:noVBand="1"/>
      </w:tblPr>
      <w:tblGrid>
        <w:gridCol w:w="9962"/>
      </w:tblGrid>
      <w:tr w:rsidR="006F064F" w:rsidRPr="00C45829" w14:paraId="0C87D660" w14:textId="77777777">
        <w:tc>
          <w:tcPr>
            <w:tcW w:w="9962" w:type="dxa"/>
          </w:tcPr>
          <w:p w14:paraId="6AFFC1C6" w14:textId="77777777" w:rsidR="006F064F" w:rsidRPr="00004346" w:rsidRDefault="006F064F">
            <w:pPr>
              <w:rPr>
                <w:b/>
                <w:bCs/>
                <w:sz w:val="20"/>
                <w:szCs w:val="20"/>
                <w:u w:val="single"/>
              </w:rPr>
            </w:pPr>
            <w:r w:rsidRPr="00004346">
              <w:rPr>
                <w:b/>
                <w:bCs/>
                <w:color w:val="FF0000"/>
                <w:szCs w:val="20"/>
                <w:u w:val="single"/>
              </w:rPr>
              <w:t xml:space="preserve">Modified </w:t>
            </w:r>
            <w:r w:rsidRPr="00004346">
              <w:rPr>
                <w:b/>
                <w:bCs/>
                <w:szCs w:val="20"/>
                <w:u w:val="single"/>
              </w:rPr>
              <w:t>Proposal 6.2.5-3</w:t>
            </w:r>
          </w:p>
          <w:p w14:paraId="70B9B8A5" w14:textId="77777777" w:rsidR="006F064F" w:rsidRPr="00004346" w:rsidRDefault="006F064F">
            <w:pPr>
              <w:spacing w:after="0"/>
              <w:rPr>
                <w:rFonts w:cs="DengXian"/>
                <w:strike/>
                <w:sz w:val="20"/>
                <w:szCs w:val="20"/>
              </w:rPr>
            </w:pPr>
            <w:r w:rsidRPr="00B53CFF">
              <w:rPr>
                <w:rFonts w:cs="DengXian"/>
                <w:szCs w:val="20"/>
              </w:rPr>
              <w:t xml:space="preserve">For model performance monitoring of AI/ML positioning Case 1, for model performance monitoring metric calculation in label-based model monitoring, </w:t>
            </w:r>
            <w:r w:rsidRPr="00B53CFF">
              <w:rPr>
                <w:rFonts w:cs="DengXian"/>
                <w:strike/>
                <w:color w:val="FF0000"/>
                <w:szCs w:val="20"/>
              </w:rPr>
              <w:t xml:space="preserve">at least </w:t>
            </w:r>
            <w:r w:rsidRPr="00B53CFF">
              <w:rPr>
                <w:rFonts w:cs="DengXian"/>
                <w:szCs w:val="20"/>
              </w:rPr>
              <w:t>Option A-1, A-2,</w:t>
            </w:r>
            <w:r w:rsidRPr="00B53CFF">
              <w:rPr>
                <w:color w:val="FF0000"/>
                <w:szCs w:val="20"/>
              </w:rPr>
              <w:t xml:space="preserve"> A-3</w:t>
            </w:r>
            <w:r w:rsidRPr="00B53CFF">
              <w:rPr>
                <w:rFonts w:cs="DengXian"/>
                <w:szCs w:val="20"/>
              </w:rPr>
              <w:t xml:space="preserve"> are supported in Rel-19.  </w:t>
            </w:r>
          </w:p>
          <w:p w14:paraId="1FED8B8D" w14:textId="77777777" w:rsidR="006F064F" w:rsidRPr="00004346" w:rsidRDefault="006F064F">
            <w:pPr>
              <w:pStyle w:val="ListParagraph"/>
              <w:widowControl w:val="0"/>
              <w:numPr>
                <w:ilvl w:val="0"/>
                <w:numId w:val="97"/>
              </w:numPr>
              <w:tabs>
                <w:tab w:val="left" w:pos="720"/>
              </w:tabs>
              <w:spacing w:line="276" w:lineRule="auto"/>
              <w:rPr>
                <w:sz w:val="20"/>
              </w:rPr>
            </w:pPr>
            <w:r w:rsidRPr="00C45829">
              <w:t xml:space="preserve">From RAN1 perspective, legacy framework, </w:t>
            </w:r>
            <w:r w:rsidRPr="00C45829">
              <w:rPr>
                <w:color w:val="0070C0"/>
              </w:rPr>
              <w:t>measurements</w:t>
            </w:r>
            <w:r w:rsidRPr="00C45829">
              <w:t xml:space="preserve"> and signaling can be reused for Option A-1, A-</w:t>
            </w:r>
            <w:proofErr w:type="gramStart"/>
            <w:r w:rsidRPr="00C45829">
              <w:t>2,</w:t>
            </w:r>
            <w:r w:rsidRPr="00C45829">
              <w:rPr>
                <w:color w:val="FF0000"/>
              </w:rPr>
              <w:t>A</w:t>
            </w:r>
            <w:proofErr w:type="gramEnd"/>
            <w:r w:rsidRPr="00C45829">
              <w:rPr>
                <w:color w:val="FF0000"/>
              </w:rPr>
              <w:t>-3</w:t>
            </w:r>
            <w:r w:rsidRPr="00C45829">
              <w:t xml:space="preserve">. </w:t>
            </w:r>
          </w:p>
          <w:p w14:paraId="770F7291" w14:textId="77777777" w:rsidR="006F064F" w:rsidRPr="00004346" w:rsidRDefault="006F064F">
            <w:pPr>
              <w:pStyle w:val="ListParagraph"/>
              <w:widowControl w:val="0"/>
              <w:numPr>
                <w:ilvl w:val="0"/>
                <w:numId w:val="97"/>
              </w:numPr>
              <w:tabs>
                <w:tab w:val="left" w:pos="720"/>
              </w:tabs>
              <w:spacing w:line="276" w:lineRule="auto"/>
              <w:rPr>
                <w:sz w:val="20"/>
              </w:rPr>
            </w:pPr>
            <w:r w:rsidRPr="00C45829">
              <w:t>Note: The definition of the monitoring metric is up to UE implementation.</w:t>
            </w:r>
          </w:p>
          <w:p w14:paraId="26AB166B" w14:textId="77777777" w:rsidR="006F064F" w:rsidRPr="00004346" w:rsidRDefault="006F064F">
            <w:pPr>
              <w:rPr>
                <w:color w:val="FF0000"/>
                <w:sz w:val="20"/>
                <w:szCs w:val="20"/>
              </w:rPr>
            </w:pPr>
            <w:r w:rsidRPr="00B53CFF">
              <w:rPr>
                <w:szCs w:val="20"/>
              </w:rPr>
              <w:t>Note: No UE capability discussion about supporting A-1, A-2,</w:t>
            </w:r>
            <w:r w:rsidRPr="00B53CFF">
              <w:rPr>
                <w:color w:val="FF0000"/>
                <w:szCs w:val="20"/>
              </w:rPr>
              <w:t xml:space="preserve"> A-3</w:t>
            </w:r>
            <w:r w:rsidRPr="00B53CFF">
              <w:rPr>
                <w:szCs w:val="20"/>
              </w:rPr>
              <w:t>.</w:t>
            </w:r>
          </w:p>
        </w:tc>
      </w:tr>
    </w:tbl>
    <w:p w14:paraId="413F44DC" w14:textId="77777777" w:rsidR="006F064F" w:rsidRDefault="006F064F" w:rsidP="006F064F">
      <w:pPr>
        <w:tabs>
          <w:tab w:val="left" w:pos="3531"/>
        </w:tabs>
      </w:pPr>
    </w:p>
    <w:p w14:paraId="3341932D" w14:textId="77777777" w:rsidR="006F064F" w:rsidRDefault="006F064F" w:rsidP="006F064F">
      <w:pPr>
        <w:tabs>
          <w:tab w:val="left" w:pos="3531"/>
        </w:tabs>
      </w:pPr>
      <w:r>
        <w:t xml:space="preserve">In our view these label-based performance monitoring proposals add complexity to the NR specifications and increase the implementation costs. Some of these proposals even elevates the costs of operating the positioning systems. These label-based monitoring proposals should be compared to label-free monitoring approaches in terms of complexity as well as effectiveness. That is, quantitative evaluation results should be provided for these label-based monitoring proposals, which can be compared to those using label-free monitoring. </w:t>
      </w:r>
    </w:p>
    <w:p w14:paraId="75B7E45C" w14:textId="532CA7BA" w:rsidR="006F064F" w:rsidRDefault="006F064F" w:rsidP="006F064F">
      <w:pPr>
        <w:tabs>
          <w:tab w:val="left" w:pos="3531"/>
        </w:tabs>
      </w:pPr>
      <w:r>
        <w:t xml:space="preserve">Moreover, it is possible to perform label-based monitoring where certain information on the ground truth label can be obtained by the target UE itself. For example, as a variant of monitoring approach 1 of section </w:t>
      </w:r>
      <w:r>
        <w:fldChar w:fldCharType="begin"/>
      </w:r>
      <w:r>
        <w:instrText xml:space="preserve"> REF _Ref166232055 \r </w:instrText>
      </w:r>
      <w:r>
        <w:fldChar w:fldCharType="separate"/>
      </w:r>
      <w:r w:rsidR="00C713E4">
        <w:t>11.1.1</w:t>
      </w:r>
      <w:r>
        <w:fldChar w:fldCharType="end"/>
      </w:r>
      <w:r>
        <w:t xml:space="preserve">, the target UE can use a mechanism outside of the Case 1 model to detect opportunistic </w:t>
      </w:r>
      <w:proofErr w:type="spellStart"/>
      <w:r>
        <w:t>LoS</w:t>
      </w:r>
      <w:proofErr w:type="spellEnd"/>
      <w:r>
        <w:t xml:space="preserve"> link(s) and estimate the corresponding distance between the target UE and the TRP, which can then be used as a ground truth label approximation/substitution to monitor Case 1 model.</w:t>
      </w:r>
    </w:p>
    <w:p w14:paraId="390A44B4" w14:textId="06C76149" w:rsidR="006F064F" w:rsidRDefault="006F064F" w:rsidP="006F064F">
      <w:pPr>
        <w:tabs>
          <w:tab w:val="left" w:pos="3531"/>
        </w:tabs>
      </w:pPr>
      <w:r>
        <w:t>The more complicated label-based monitoring solutions should be introduced to NR only if the solutions provide added values over those achievable with label-free monitoring solutions.</w:t>
      </w:r>
    </w:p>
    <w:p w14:paraId="59FA8EF2" w14:textId="77777777" w:rsidR="006F064F" w:rsidRDefault="006F064F" w:rsidP="006F064F">
      <w:pPr>
        <w:tabs>
          <w:tab w:val="left" w:pos="3531"/>
        </w:tabs>
      </w:pPr>
      <w:r>
        <w:t>If the more complicated label-based monitoring is to be supported, then Option A-1 and/or A-2 is sufficient.</w:t>
      </w:r>
    </w:p>
    <w:p w14:paraId="7C4AC6C8" w14:textId="29EBED36" w:rsidR="006F064F" w:rsidRPr="00397642" w:rsidRDefault="006F064F" w:rsidP="006F064F">
      <w:pPr>
        <w:pStyle w:val="ListParagraph"/>
        <w:widowControl w:val="0"/>
        <w:numPr>
          <w:ilvl w:val="0"/>
          <w:numId w:val="14"/>
        </w:numPr>
        <w:rPr>
          <w:rFonts w:eastAsia="MS Mincho"/>
        </w:rPr>
      </w:pPr>
      <w:r w:rsidRPr="35DAF9E0">
        <w:t xml:space="preserve">In </w:t>
      </w:r>
      <w:r w:rsidR="000F1F8D">
        <w:t>O</w:t>
      </w:r>
      <w:r w:rsidRPr="35DAF9E0">
        <w:t>ption A</w:t>
      </w:r>
      <w:r w:rsidR="000F1F8D">
        <w:t>-</w:t>
      </w:r>
      <w:r w:rsidRPr="35DAF9E0">
        <w:t>1, the LMF derives the grou</w:t>
      </w:r>
      <w:r>
        <w:t>nd</w:t>
      </w:r>
      <w:r w:rsidRPr="35DAF9E0">
        <w:t xml:space="preserve"> truth label. Without knowing the UE model implementation, the only ground truth </w:t>
      </w:r>
      <w:proofErr w:type="gramStart"/>
      <w:r w:rsidRPr="35DAF9E0">
        <w:t>label</w:t>
      </w:r>
      <w:proofErr w:type="gramEnd"/>
      <w:r w:rsidRPr="35DAF9E0">
        <w:t xml:space="preserve"> the LMF can generate is a</w:t>
      </w:r>
      <w:r>
        <w:t>n</w:t>
      </w:r>
      <w:r w:rsidRPr="35DAF9E0">
        <w:t xml:space="preserve"> estimated </w:t>
      </w:r>
      <w:r>
        <w:t xml:space="preserve">UE </w:t>
      </w:r>
      <w:r w:rsidRPr="35DAF9E0">
        <w:t>location label. This can be already done using the existing specification, by setting up legacy positioning procedure in parallel to the ML positioning procedure</w:t>
      </w:r>
      <w:r>
        <w:t xml:space="preserve"> where the UE request the LMF for its location</w:t>
      </w:r>
      <w:r w:rsidRPr="35DAF9E0">
        <w:t xml:space="preserve">.  </w:t>
      </w:r>
    </w:p>
    <w:p w14:paraId="5BB8E3EF" w14:textId="5AF7F33A" w:rsidR="006F064F" w:rsidRDefault="006F064F" w:rsidP="006F064F">
      <w:pPr>
        <w:pStyle w:val="ListParagraph"/>
        <w:widowControl w:val="0"/>
        <w:numPr>
          <w:ilvl w:val="0"/>
          <w:numId w:val="14"/>
        </w:numPr>
        <w:rPr>
          <w:rFonts w:eastAsia="MS Mincho"/>
        </w:rPr>
      </w:pPr>
      <w:r w:rsidRPr="35DAF9E0">
        <w:t xml:space="preserve">Similarly, </w:t>
      </w:r>
      <w:r w:rsidR="000F1F8D">
        <w:t>O</w:t>
      </w:r>
      <w:r w:rsidRPr="35DAF9E0">
        <w:t>ption A</w:t>
      </w:r>
      <w:r w:rsidR="000F1F8D">
        <w:t>-</w:t>
      </w:r>
      <w:r w:rsidRPr="35DAF9E0">
        <w:t>2 can be achieved by setting up legacy UE based positioning in parallel to AI</w:t>
      </w:r>
      <w:r w:rsidR="000F1F8D">
        <w:t>/</w:t>
      </w:r>
      <w:r w:rsidRPr="35DAF9E0">
        <w:t xml:space="preserve">ML positioning procedure.  </w:t>
      </w:r>
    </w:p>
    <w:p w14:paraId="5F0D3CA3" w14:textId="77777777" w:rsidR="006F064F" w:rsidRDefault="006F064F" w:rsidP="006F064F">
      <w:pPr>
        <w:widowControl w:val="0"/>
        <w:rPr>
          <w:lang w:eastAsia="x-none"/>
        </w:rPr>
      </w:pPr>
    </w:p>
    <w:p w14:paraId="19DC19E0" w14:textId="77777777" w:rsidR="006F064F" w:rsidRDefault="006F064F" w:rsidP="006F064F">
      <w:pPr>
        <w:widowControl w:val="0"/>
        <w:rPr>
          <w:lang w:eastAsia="x-none"/>
        </w:rPr>
      </w:pPr>
      <w:r>
        <w:rPr>
          <w:lang w:eastAsia="x-none"/>
        </w:rPr>
        <w:t>Option A-3, B-1, B-2 should not be supported.</w:t>
      </w:r>
    </w:p>
    <w:p w14:paraId="2BD965FE" w14:textId="77777777" w:rsidR="006F064F" w:rsidRDefault="006F064F" w:rsidP="006F064F">
      <w:pPr>
        <w:pStyle w:val="ListParagraph"/>
        <w:widowControl w:val="0"/>
        <w:numPr>
          <w:ilvl w:val="0"/>
          <w:numId w:val="14"/>
        </w:numPr>
      </w:pPr>
      <w:r w:rsidRPr="35DAF9E0">
        <w:t>Option A</w:t>
      </w:r>
      <w:r>
        <w:t>-</w:t>
      </w:r>
      <w:r w:rsidRPr="35DAF9E0">
        <w:t xml:space="preserve">3 </w:t>
      </w:r>
      <w:r>
        <w:t>requires the presence of PRU to support model monitoring. This incurs high deployment cost and signaling overhead unnecessarily</w:t>
      </w:r>
      <w:r w:rsidRPr="35DAF9E0">
        <w:t xml:space="preserve">. </w:t>
      </w:r>
      <w:r>
        <w:t xml:space="preserve"> Additionally, periodic provision of PRU measurement as AD to UE based positioning is specified only for CPP in 38.305. </w:t>
      </w:r>
    </w:p>
    <w:p w14:paraId="4E2A7CEA" w14:textId="1C6C101B" w:rsidR="006F064F" w:rsidRPr="0082179A" w:rsidRDefault="006F064F" w:rsidP="006F064F">
      <w:pPr>
        <w:pStyle w:val="ListParagraph"/>
        <w:widowControl w:val="0"/>
        <w:numPr>
          <w:ilvl w:val="0"/>
          <w:numId w:val="14"/>
        </w:numPr>
      </w:pPr>
      <w:r>
        <w:t xml:space="preserve">Option B-1 and B-2 violate the principle of self-monitoring discussed in section </w:t>
      </w:r>
      <w:r w:rsidR="000B41BC">
        <w:fldChar w:fldCharType="begin"/>
      </w:r>
      <w:r w:rsidR="000B41BC">
        <w:instrText xml:space="preserve"> REF _Ref189836809 \r </w:instrText>
      </w:r>
      <w:r w:rsidR="000B41BC">
        <w:fldChar w:fldCharType="separate"/>
      </w:r>
      <w:r w:rsidR="00C713E4">
        <w:t>6.2</w:t>
      </w:r>
      <w:r w:rsidR="000B41BC">
        <w:fldChar w:fldCharType="end"/>
      </w:r>
      <w:r>
        <w:t>. As discussed</w:t>
      </w:r>
      <w:r w:rsidR="00FC4B9D">
        <w:t xml:space="preserve"> in section </w:t>
      </w:r>
      <w:r w:rsidR="00FC4B9D">
        <w:fldChar w:fldCharType="begin"/>
      </w:r>
      <w:r w:rsidR="00FC4B9D">
        <w:instrText xml:space="preserve"> REF _Ref189836870 \r </w:instrText>
      </w:r>
      <w:r w:rsidR="00FC4B9D">
        <w:fldChar w:fldCharType="separate"/>
      </w:r>
      <w:r w:rsidR="00C713E4">
        <w:t>6.1</w:t>
      </w:r>
      <w:r w:rsidR="00FC4B9D">
        <w:fldChar w:fldCharType="end"/>
      </w:r>
      <w:r>
        <w:t xml:space="preserve">, LMF is responsible for functionality-level performance monitoring and management, but it does not have the requisite information to perform model-level management including </w:t>
      </w:r>
      <w:r w:rsidRPr="0082179A">
        <w:rPr>
          <w:lang w:eastAsia="x-none"/>
        </w:rPr>
        <w:t>monitoring metric calculation</w:t>
      </w:r>
      <w:r>
        <w:rPr>
          <w:lang w:eastAsia="x-none"/>
        </w:rPr>
        <w:t>.</w:t>
      </w:r>
    </w:p>
    <w:p w14:paraId="4F070D53" w14:textId="77777777" w:rsidR="006F064F" w:rsidRDefault="006F064F" w:rsidP="006F064F">
      <w:pPr>
        <w:widowControl w:val="0"/>
        <w:rPr>
          <w:rFonts w:eastAsia="DengXian"/>
        </w:rPr>
      </w:pPr>
    </w:p>
    <w:p w14:paraId="5C970DB4" w14:textId="1BCDF5C5" w:rsidR="006F064F" w:rsidRDefault="006F064F" w:rsidP="006F064F">
      <w:pPr>
        <w:pStyle w:val="Proposal"/>
        <w:rPr>
          <w:szCs w:val="20"/>
        </w:rPr>
      </w:pPr>
      <w:bookmarkStart w:id="2219" w:name="_Toc189845168"/>
      <w:r w:rsidRPr="00B57031">
        <w:t xml:space="preserve">For model performance monitoring of AI/ML positioning Case 1, </w:t>
      </w:r>
      <w:r w:rsidRPr="00451289">
        <w:rPr>
          <w:szCs w:val="20"/>
        </w:rPr>
        <w:t>support Option A-1 and</w:t>
      </w:r>
      <w:r w:rsidR="00595B1C">
        <w:rPr>
          <w:szCs w:val="20"/>
        </w:rPr>
        <w:t>/or</w:t>
      </w:r>
      <w:r w:rsidRPr="00451289">
        <w:rPr>
          <w:szCs w:val="20"/>
        </w:rPr>
        <w:t xml:space="preserve"> A-2 </w:t>
      </w:r>
      <w:r w:rsidRPr="00B57031">
        <w:t>for model performance monitoring metric calculation</w:t>
      </w:r>
      <w:r w:rsidRPr="00451289">
        <w:rPr>
          <w:szCs w:val="20"/>
        </w:rPr>
        <w:t>, if estimated</w:t>
      </w:r>
      <w:r w:rsidRPr="00B57031">
        <w:t xml:space="preserve"> label</w:t>
      </w:r>
      <w:r w:rsidRPr="00451289">
        <w:rPr>
          <w:szCs w:val="20"/>
        </w:rPr>
        <w:t xml:space="preserve"> is considered necessary to be provided by an external entity (which is LMF for Case 1).</w:t>
      </w:r>
      <w:bookmarkEnd w:id="2219"/>
    </w:p>
    <w:p w14:paraId="174EA825" w14:textId="08067231" w:rsidR="008C7445" w:rsidRPr="0078718A" w:rsidRDefault="008C7445" w:rsidP="006F064F">
      <w:pPr>
        <w:pStyle w:val="Proposal"/>
        <w:rPr>
          <w:szCs w:val="20"/>
        </w:rPr>
      </w:pPr>
      <w:bookmarkStart w:id="2220" w:name="_Toc189845169"/>
      <w:r w:rsidRPr="00B57031">
        <w:t xml:space="preserve">For model performance monitoring of AI/ML positioning Case 1, </w:t>
      </w:r>
      <w:r>
        <w:t xml:space="preserve">do not </w:t>
      </w:r>
      <w:r w:rsidRPr="00451289">
        <w:rPr>
          <w:szCs w:val="20"/>
        </w:rPr>
        <w:t>support Option</w:t>
      </w:r>
      <w:r w:rsidR="00595B1C">
        <w:rPr>
          <w:szCs w:val="20"/>
        </w:rPr>
        <w:t xml:space="preserve"> A-3,</w:t>
      </w:r>
      <w:r w:rsidRPr="00451289">
        <w:rPr>
          <w:szCs w:val="20"/>
        </w:rPr>
        <w:t xml:space="preserve"> </w:t>
      </w:r>
      <w:r>
        <w:rPr>
          <w:szCs w:val="20"/>
        </w:rPr>
        <w:t>B-1 or B-2</w:t>
      </w:r>
      <w:r w:rsidR="00595B1C">
        <w:rPr>
          <w:szCs w:val="20"/>
        </w:rPr>
        <w:t>.</w:t>
      </w:r>
      <w:bookmarkEnd w:id="2220"/>
    </w:p>
    <w:p w14:paraId="61B76133" w14:textId="284BD31C" w:rsidR="00317DFA" w:rsidRDefault="00317DFA" w:rsidP="00317DFA">
      <w:pPr>
        <w:pStyle w:val="Proposal"/>
      </w:pPr>
      <w:bookmarkStart w:id="2221" w:name="_Toc189845170"/>
      <w:r>
        <w:t xml:space="preserve">For AI/ML positioning Cases, if </w:t>
      </w:r>
      <w:r w:rsidR="00C966AE">
        <w:t>label</w:t>
      </w:r>
      <w:r w:rsidR="00595B1C">
        <w:t>-</w:t>
      </w:r>
      <w:r w:rsidR="00C966AE">
        <w:t>based monitoring is supported:</w:t>
      </w:r>
      <w:bookmarkEnd w:id="2221"/>
    </w:p>
    <w:p w14:paraId="5318BE45" w14:textId="7C2E1335" w:rsidR="00317DFA" w:rsidRDefault="00595B1C" w:rsidP="00317DFA">
      <w:pPr>
        <w:pStyle w:val="Proposal"/>
        <w:numPr>
          <w:ilvl w:val="1"/>
          <w:numId w:val="2"/>
        </w:numPr>
      </w:pPr>
      <w:bookmarkStart w:id="2222" w:name="_Toc189845171"/>
      <w:r>
        <w:t>T</w:t>
      </w:r>
      <w:r w:rsidR="00317DFA">
        <w:t>he model inference entity performs self-monitoring</w:t>
      </w:r>
      <w:r>
        <w:t>.</w:t>
      </w:r>
      <w:bookmarkEnd w:id="2222"/>
      <w:r w:rsidR="00317DFA">
        <w:t xml:space="preserve"> </w:t>
      </w:r>
    </w:p>
    <w:p w14:paraId="774839D3" w14:textId="77223A9B" w:rsidR="00317DFA" w:rsidRDefault="00595B1C" w:rsidP="00317DFA">
      <w:pPr>
        <w:pStyle w:val="Proposal"/>
        <w:numPr>
          <w:ilvl w:val="1"/>
          <w:numId w:val="2"/>
        </w:numPr>
      </w:pPr>
      <w:bookmarkStart w:id="2223" w:name="_Toc189845172"/>
      <w:r>
        <w:t>T</w:t>
      </w:r>
      <w:r w:rsidR="00317DFA">
        <w:t xml:space="preserve">he LMF can request / configure the reporting of monitoring outcome by the </w:t>
      </w:r>
      <w:proofErr w:type="spellStart"/>
      <w:r w:rsidR="00317DFA">
        <w:t>gNB</w:t>
      </w:r>
      <w:proofErr w:type="spellEnd"/>
      <w:r w:rsidR="00317DFA">
        <w:t>/UE.</w:t>
      </w:r>
      <w:bookmarkEnd w:id="2223"/>
      <w:r w:rsidR="00317DFA">
        <w:t xml:space="preserve"> </w:t>
      </w:r>
    </w:p>
    <w:p w14:paraId="28DF4EE9" w14:textId="77777777" w:rsidR="00317DFA" w:rsidRDefault="00317DFA" w:rsidP="00317DFA">
      <w:pPr>
        <w:pStyle w:val="Proposal"/>
        <w:numPr>
          <w:ilvl w:val="1"/>
          <w:numId w:val="2"/>
        </w:numPr>
      </w:pPr>
      <w:bookmarkStart w:id="2224" w:name="_Toc189845173"/>
      <w:r>
        <w:t xml:space="preserve">For Case 1 and Case 3a, the UE (Case 1) and </w:t>
      </w:r>
      <w:proofErr w:type="spellStart"/>
      <w:r>
        <w:t>gNB</w:t>
      </w:r>
      <w:proofErr w:type="spellEnd"/>
      <w:r>
        <w:t xml:space="preserve"> (Case 3a) sends the monitoring decision to LMF, at least when the monitoring decision indicates that the model becomes inappropriate for inference.</w:t>
      </w:r>
      <w:bookmarkEnd w:id="2224"/>
      <w:r>
        <w:t xml:space="preserve"> </w:t>
      </w:r>
    </w:p>
    <w:p w14:paraId="705FE39A" w14:textId="77777777" w:rsidR="006F064F" w:rsidRPr="0078718A" w:rsidRDefault="006F064F" w:rsidP="00004346">
      <w:pPr>
        <w:pStyle w:val="Proposal"/>
        <w:numPr>
          <w:ilvl w:val="0"/>
          <w:numId w:val="0"/>
        </w:numPr>
      </w:pPr>
    </w:p>
    <w:p w14:paraId="3FB9D93F" w14:textId="70D4FF8F" w:rsidR="005D0D1E" w:rsidRPr="00791445" w:rsidRDefault="008722C6" w:rsidP="005D0D1E">
      <w:pPr>
        <w:pStyle w:val="Heading1"/>
        <w:rPr>
          <w:lang w:val="en-US"/>
        </w:rPr>
      </w:pPr>
      <w:bookmarkStart w:id="2225" w:name="_Toc178705396"/>
      <w:bookmarkStart w:id="2226" w:name="_Toc178706298"/>
      <w:bookmarkStart w:id="2227" w:name="_Toc178709276"/>
      <w:bookmarkStart w:id="2228" w:name="_Toc178772998"/>
      <w:bookmarkStart w:id="2229" w:name="_Toc178929601"/>
      <w:bookmarkStart w:id="2230" w:name="_Toc178705397"/>
      <w:bookmarkStart w:id="2231" w:name="_Toc178706299"/>
      <w:bookmarkStart w:id="2232" w:name="_Toc178709277"/>
      <w:bookmarkStart w:id="2233" w:name="_Toc178772999"/>
      <w:bookmarkStart w:id="2234" w:name="_Toc178929602"/>
      <w:bookmarkStart w:id="2235" w:name="_Toc178705413"/>
      <w:bookmarkStart w:id="2236" w:name="_Toc178706315"/>
      <w:bookmarkStart w:id="2237" w:name="_Toc178709293"/>
      <w:bookmarkStart w:id="2238" w:name="_Toc178773015"/>
      <w:bookmarkStart w:id="2239" w:name="_Toc178929618"/>
      <w:bookmarkStart w:id="2240" w:name="_Toc178705414"/>
      <w:bookmarkStart w:id="2241" w:name="_Toc178706316"/>
      <w:bookmarkStart w:id="2242" w:name="_Toc178709294"/>
      <w:bookmarkStart w:id="2243" w:name="_Toc178773016"/>
      <w:bookmarkStart w:id="2244" w:name="_Toc178929619"/>
      <w:bookmarkStart w:id="2245" w:name="_Toc178705415"/>
      <w:bookmarkStart w:id="2246" w:name="_Toc178706317"/>
      <w:bookmarkStart w:id="2247" w:name="_Toc178709295"/>
      <w:bookmarkStart w:id="2248" w:name="_Toc178773017"/>
      <w:bookmarkStart w:id="2249" w:name="_Toc178929620"/>
      <w:bookmarkStart w:id="2250" w:name="_Toc178705416"/>
      <w:bookmarkStart w:id="2251" w:name="_Toc178706318"/>
      <w:bookmarkStart w:id="2252" w:name="_Toc178709296"/>
      <w:bookmarkStart w:id="2253" w:name="_Toc178773018"/>
      <w:bookmarkStart w:id="2254" w:name="_Toc178929621"/>
      <w:bookmarkStart w:id="2255" w:name="_Toc178705417"/>
      <w:bookmarkStart w:id="2256" w:name="_Toc178706319"/>
      <w:bookmarkStart w:id="2257" w:name="_Toc178709297"/>
      <w:bookmarkStart w:id="2258" w:name="_Toc178773019"/>
      <w:bookmarkStart w:id="2259" w:name="_Toc178929622"/>
      <w:bookmarkStart w:id="2260" w:name="_Toc178705418"/>
      <w:bookmarkStart w:id="2261" w:name="_Toc178706320"/>
      <w:bookmarkStart w:id="2262" w:name="_Toc178709298"/>
      <w:bookmarkStart w:id="2263" w:name="_Toc178773020"/>
      <w:bookmarkStart w:id="2264" w:name="_Toc178929623"/>
      <w:bookmarkStart w:id="2265" w:name="_Toc178705419"/>
      <w:bookmarkStart w:id="2266" w:name="_Toc178706321"/>
      <w:bookmarkStart w:id="2267" w:name="_Toc178709299"/>
      <w:bookmarkStart w:id="2268" w:name="_Toc178773021"/>
      <w:bookmarkStart w:id="2269" w:name="_Toc178929624"/>
      <w:bookmarkStart w:id="2270" w:name="_Toc178705420"/>
      <w:bookmarkStart w:id="2271" w:name="_Toc178706322"/>
      <w:bookmarkStart w:id="2272" w:name="_Toc178709300"/>
      <w:bookmarkStart w:id="2273" w:name="_Toc178773022"/>
      <w:bookmarkStart w:id="2274" w:name="_Toc178929625"/>
      <w:bookmarkStart w:id="2275" w:name="_Toc178705421"/>
      <w:bookmarkStart w:id="2276" w:name="_Toc178706323"/>
      <w:bookmarkStart w:id="2277" w:name="_Toc178709301"/>
      <w:bookmarkStart w:id="2278" w:name="_Toc178773023"/>
      <w:bookmarkStart w:id="2279" w:name="_Toc178929626"/>
      <w:bookmarkStart w:id="2280" w:name="_Toc178705422"/>
      <w:bookmarkStart w:id="2281" w:name="_Toc178706324"/>
      <w:bookmarkStart w:id="2282" w:name="_Toc178709302"/>
      <w:bookmarkStart w:id="2283" w:name="_Toc178773024"/>
      <w:bookmarkStart w:id="2284" w:name="_Toc178929627"/>
      <w:bookmarkStart w:id="2285" w:name="_Toc178705423"/>
      <w:bookmarkStart w:id="2286" w:name="_Toc178706325"/>
      <w:bookmarkStart w:id="2287" w:name="_Toc178709303"/>
      <w:bookmarkStart w:id="2288" w:name="_Toc178773025"/>
      <w:bookmarkStart w:id="2289" w:name="_Toc178929628"/>
      <w:bookmarkStart w:id="2290" w:name="_Toc178705424"/>
      <w:bookmarkStart w:id="2291" w:name="_Toc178706326"/>
      <w:bookmarkStart w:id="2292" w:name="_Toc178709304"/>
      <w:bookmarkStart w:id="2293" w:name="_Toc178773026"/>
      <w:bookmarkStart w:id="2294" w:name="_Toc178929629"/>
      <w:bookmarkStart w:id="2295" w:name="_Toc178705425"/>
      <w:bookmarkStart w:id="2296" w:name="_Toc178706327"/>
      <w:bookmarkStart w:id="2297" w:name="_Toc178709305"/>
      <w:bookmarkStart w:id="2298" w:name="_Toc178773027"/>
      <w:bookmarkStart w:id="2299" w:name="_Toc178929630"/>
      <w:bookmarkStart w:id="2300" w:name="_Toc178705436"/>
      <w:bookmarkStart w:id="2301" w:name="_Toc178706338"/>
      <w:bookmarkStart w:id="2302" w:name="_Toc178709316"/>
      <w:bookmarkStart w:id="2303" w:name="_Toc178773038"/>
      <w:bookmarkStart w:id="2304" w:name="_Toc178929641"/>
      <w:bookmarkStart w:id="2305" w:name="_Toc178705437"/>
      <w:bookmarkStart w:id="2306" w:name="_Toc178706339"/>
      <w:bookmarkStart w:id="2307" w:name="_Toc178709317"/>
      <w:bookmarkStart w:id="2308" w:name="_Toc178773039"/>
      <w:bookmarkStart w:id="2309" w:name="_Toc178929642"/>
      <w:bookmarkStart w:id="2310" w:name="_Toc178705438"/>
      <w:bookmarkStart w:id="2311" w:name="_Toc178706340"/>
      <w:bookmarkStart w:id="2312" w:name="_Toc178709318"/>
      <w:bookmarkStart w:id="2313" w:name="_Toc178773040"/>
      <w:bookmarkStart w:id="2314" w:name="_Toc178929643"/>
      <w:bookmarkStart w:id="2315" w:name="_Toc178705439"/>
      <w:bookmarkStart w:id="2316" w:name="_Toc178706341"/>
      <w:bookmarkStart w:id="2317" w:name="_Toc178709319"/>
      <w:bookmarkStart w:id="2318" w:name="_Toc178773041"/>
      <w:bookmarkStart w:id="2319" w:name="_Toc178929644"/>
      <w:bookmarkStart w:id="2320" w:name="_Toc178705440"/>
      <w:bookmarkStart w:id="2321" w:name="_Toc178706342"/>
      <w:bookmarkStart w:id="2322" w:name="_Toc178709320"/>
      <w:bookmarkStart w:id="2323" w:name="_Toc178773042"/>
      <w:bookmarkStart w:id="2324" w:name="_Toc178929645"/>
      <w:bookmarkStart w:id="2325" w:name="_Toc178705441"/>
      <w:bookmarkStart w:id="2326" w:name="_Toc178706343"/>
      <w:bookmarkStart w:id="2327" w:name="_Toc178709321"/>
      <w:bookmarkStart w:id="2328" w:name="_Toc178773043"/>
      <w:bookmarkStart w:id="2329" w:name="_Toc178929646"/>
      <w:bookmarkStart w:id="2330" w:name="_Toc178705442"/>
      <w:bookmarkStart w:id="2331" w:name="_Toc178706344"/>
      <w:bookmarkStart w:id="2332" w:name="_Toc178709322"/>
      <w:bookmarkStart w:id="2333" w:name="_Toc178773044"/>
      <w:bookmarkStart w:id="2334" w:name="_Toc178929647"/>
      <w:bookmarkStart w:id="2335" w:name="_Toc178705443"/>
      <w:bookmarkStart w:id="2336" w:name="_Toc178706345"/>
      <w:bookmarkStart w:id="2337" w:name="_Toc178709323"/>
      <w:bookmarkStart w:id="2338" w:name="_Toc178773045"/>
      <w:bookmarkStart w:id="2339" w:name="_Toc178929648"/>
      <w:bookmarkStart w:id="2340" w:name="_Toc178705444"/>
      <w:bookmarkStart w:id="2341" w:name="_Toc178706346"/>
      <w:bookmarkStart w:id="2342" w:name="_Toc178709324"/>
      <w:bookmarkStart w:id="2343" w:name="_Toc178773046"/>
      <w:bookmarkStart w:id="2344" w:name="_Toc178929649"/>
      <w:bookmarkStart w:id="2345" w:name="_Toc178705445"/>
      <w:bookmarkStart w:id="2346" w:name="_Toc178706347"/>
      <w:bookmarkStart w:id="2347" w:name="_Toc178709325"/>
      <w:bookmarkStart w:id="2348" w:name="_Toc178773047"/>
      <w:bookmarkStart w:id="2349" w:name="_Toc178929650"/>
      <w:bookmarkStart w:id="2350" w:name="_Toc178705446"/>
      <w:bookmarkStart w:id="2351" w:name="_Toc178706348"/>
      <w:bookmarkStart w:id="2352" w:name="_Toc178709326"/>
      <w:bookmarkStart w:id="2353" w:name="_Toc178773048"/>
      <w:bookmarkStart w:id="2354" w:name="_Toc178929651"/>
      <w:bookmarkStart w:id="2355" w:name="_Toc178705447"/>
      <w:bookmarkStart w:id="2356" w:name="_Toc178706349"/>
      <w:bookmarkStart w:id="2357" w:name="_Toc178709327"/>
      <w:bookmarkStart w:id="2358" w:name="_Toc178773049"/>
      <w:bookmarkStart w:id="2359" w:name="_Toc178929652"/>
      <w:bookmarkStart w:id="2360" w:name="_Toc178705448"/>
      <w:bookmarkStart w:id="2361" w:name="_Toc178706350"/>
      <w:bookmarkStart w:id="2362" w:name="_Toc178709328"/>
      <w:bookmarkStart w:id="2363" w:name="_Toc178773050"/>
      <w:bookmarkStart w:id="2364" w:name="_Toc178929653"/>
      <w:bookmarkStart w:id="2365" w:name="_Toc178705449"/>
      <w:bookmarkStart w:id="2366" w:name="_Toc178706351"/>
      <w:bookmarkStart w:id="2367" w:name="_Toc178709329"/>
      <w:bookmarkStart w:id="2368" w:name="_Toc178773051"/>
      <w:bookmarkStart w:id="2369" w:name="_Toc178929654"/>
      <w:bookmarkStart w:id="2370" w:name="_Toc178705450"/>
      <w:bookmarkStart w:id="2371" w:name="_Toc178706352"/>
      <w:bookmarkStart w:id="2372" w:name="_Toc178709330"/>
      <w:bookmarkStart w:id="2373" w:name="_Toc178773052"/>
      <w:bookmarkStart w:id="2374" w:name="_Toc178929655"/>
      <w:bookmarkStart w:id="2375" w:name="_Toc178705451"/>
      <w:bookmarkStart w:id="2376" w:name="_Toc178706353"/>
      <w:bookmarkStart w:id="2377" w:name="_Toc178709331"/>
      <w:bookmarkStart w:id="2378" w:name="_Toc178773053"/>
      <w:bookmarkStart w:id="2379" w:name="_Toc178929656"/>
      <w:bookmarkStart w:id="2380" w:name="_Toc178705452"/>
      <w:bookmarkStart w:id="2381" w:name="_Toc178706354"/>
      <w:bookmarkStart w:id="2382" w:name="_Toc178709332"/>
      <w:bookmarkStart w:id="2383" w:name="_Toc178773054"/>
      <w:bookmarkStart w:id="2384" w:name="_Toc178929657"/>
      <w:bookmarkStart w:id="2385" w:name="_Toc178705453"/>
      <w:bookmarkStart w:id="2386" w:name="_Toc178706355"/>
      <w:bookmarkStart w:id="2387" w:name="_Toc178709333"/>
      <w:bookmarkStart w:id="2388" w:name="_Toc178773055"/>
      <w:bookmarkStart w:id="2389" w:name="_Toc178929658"/>
      <w:bookmarkStart w:id="2390" w:name="_Toc178705454"/>
      <w:bookmarkStart w:id="2391" w:name="_Toc178706356"/>
      <w:bookmarkStart w:id="2392" w:name="_Toc178709334"/>
      <w:bookmarkStart w:id="2393" w:name="_Toc178773056"/>
      <w:bookmarkStart w:id="2394" w:name="_Toc178929659"/>
      <w:bookmarkStart w:id="2395" w:name="_Toc178705455"/>
      <w:bookmarkStart w:id="2396" w:name="_Toc178706357"/>
      <w:bookmarkStart w:id="2397" w:name="_Toc178709335"/>
      <w:bookmarkStart w:id="2398" w:name="_Toc178773057"/>
      <w:bookmarkStart w:id="2399" w:name="_Toc178929660"/>
      <w:bookmarkStart w:id="2400" w:name="_Toc178705456"/>
      <w:bookmarkStart w:id="2401" w:name="_Toc178706358"/>
      <w:bookmarkStart w:id="2402" w:name="_Toc178709336"/>
      <w:bookmarkStart w:id="2403" w:name="_Toc178773058"/>
      <w:bookmarkStart w:id="2404" w:name="_Toc178929661"/>
      <w:bookmarkStart w:id="2405" w:name="_Toc178705457"/>
      <w:bookmarkStart w:id="2406" w:name="_Toc178706359"/>
      <w:bookmarkStart w:id="2407" w:name="_Toc178709337"/>
      <w:bookmarkStart w:id="2408" w:name="_Toc178773059"/>
      <w:bookmarkStart w:id="2409" w:name="_Toc178929662"/>
      <w:bookmarkStart w:id="2410" w:name="_Toc178705458"/>
      <w:bookmarkStart w:id="2411" w:name="_Toc178706360"/>
      <w:bookmarkStart w:id="2412" w:name="_Toc178709338"/>
      <w:bookmarkStart w:id="2413" w:name="_Toc178773060"/>
      <w:bookmarkStart w:id="2414" w:name="_Toc178929663"/>
      <w:bookmarkStart w:id="2415" w:name="_Toc178705459"/>
      <w:bookmarkStart w:id="2416" w:name="_Toc178706361"/>
      <w:bookmarkStart w:id="2417" w:name="_Toc178709339"/>
      <w:bookmarkStart w:id="2418" w:name="_Toc178773061"/>
      <w:bookmarkStart w:id="2419" w:name="_Toc178929664"/>
      <w:bookmarkStart w:id="2420" w:name="_Toc178705460"/>
      <w:bookmarkStart w:id="2421" w:name="_Toc178706362"/>
      <w:bookmarkStart w:id="2422" w:name="_Toc178709340"/>
      <w:bookmarkStart w:id="2423" w:name="_Toc178773062"/>
      <w:bookmarkStart w:id="2424" w:name="_Toc178929665"/>
      <w:bookmarkStart w:id="2425" w:name="_Toc178705461"/>
      <w:bookmarkStart w:id="2426" w:name="_Toc178706363"/>
      <w:bookmarkStart w:id="2427" w:name="_Toc178709341"/>
      <w:bookmarkStart w:id="2428" w:name="_Toc178773063"/>
      <w:bookmarkStart w:id="2429" w:name="_Toc178929666"/>
      <w:bookmarkStart w:id="2430" w:name="_Toc178705462"/>
      <w:bookmarkStart w:id="2431" w:name="_Toc178706364"/>
      <w:bookmarkStart w:id="2432" w:name="_Toc178709342"/>
      <w:bookmarkStart w:id="2433" w:name="_Toc178773064"/>
      <w:bookmarkStart w:id="2434" w:name="_Toc178929667"/>
      <w:bookmarkStart w:id="2435" w:name="_Toc178705463"/>
      <w:bookmarkStart w:id="2436" w:name="_Toc178706365"/>
      <w:bookmarkStart w:id="2437" w:name="_Toc178709343"/>
      <w:bookmarkStart w:id="2438" w:name="_Toc178773065"/>
      <w:bookmarkStart w:id="2439" w:name="_Toc178929668"/>
      <w:bookmarkStart w:id="2440" w:name="_Toc178705464"/>
      <w:bookmarkStart w:id="2441" w:name="_Toc178706366"/>
      <w:bookmarkStart w:id="2442" w:name="_Toc178709344"/>
      <w:bookmarkStart w:id="2443" w:name="_Toc178773066"/>
      <w:bookmarkStart w:id="2444" w:name="_Toc178929669"/>
      <w:bookmarkStart w:id="2445" w:name="_Toc178705465"/>
      <w:bookmarkStart w:id="2446" w:name="_Toc178706367"/>
      <w:bookmarkStart w:id="2447" w:name="_Toc178709345"/>
      <w:bookmarkStart w:id="2448" w:name="_Toc178773067"/>
      <w:bookmarkStart w:id="2449" w:name="_Toc178929670"/>
      <w:bookmarkStart w:id="2450" w:name="_Toc178705466"/>
      <w:bookmarkStart w:id="2451" w:name="_Toc178706368"/>
      <w:bookmarkStart w:id="2452" w:name="_Toc178709346"/>
      <w:bookmarkStart w:id="2453" w:name="_Toc178773068"/>
      <w:bookmarkStart w:id="2454" w:name="_Toc178929671"/>
      <w:bookmarkStart w:id="2455" w:name="_Toc178705467"/>
      <w:bookmarkStart w:id="2456" w:name="_Toc178706369"/>
      <w:bookmarkStart w:id="2457" w:name="_Toc178709347"/>
      <w:bookmarkStart w:id="2458" w:name="_Toc178773069"/>
      <w:bookmarkStart w:id="2459" w:name="_Toc178929672"/>
      <w:bookmarkStart w:id="2460" w:name="_Toc178705468"/>
      <w:bookmarkStart w:id="2461" w:name="_Toc178706370"/>
      <w:bookmarkStart w:id="2462" w:name="_Toc178709348"/>
      <w:bookmarkStart w:id="2463" w:name="_Toc178773070"/>
      <w:bookmarkStart w:id="2464" w:name="_Toc178929673"/>
      <w:bookmarkStart w:id="2465" w:name="_Toc18984504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r w:rsidRPr="00791445">
        <w:rPr>
          <w:lang w:val="en-US"/>
        </w:rPr>
        <w:t>Model inference</w:t>
      </w:r>
      <w:bookmarkEnd w:id="2465"/>
    </w:p>
    <w:p w14:paraId="422794C8" w14:textId="1B21FF36" w:rsidR="000B0803" w:rsidRPr="00940426" w:rsidRDefault="007272A6" w:rsidP="00BB1251">
      <w:pPr>
        <w:pStyle w:val="Heading2"/>
        <w:rPr>
          <w:lang w:val="en-US"/>
        </w:rPr>
      </w:pPr>
      <w:bookmarkStart w:id="2466" w:name="_Ref163214421"/>
      <w:bookmarkStart w:id="2467" w:name="_Toc165991019"/>
      <w:bookmarkStart w:id="2468" w:name="_Toc189845045"/>
      <w:r w:rsidRPr="00E215F0">
        <w:rPr>
          <w:lang w:val="en-US"/>
        </w:rPr>
        <w:t>Signaling</w:t>
      </w:r>
      <w:r w:rsidR="00CC2AF9" w:rsidRPr="00E215F0">
        <w:rPr>
          <w:lang w:val="en-US"/>
        </w:rPr>
        <w:t xml:space="preserve"> to support </w:t>
      </w:r>
      <w:r w:rsidR="00EF7DC7" w:rsidRPr="00E215F0">
        <w:rPr>
          <w:lang w:val="en-US"/>
        </w:rPr>
        <w:t>model inference</w:t>
      </w:r>
      <w:bookmarkEnd w:id="2466"/>
      <w:bookmarkEnd w:id="2467"/>
      <w:bookmarkEnd w:id="2468"/>
    </w:p>
    <w:p w14:paraId="4BC0A575" w14:textId="62C5324D" w:rsidR="00BB1251" w:rsidRPr="00BB1251" w:rsidRDefault="00BB1251" w:rsidP="00BB1251">
      <w:r>
        <w:t xml:space="preserve">For the model inference stage of LCM, </w:t>
      </w:r>
      <w:r w:rsidR="00E95AA0">
        <w:t xml:space="preserve">for an AI/ML model to work properly, the model inference context needs to be consistent with model training context. The model training context </w:t>
      </w:r>
      <w:r w:rsidR="00B65BE1">
        <w:t xml:space="preserve">need to include </w:t>
      </w:r>
      <w:r w:rsidR="00E95AA0">
        <w:t xml:space="preserve">all the settings that noticeably affect the model performance and cannot be ignored. </w:t>
      </w:r>
      <w:r w:rsidR="00B65BE1">
        <w:t>A</w:t>
      </w:r>
      <w:r>
        <w:t xml:space="preserve"> model cannot be activated for inference without checking the model inference context requirement. Specifically,</w:t>
      </w:r>
    </w:p>
    <w:p w14:paraId="7D76054D" w14:textId="77777777" w:rsidR="00BB1251" w:rsidRPr="00194B5B" w:rsidRDefault="00BB1251" w:rsidP="005925D5">
      <w:pPr>
        <w:pStyle w:val="ListParagraph"/>
        <w:numPr>
          <w:ilvl w:val="0"/>
          <w:numId w:val="37"/>
        </w:numPr>
      </w:pPr>
      <w:r w:rsidRPr="00194B5B">
        <w:t xml:space="preserve">If the model inference context requirement is </w:t>
      </w:r>
      <w:r w:rsidRPr="00194B5B">
        <w:rPr>
          <w:u w:val="single"/>
        </w:rPr>
        <w:t>satisfied</w:t>
      </w:r>
      <w:r w:rsidRPr="00194B5B">
        <w:t>, then the model inference can proceed.</w:t>
      </w:r>
    </w:p>
    <w:p w14:paraId="40F403C9" w14:textId="471701F4" w:rsidR="00B65BE1" w:rsidRPr="00194B5B" w:rsidRDefault="00B65BE1" w:rsidP="005925D5">
      <w:pPr>
        <w:pStyle w:val="ListParagraph"/>
        <w:numPr>
          <w:ilvl w:val="1"/>
          <w:numId w:val="37"/>
        </w:numPr>
      </w:pPr>
      <w:r>
        <w:t>This is the ideal case where the trained model is fully compatible with the deployment environment.</w:t>
      </w:r>
    </w:p>
    <w:p w14:paraId="36F7A8D0" w14:textId="77777777" w:rsidR="00B65BE1" w:rsidRPr="00194B5B" w:rsidRDefault="00BB1251" w:rsidP="005925D5">
      <w:pPr>
        <w:pStyle w:val="ListParagraph"/>
        <w:numPr>
          <w:ilvl w:val="0"/>
          <w:numId w:val="37"/>
        </w:numPr>
      </w:pPr>
      <w:r w:rsidRPr="00194B5B">
        <w:t xml:space="preserve">If the model inference context requirement is </w:t>
      </w:r>
      <w:r w:rsidRPr="00194B5B">
        <w:rPr>
          <w:u w:val="single"/>
        </w:rPr>
        <w:t>not satisfied</w:t>
      </w:r>
      <w:r w:rsidRPr="00194B5B">
        <w:t xml:space="preserve">, </w:t>
      </w:r>
      <w:r w:rsidRPr="00B11F71">
        <w:t xml:space="preserve">then configuration can be </w:t>
      </w:r>
      <w:r w:rsidRPr="00B11F71">
        <w:rPr>
          <w:u w:val="single"/>
        </w:rPr>
        <w:t>updated</w:t>
      </w:r>
      <w:r w:rsidRPr="00B11F71">
        <w:t xml:space="preserve"> to satisfy the model inference context requirement. After that, the model inference can proceed.</w:t>
      </w:r>
      <w:r w:rsidR="00B65BE1" w:rsidRPr="00B11F71">
        <w:t xml:space="preserve"> </w:t>
      </w:r>
    </w:p>
    <w:p w14:paraId="33B664FE" w14:textId="044B970A" w:rsidR="00BB1251" w:rsidRPr="00194B5B" w:rsidRDefault="00B65BE1" w:rsidP="005925D5">
      <w:pPr>
        <w:pStyle w:val="ListParagraph"/>
        <w:numPr>
          <w:ilvl w:val="1"/>
          <w:numId w:val="37"/>
        </w:numPr>
      </w:pPr>
      <w:r>
        <w:t xml:space="preserve">This may happen if the model is trained for the deployment area, but some of the </w:t>
      </w:r>
      <w:r w:rsidR="005A01C1">
        <w:t xml:space="preserve">parameters (e.g., </w:t>
      </w:r>
      <w:r>
        <w:t>PRS</w:t>
      </w:r>
      <w:r w:rsidR="005A01C1">
        <w:t xml:space="preserve">) </w:t>
      </w:r>
      <w:r>
        <w:t xml:space="preserve">are not configured </w:t>
      </w:r>
      <w:r w:rsidR="005A01C1">
        <w:t>the same</w:t>
      </w:r>
      <w:r>
        <w:t xml:space="preserve"> as in the model training.</w:t>
      </w:r>
    </w:p>
    <w:p w14:paraId="774D2E3A" w14:textId="2471DEBA" w:rsidR="00BB1251" w:rsidRPr="00194B5B" w:rsidRDefault="00BB1251" w:rsidP="005925D5">
      <w:pPr>
        <w:pStyle w:val="ListParagraph"/>
        <w:numPr>
          <w:ilvl w:val="0"/>
          <w:numId w:val="37"/>
        </w:numPr>
      </w:pPr>
      <w:r w:rsidRPr="00194B5B">
        <w:t xml:space="preserve">If the model inference context requirement is </w:t>
      </w:r>
      <w:r w:rsidRPr="00194B5B">
        <w:rPr>
          <w:u w:val="single"/>
        </w:rPr>
        <w:t>not satisfied</w:t>
      </w:r>
      <w:r w:rsidRPr="00194B5B">
        <w:t xml:space="preserve">, and the configuration </w:t>
      </w:r>
      <w:r w:rsidRPr="00194B5B">
        <w:rPr>
          <w:u w:val="single"/>
        </w:rPr>
        <w:t>cannot be updated</w:t>
      </w:r>
      <w:r w:rsidRPr="00194B5B">
        <w:t xml:space="preserve"> to satisfy the model inference context requirement, then model inference </w:t>
      </w:r>
      <w:r w:rsidR="00E51958">
        <w:t xml:space="preserve">may </w:t>
      </w:r>
      <w:r w:rsidR="00E51958" w:rsidRPr="00194B5B">
        <w:t xml:space="preserve">not </w:t>
      </w:r>
      <w:r w:rsidRPr="00194B5B">
        <w:t>proceed.</w:t>
      </w:r>
      <w:r w:rsidR="00E51958">
        <w:t xml:space="preserve"> </w:t>
      </w:r>
      <w:r w:rsidRPr="00194B5B">
        <w:t>A notification message (e.g., an error message) can be sent on the failure of model inference due to mismatched context between model training and model inference.</w:t>
      </w:r>
    </w:p>
    <w:p w14:paraId="17D668BC" w14:textId="57CD6078" w:rsidR="00B65BE1" w:rsidRPr="00194B5B" w:rsidRDefault="00B65BE1" w:rsidP="005925D5">
      <w:pPr>
        <w:pStyle w:val="ListParagraph"/>
        <w:numPr>
          <w:ilvl w:val="1"/>
          <w:numId w:val="37"/>
        </w:numPr>
      </w:pPr>
      <w:r>
        <w:t>This may happen if the deployment area is different from the validity area of the trained model.</w:t>
      </w:r>
    </w:p>
    <w:p w14:paraId="5505E9EA" w14:textId="0EE8E977" w:rsidR="00E51958" w:rsidRDefault="00E51958" w:rsidP="00B11F71">
      <w:pPr>
        <w:spacing w:before="240"/>
      </w:pPr>
      <w:r>
        <w:t>Under the broad outline above, there can be further nuanced procedure, if the context requirement is not satisfied for a subset of the TRPs (</w:t>
      </w:r>
      <w:proofErr w:type="spellStart"/>
      <w:r>
        <w:t>TRP</w:t>
      </w:r>
      <w:r w:rsidRPr="00B11F71">
        <w:rPr>
          <w:vertAlign w:val="subscript"/>
        </w:rPr>
        <w:t>in</w:t>
      </w:r>
      <w:r>
        <w:rPr>
          <w:vertAlign w:val="subscript"/>
        </w:rPr>
        <w:t>consistent</w:t>
      </w:r>
      <w:proofErr w:type="spellEnd"/>
      <w:proofErr w:type="gramStart"/>
      <w:r>
        <w:t>), but</w:t>
      </w:r>
      <w:proofErr w:type="gramEnd"/>
      <w:r>
        <w:t xml:space="preserve"> satisfied for the remaining TRPs (</w:t>
      </w:r>
      <w:proofErr w:type="spellStart"/>
      <w:r>
        <w:t>TRP</w:t>
      </w:r>
      <w:r>
        <w:rPr>
          <w:vertAlign w:val="subscript"/>
        </w:rPr>
        <w:t>consistent</w:t>
      </w:r>
      <w:proofErr w:type="spellEnd"/>
      <w:r>
        <w:t xml:space="preserve">). For example, for </w:t>
      </w:r>
      <w:proofErr w:type="spellStart"/>
      <w:r>
        <w:t>TRP</w:t>
      </w:r>
      <w:r w:rsidRPr="00927A33">
        <w:rPr>
          <w:vertAlign w:val="subscript"/>
        </w:rPr>
        <w:t>in</w:t>
      </w:r>
      <w:r>
        <w:rPr>
          <w:vertAlign w:val="subscript"/>
        </w:rPr>
        <w:t>consistent</w:t>
      </w:r>
      <w:proofErr w:type="spellEnd"/>
      <w:r>
        <w:t xml:space="preserve">, the PRS beam pattern is changed between training data collection phase and model inference phase. In this case, if the model has been trained to handle a varying number of TRPs and/or a varying set of TRPs, then the model inference can still proceed by including </w:t>
      </w:r>
      <w:proofErr w:type="spellStart"/>
      <w:r>
        <w:t>TRP</w:t>
      </w:r>
      <w:r>
        <w:rPr>
          <w:vertAlign w:val="subscript"/>
        </w:rPr>
        <w:t>consistent</w:t>
      </w:r>
      <w:proofErr w:type="spellEnd"/>
      <w:r>
        <w:t xml:space="preserve"> in model inference, while excluding </w:t>
      </w:r>
      <w:proofErr w:type="spellStart"/>
      <w:r>
        <w:t>TRP</w:t>
      </w:r>
      <w:r w:rsidRPr="00927A33">
        <w:rPr>
          <w:vertAlign w:val="subscript"/>
        </w:rPr>
        <w:t>in</w:t>
      </w:r>
      <w:r>
        <w:rPr>
          <w:vertAlign w:val="subscript"/>
        </w:rPr>
        <w:t>consistent</w:t>
      </w:r>
      <w:proofErr w:type="spellEnd"/>
      <w:r>
        <w:t>.</w:t>
      </w:r>
    </w:p>
    <w:p w14:paraId="71885A0B" w14:textId="77777777" w:rsidR="00E51958" w:rsidRDefault="00E51958" w:rsidP="007272A6"/>
    <w:p w14:paraId="2E38F309" w14:textId="1AF66C6D" w:rsidR="00A940D2" w:rsidRDefault="000D40BF" w:rsidP="007272A6">
      <w:r>
        <w:t xml:space="preserve">The model inference context requirement </w:t>
      </w:r>
      <w:r w:rsidR="00290D43">
        <w:t>includes</w:t>
      </w:r>
      <w:r w:rsidR="00D16811">
        <w:t xml:space="preserve"> at least</w:t>
      </w:r>
      <w:r w:rsidR="00A940D2">
        <w:t xml:space="preserve"> the following of an AI/ML model</w:t>
      </w:r>
      <w:r w:rsidR="003B6EAE">
        <w:t xml:space="preserve">, which </w:t>
      </w:r>
      <w:r w:rsidR="008E717F">
        <w:t xml:space="preserve">are </w:t>
      </w:r>
      <w:r w:rsidR="003B6EAE">
        <w:t>directly related to the model input</w:t>
      </w:r>
      <w:r w:rsidR="00E57F11">
        <w:t xml:space="preserve"> of the various positioning cases</w:t>
      </w:r>
      <w:r>
        <w:t xml:space="preserve">: </w:t>
      </w:r>
    </w:p>
    <w:p w14:paraId="7C0D7222" w14:textId="7AAA5D6C" w:rsidR="00A940D2" w:rsidRPr="00194B5B" w:rsidRDefault="000D40BF" w:rsidP="00863182">
      <w:pPr>
        <w:pStyle w:val="ListParagraph"/>
        <w:numPr>
          <w:ilvl w:val="1"/>
          <w:numId w:val="18"/>
        </w:numPr>
      </w:pPr>
      <w:r w:rsidRPr="00194B5B">
        <w:t>validity area</w:t>
      </w:r>
      <w:r w:rsidR="003B6EAE">
        <w:t xml:space="preserve"> </w:t>
      </w:r>
      <w:r w:rsidR="00A940D2">
        <w:t>of the model for inference</w:t>
      </w:r>
      <w:r w:rsidR="00367A5D">
        <w:t xml:space="preserve">, </w:t>
      </w:r>
      <w:r w:rsidR="007005FD">
        <w:t xml:space="preserve">e.g., </w:t>
      </w:r>
      <w:r w:rsidR="00367A5D">
        <w:t xml:space="preserve">a list of TRPs that transmits PRS (for </w:t>
      </w:r>
      <w:proofErr w:type="gramStart"/>
      <w:r w:rsidR="00367A5D">
        <w:t>downlink based</w:t>
      </w:r>
      <w:proofErr w:type="gramEnd"/>
      <w:r w:rsidR="00367A5D">
        <w:t xml:space="preserve"> cases) or receives SRS (for uplink based bases)</w:t>
      </w:r>
      <w:r w:rsidRPr="00194B5B">
        <w:t xml:space="preserve">, </w:t>
      </w:r>
    </w:p>
    <w:p w14:paraId="37DF81B0" w14:textId="77777777" w:rsidR="00A940D2" w:rsidRPr="00194B5B" w:rsidRDefault="000D40BF" w:rsidP="00863182">
      <w:pPr>
        <w:pStyle w:val="ListParagraph"/>
        <w:numPr>
          <w:ilvl w:val="1"/>
          <w:numId w:val="18"/>
        </w:numPr>
      </w:pPr>
      <w:r w:rsidRPr="00194B5B">
        <w:rPr>
          <w:rFonts w:eastAsiaTheme="minorEastAsia"/>
        </w:rPr>
        <w:t>configuration of reference signal transmission and measurement</w:t>
      </w:r>
      <w:r w:rsidRPr="00194B5B">
        <w:t xml:space="preserve">, </w:t>
      </w:r>
    </w:p>
    <w:p w14:paraId="5CC3EFDD" w14:textId="697DE87E" w:rsidR="00A940D2" w:rsidRPr="00194B5B" w:rsidRDefault="00A940D2" w:rsidP="00863182">
      <w:pPr>
        <w:pStyle w:val="ListParagraph"/>
        <w:numPr>
          <w:ilvl w:val="2"/>
          <w:numId w:val="18"/>
        </w:numPr>
      </w:pPr>
      <w:r>
        <w:t>For models using DL PRS (Case 1, 2a, 2b), this refers to DL PRS configuration for transmission (Case 1, 2a, 2b), and measurement report on PRS (Case 2b).</w:t>
      </w:r>
    </w:p>
    <w:p w14:paraId="34A7F183" w14:textId="74CEF18A" w:rsidR="00A940D2" w:rsidRPr="00194B5B" w:rsidRDefault="00A940D2" w:rsidP="00863182">
      <w:pPr>
        <w:pStyle w:val="ListParagraph"/>
        <w:numPr>
          <w:ilvl w:val="2"/>
          <w:numId w:val="18"/>
        </w:numPr>
      </w:pPr>
      <w:r>
        <w:t xml:space="preserve">For models using UL SRS (Case 3a, 3b), this refers to UL SRS configuration for transmission (Case 3a, 3b), and measurement report on </w:t>
      </w:r>
      <w:r w:rsidR="00FB788D">
        <w:t xml:space="preserve">SRS </w:t>
      </w:r>
      <w:r>
        <w:t>(Case 3b).</w:t>
      </w:r>
    </w:p>
    <w:p w14:paraId="29836276" w14:textId="75F90323" w:rsidR="003B6EAE" w:rsidRDefault="00357DE1" w:rsidP="007272A6">
      <w:r w:rsidRPr="00965B5E">
        <w:t>More context requirement</w:t>
      </w:r>
      <w:r w:rsidR="00965B5E">
        <w:t>s need to be checked for compatibility, e.g., range of SNR/SINR</w:t>
      </w:r>
      <w:r w:rsidR="00F46520">
        <w:t>. See the discussion on metadata of training data</w:t>
      </w:r>
      <w:r w:rsidR="00965B5E">
        <w:t xml:space="preserve"> in section</w:t>
      </w:r>
      <w:r w:rsidR="00F46520">
        <w:t xml:space="preserve"> </w:t>
      </w:r>
      <w:r w:rsidR="00E70DE4">
        <w:fldChar w:fldCharType="begin"/>
      </w:r>
      <w:r w:rsidR="00E70DE4">
        <w:instrText xml:space="preserve"> REF _Ref178955360 \r </w:instrText>
      </w:r>
      <w:r w:rsidR="00E70DE4">
        <w:fldChar w:fldCharType="separate"/>
      </w:r>
      <w:r w:rsidR="00C713E4">
        <w:t>5.2</w:t>
      </w:r>
      <w:r w:rsidR="00E70DE4">
        <w:fldChar w:fldCharType="end"/>
      </w:r>
      <w:r w:rsidR="00965B5E">
        <w:t>.</w:t>
      </w:r>
    </w:p>
    <w:p w14:paraId="10A53324" w14:textId="518137CB" w:rsidR="00CB4CC9" w:rsidRDefault="00CB4CC9" w:rsidP="00C63AEF">
      <w:pPr>
        <w:pStyle w:val="Heading2"/>
      </w:pPr>
      <w:bookmarkStart w:id="2469" w:name="_Ref163214427"/>
      <w:bookmarkStart w:id="2470" w:name="_Toc189845046"/>
      <w:r w:rsidRPr="004151D0">
        <w:t>Consistency</w:t>
      </w:r>
      <w:r w:rsidRPr="00CB4CC9">
        <w:t xml:space="preserve"> </w:t>
      </w:r>
      <w:r w:rsidR="00A47917">
        <w:t xml:space="preserve">aspects </w:t>
      </w:r>
      <w:r>
        <w:t>in general</w:t>
      </w:r>
      <w:bookmarkEnd w:id="2470"/>
    </w:p>
    <w:p w14:paraId="58519CF0" w14:textId="2958AA20" w:rsidR="003643D4" w:rsidRDefault="003643D4" w:rsidP="003643D4">
      <w:r>
        <w:t xml:space="preserve">In general, the observed fingerprint of a location is the composite picture including transmitter effect, radio channel, and receiver effect. To correctly determine a UE location based on fingerprinting, the features of the composite picture need to stay (approximately) the same for different UEs (e.g., PRU and normal UE) at different times (e.g., training data collection, model inference). </w:t>
      </w:r>
      <w:proofErr w:type="gramStart"/>
      <w:r>
        <w:t>Thus</w:t>
      </w:r>
      <w:proofErr w:type="gramEnd"/>
      <w:r>
        <w:t xml:space="preserve"> it is necessary to ensure consistency in any transmitter behavior (e.g., PRS configuration) and receiver behavior (e.g., measurement type and granularity, at least for Case 2b/3b) that affect the observed fingerprint. </w:t>
      </w:r>
    </w:p>
    <w:p w14:paraId="4DFE795B" w14:textId="0276BDC9" w:rsidR="003643D4" w:rsidRDefault="003643D4" w:rsidP="003643D4">
      <w:proofErr w:type="gramStart"/>
      <w:r>
        <w:t>Similar to</w:t>
      </w:r>
      <w:proofErr w:type="gramEnd"/>
      <w:r>
        <w:t xml:space="preserve"> the consistency issues discussed for the training data collection phase (see section </w:t>
      </w:r>
      <w:r w:rsidR="00E70DE4">
        <w:fldChar w:fldCharType="begin"/>
      </w:r>
      <w:r w:rsidR="00E70DE4">
        <w:instrText xml:space="preserve"> REF _Ref178955360 \r </w:instrText>
      </w:r>
      <w:r w:rsidR="00E70DE4">
        <w:fldChar w:fldCharType="separate"/>
      </w:r>
      <w:r w:rsidR="00C713E4">
        <w:t>5.2</w:t>
      </w:r>
      <w:r w:rsidR="00E70DE4">
        <w:fldChar w:fldCharType="end"/>
      </w:r>
      <w:r>
        <w:t>), for UE-side model, at the following need to be checked for consistency between training and inference.</w:t>
      </w:r>
    </w:p>
    <w:p w14:paraId="39109F38" w14:textId="6E8CA09B" w:rsidR="00EC459A" w:rsidRDefault="00EC459A" w:rsidP="00EC459A">
      <w:pPr>
        <w:pStyle w:val="ListParagraph"/>
        <w:numPr>
          <w:ilvl w:val="2"/>
          <w:numId w:val="18"/>
        </w:numPr>
      </w:pPr>
      <w:r>
        <w:t xml:space="preserve">Validity area (section </w:t>
      </w:r>
      <w:r w:rsidR="00E70DE4">
        <w:fldChar w:fldCharType="begin"/>
      </w:r>
      <w:r w:rsidR="00E70DE4">
        <w:instrText xml:space="preserve"> REF _Ref181977318 \r </w:instrText>
      </w:r>
      <w:r w:rsidR="00E70DE4">
        <w:fldChar w:fldCharType="separate"/>
      </w:r>
      <w:r w:rsidR="00C713E4">
        <w:t>7.2.1</w:t>
      </w:r>
      <w:r w:rsidR="00E70DE4">
        <w:fldChar w:fldCharType="end"/>
      </w:r>
      <w:r>
        <w:t>)</w:t>
      </w:r>
    </w:p>
    <w:p w14:paraId="6C607546" w14:textId="23F124DA" w:rsidR="003643D4" w:rsidRDefault="003643D4" w:rsidP="003643D4">
      <w:pPr>
        <w:pStyle w:val="ListParagraph"/>
        <w:numPr>
          <w:ilvl w:val="2"/>
          <w:numId w:val="18"/>
        </w:numPr>
      </w:pPr>
      <w:r>
        <w:t>Assistance data. This includes:</w:t>
      </w:r>
    </w:p>
    <w:p w14:paraId="4727133C" w14:textId="52B7B011" w:rsidR="003643D4" w:rsidRDefault="003643D4" w:rsidP="003643D4">
      <w:pPr>
        <w:pStyle w:val="ListParagraph"/>
        <w:numPr>
          <w:ilvl w:val="3"/>
          <w:numId w:val="18"/>
        </w:numPr>
      </w:pPr>
      <w:r>
        <w:t xml:space="preserve">Explicit configuration for RS reception (section </w:t>
      </w:r>
      <w:r w:rsidR="00E70DE4">
        <w:fldChar w:fldCharType="begin"/>
      </w:r>
      <w:r w:rsidR="00E70DE4">
        <w:instrText xml:space="preserve"> REF _Ref181977519 \r </w:instrText>
      </w:r>
      <w:r w:rsidR="00E70DE4">
        <w:fldChar w:fldCharType="separate"/>
      </w:r>
      <w:r w:rsidR="00C713E4">
        <w:t>7.2.2</w:t>
      </w:r>
      <w:r w:rsidR="00E70DE4">
        <w:fldChar w:fldCharType="end"/>
      </w:r>
      <w:r>
        <w:t>)</w:t>
      </w:r>
    </w:p>
    <w:p w14:paraId="0CF415EA" w14:textId="1B14A50C" w:rsidR="003643D4" w:rsidRDefault="003643D4" w:rsidP="003643D4">
      <w:pPr>
        <w:pStyle w:val="ListParagraph"/>
        <w:numPr>
          <w:ilvl w:val="3"/>
          <w:numId w:val="18"/>
        </w:numPr>
      </w:pPr>
      <w:r>
        <w:t>Associated ID for n</w:t>
      </w:r>
      <w:r w:rsidRPr="003643D4">
        <w:t>etwork-side additional conditions</w:t>
      </w:r>
      <w:r>
        <w:t xml:space="preserve"> (section </w:t>
      </w:r>
      <w:r w:rsidR="00E70DE4">
        <w:fldChar w:fldCharType="begin"/>
      </w:r>
      <w:r w:rsidR="00E70DE4">
        <w:instrText xml:space="preserve"> REF _Ref181977531 \r </w:instrText>
      </w:r>
      <w:r w:rsidR="00E70DE4">
        <w:fldChar w:fldCharType="separate"/>
      </w:r>
      <w:r w:rsidR="00C713E4">
        <w:t>7.2.3</w:t>
      </w:r>
      <w:r w:rsidR="00E70DE4">
        <w:fldChar w:fldCharType="end"/>
      </w:r>
      <w:r>
        <w:t>)</w:t>
      </w:r>
    </w:p>
    <w:p w14:paraId="215B97C9" w14:textId="326E521F" w:rsidR="003643D4" w:rsidRDefault="003643D4" w:rsidP="003643D4">
      <w:pPr>
        <w:pStyle w:val="ListParagraph"/>
        <w:numPr>
          <w:ilvl w:val="2"/>
          <w:numId w:val="18"/>
        </w:numPr>
      </w:pPr>
      <w:r>
        <w:t>S</w:t>
      </w:r>
      <w:r w:rsidRPr="003643D4">
        <w:t>ignal measurement configuration</w:t>
      </w:r>
      <w:r>
        <w:t xml:space="preserve"> (section </w:t>
      </w:r>
      <w:r w:rsidR="00E70DE4">
        <w:fldChar w:fldCharType="begin"/>
      </w:r>
      <w:r w:rsidR="00E70DE4">
        <w:instrText xml:space="preserve"> REF _Ref181977548 \r </w:instrText>
      </w:r>
      <w:r w:rsidR="00E70DE4">
        <w:fldChar w:fldCharType="separate"/>
      </w:r>
      <w:r w:rsidR="00C713E4">
        <w:t>7.2.4</w:t>
      </w:r>
      <w:r w:rsidR="00E70DE4">
        <w:fldChar w:fldCharType="end"/>
      </w:r>
      <w:r>
        <w:t>)</w:t>
      </w:r>
    </w:p>
    <w:p w14:paraId="5108C3F0" w14:textId="77777777" w:rsidR="003643D4" w:rsidRPr="003643D4" w:rsidRDefault="003643D4" w:rsidP="003643D4">
      <w:pPr>
        <w:rPr>
          <w:lang w:val="en-GB"/>
        </w:rPr>
      </w:pPr>
    </w:p>
    <w:p w14:paraId="1B76C82C" w14:textId="52DA2D1E" w:rsidR="00A47917" w:rsidRDefault="00A47917" w:rsidP="00CB4CC9">
      <w:pPr>
        <w:pStyle w:val="Heading3"/>
      </w:pPr>
      <w:bookmarkStart w:id="2471" w:name="_Toc181973116"/>
      <w:bookmarkStart w:id="2472" w:name="_Ref181977318"/>
      <w:bookmarkStart w:id="2473" w:name="_Toc189845047"/>
      <w:bookmarkEnd w:id="2471"/>
      <w:r>
        <w:t>Consistency of validity area</w:t>
      </w:r>
      <w:bookmarkEnd w:id="2472"/>
      <w:bookmarkEnd w:id="2473"/>
    </w:p>
    <w:p w14:paraId="3D1309F1" w14:textId="77777777" w:rsidR="00A47917" w:rsidRDefault="00A47917" w:rsidP="00A47917">
      <w:r>
        <w:t xml:space="preserve">Regarding deployment environment identifiers, 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t xml:space="preserve"> needs to be recorded for an AI/ML model when model training is performed. When the trained model is checked for potential activation, 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t xml:space="preserve"> can be checked against the deployment environment. It can be defined as:</w:t>
      </w:r>
    </w:p>
    <w:tbl>
      <w:tblPr>
        <w:tblStyle w:val="TableGrid"/>
        <w:tblW w:w="0" w:type="auto"/>
        <w:tblLook w:val="04A0" w:firstRow="1" w:lastRow="0" w:firstColumn="1" w:lastColumn="0" w:noHBand="0" w:noVBand="1"/>
      </w:tblPr>
      <w:tblGrid>
        <w:gridCol w:w="2425"/>
        <w:gridCol w:w="7537"/>
      </w:tblGrid>
      <w:tr w:rsidR="00A47917" w14:paraId="5172583D" w14:textId="77777777" w:rsidTr="00920A0A">
        <w:tc>
          <w:tcPr>
            <w:tcW w:w="2425" w:type="dxa"/>
          </w:tcPr>
          <w:p w14:paraId="1E712CBB" w14:textId="77777777" w:rsidR="00A47917" w:rsidRDefault="00A47917" w:rsidP="00920A0A">
            <w:r>
              <w:t>Model inference validity area</w:t>
            </w:r>
          </w:p>
        </w:tc>
        <w:tc>
          <w:tcPr>
            <w:tcW w:w="7537" w:type="dxa"/>
          </w:tcPr>
          <w:p w14:paraId="76CDD507" w14:textId="77777777" w:rsidR="00A47917" w:rsidRDefault="00A47917" w:rsidP="00920A0A">
            <w:r>
              <w:rPr>
                <w:snapToGrid w:val="0"/>
              </w:rPr>
              <w:t>T</w:t>
            </w:r>
            <w:r w:rsidRPr="00C96D6C">
              <w:rPr>
                <w:snapToGrid w:val="0"/>
              </w:rPr>
              <w:t>he network area for which th</w:t>
            </w:r>
            <w:r>
              <w:rPr>
                <w:snapToGrid w:val="0"/>
              </w:rPr>
              <w:t>e model inference</w:t>
            </w:r>
            <w:r w:rsidRPr="00C96D6C">
              <w:rPr>
                <w:snapToGrid w:val="0"/>
              </w:rPr>
              <w:t xml:space="preserve"> is valid.</w:t>
            </w:r>
          </w:p>
        </w:tc>
      </w:tr>
    </w:tbl>
    <w:p w14:paraId="2AB00F2D" w14:textId="77777777" w:rsidR="00A47917" w:rsidRDefault="00A47917" w:rsidP="00A47917"/>
    <w:p w14:paraId="3F430438" w14:textId="41EFD8D0" w:rsidR="00A47917" w:rsidRDefault="00A47917" w:rsidP="00A47917">
      <w:r>
        <w:t xml:space="preserve">The 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t xml:space="preserve"> may or may not be different from the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t xml:space="preserve"> mentioned in section </w:t>
      </w:r>
      <w:r w:rsidR="00E70DE4">
        <w:fldChar w:fldCharType="begin"/>
      </w:r>
      <w:r w:rsidR="00E70DE4">
        <w:instrText xml:space="preserve"> REF _Ref178955267 \r </w:instrText>
      </w:r>
      <w:r w:rsidR="00E70DE4">
        <w:fldChar w:fldCharType="separate"/>
      </w:r>
      <w:r w:rsidR="00C713E4">
        <w:t>5.2.2</w:t>
      </w:r>
      <w:r w:rsidR="00E70DE4">
        <w:fldChar w:fldCharType="end"/>
      </w:r>
      <w:r>
        <w:t xml:space="preserve">. </w:t>
      </w:r>
    </w:p>
    <w:p w14:paraId="0905AE24" w14:textId="19E0E46F" w:rsidR="00A47917" w:rsidRPr="00194B5B" w:rsidRDefault="00A47917" w:rsidP="00445244">
      <w:pPr>
        <w:pStyle w:val="ListParagraph"/>
        <w:ind w:hanging="720"/>
      </w:pPr>
      <w:r w:rsidRPr="00194B5B">
        <w:t xml:space="preserve">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194B5B">
        <w:t xml:space="preserve">: this describes the area that training dataset is collected.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576A2E">
        <w:rPr>
          <w:rFonts w:eastAsiaTheme="minorEastAsia"/>
        </w:rPr>
        <w:t xml:space="preserve"> is from the perspective of training data collection entity, as explained in </w:t>
      </w:r>
      <w:r w:rsidRPr="00194B5B">
        <w:t xml:space="preserve">section </w:t>
      </w:r>
      <w:r>
        <w:fldChar w:fldCharType="begin"/>
      </w:r>
      <w:r>
        <w:instrText>REF _Ref163213782 \r</w:instrText>
      </w:r>
      <w:r>
        <w:fldChar w:fldCharType="separate"/>
      </w:r>
      <w:r w:rsidR="00C713E4">
        <w:t>5.1.2</w:t>
      </w:r>
      <w:r>
        <w:fldChar w:fldCharType="end"/>
      </w:r>
      <w:r w:rsidRPr="00576A2E">
        <w:rPr>
          <w:rFonts w:eastAsiaTheme="minorEastAsia"/>
        </w:rPr>
        <w:t>.</w:t>
      </w:r>
      <w:r w:rsidRPr="00194B5B">
        <w:t xml:space="preserve"> For example, in </w:t>
      </w:r>
      <w:r w:rsidR="00E70DE4">
        <w:fldChar w:fldCharType="begin"/>
      </w:r>
      <w:r w:rsidR="00E70DE4">
        <w:instrText xml:space="preserve"> REF _Ref181981490 </w:instrText>
      </w:r>
      <w:r w:rsidR="00E70DE4">
        <w:fldChar w:fldCharType="separate"/>
      </w:r>
      <w:r w:rsidR="00C713E4" w:rsidRPr="00E215F0">
        <w:t xml:space="preserve">Figure </w:t>
      </w:r>
      <w:r w:rsidR="00C713E4">
        <w:rPr>
          <w:noProof/>
        </w:rPr>
        <w:t>4</w:t>
      </w:r>
      <w:r w:rsidR="00E70DE4">
        <w:rPr>
          <w:noProof/>
        </w:rPr>
        <w:fldChar w:fldCharType="end"/>
      </w:r>
      <w:r w:rsidRPr="00194B5B">
        <w:t>, the training data includes measurements associated with 18 TRPs, TRP {</w:t>
      </w:r>
      <w:proofErr w:type="gramStart"/>
      <w:r w:rsidRPr="00194B5B">
        <w:t>0,1,…</w:t>
      </w:r>
      <w:proofErr w:type="gramEnd"/>
      <w:r w:rsidRPr="00194B5B">
        <w:t xml:space="preserve">,17}. Hence the training dataset validity area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194B5B">
        <w:t xml:space="preserve"> = TRP {</w:t>
      </w:r>
      <w:proofErr w:type="gramStart"/>
      <w:r w:rsidRPr="00194B5B">
        <w:t>0,1,…</w:t>
      </w:r>
      <w:proofErr w:type="gramEnd"/>
      <w:r w:rsidRPr="00194B5B">
        <w:t xml:space="preserve">,17} covers the entire factory floor. </w:t>
      </w:r>
    </w:p>
    <w:p w14:paraId="39F64DBB" w14:textId="1A8F21D8" w:rsidR="00A47917" w:rsidRPr="00194B5B" w:rsidRDefault="00A47917" w:rsidP="007767DA">
      <w:pPr>
        <w:pStyle w:val="ListParagraph"/>
        <w:ind w:hanging="720"/>
      </w:pPr>
      <w:r w:rsidRPr="00194B5B">
        <w:rPr>
          <w:rFonts w:eastAsiaTheme="minorEastAsia"/>
        </w:rPr>
        <w:t xml:space="preserve">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194B5B">
        <w:rPr>
          <w:rFonts w:eastAsiaTheme="minorEastAsia"/>
        </w:rPr>
        <w:t xml:space="preserve">: </w:t>
      </w:r>
      <w:r w:rsidRPr="00194B5B">
        <w:t xml:space="preserve">this describes the coverage area that the trained model is used to perform inference for.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194B5B">
        <w:rPr>
          <w:rFonts w:eastAsiaTheme="minorEastAsia"/>
        </w:rPr>
        <w:t xml:space="preserve"> is from the perspective of model inference entity.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194B5B">
        <w:rPr>
          <w:rFonts w:eastAsiaTheme="minorEastAsia"/>
        </w:rPr>
        <w:t xml:space="preserve"> </w:t>
      </w:r>
      <w:r w:rsidRPr="00194B5B">
        <w:t xml:space="preserve">can be the same as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194B5B">
        <w:rPr>
          <w:rFonts w:eastAsiaTheme="minorEastAsia"/>
        </w:rPr>
        <w:t>,</w:t>
      </w:r>
      <w:r w:rsidRPr="00194B5B">
        <w:t xml:space="preserve"> </w:t>
      </w:r>
      <w:r w:rsidRPr="00194B5B">
        <w:rPr>
          <w:rFonts w:eastAsiaTheme="minorEastAsia"/>
        </w:rPr>
        <w:t xml:space="preserve">or a subset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194B5B">
        <w:rPr>
          <w:rFonts w:eastAsiaTheme="minorEastAsia"/>
        </w:rPr>
        <w:t xml:space="preserve">. </w:t>
      </w:r>
      <w:r w:rsidRPr="00194B5B">
        <w:t>For example, in</w:t>
      </w:r>
      <w:r>
        <w:t xml:space="preserve"> </w:t>
      </w:r>
      <w:r w:rsidR="00E70DE4">
        <w:fldChar w:fldCharType="begin"/>
      </w:r>
      <w:r w:rsidR="00E70DE4">
        <w:instrText xml:space="preserve"> REF _Ref181981490 </w:instrText>
      </w:r>
      <w:r w:rsidR="00E70DE4">
        <w:fldChar w:fldCharType="separate"/>
      </w:r>
      <w:r w:rsidR="00C713E4" w:rsidRPr="00E215F0">
        <w:t xml:space="preserve">Figure </w:t>
      </w:r>
      <w:r w:rsidR="00C713E4">
        <w:rPr>
          <w:noProof/>
        </w:rPr>
        <w:t>4</w:t>
      </w:r>
      <w:r w:rsidR="00E70DE4">
        <w:rPr>
          <w:noProof/>
        </w:rPr>
        <w:fldChar w:fldCharType="end"/>
      </w:r>
      <w:r w:rsidRPr="00194B5B">
        <w:t xml:space="preserve">, the model inference entity may use measurements associated with 9 TRPs on the left hand side for inference,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Pr="00194B5B">
        <w:rPr>
          <w:rFonts w:eastAsiaTheme="minorEastAsia"/>
        </w:rPr>
        <w:t xml:space="preserve">= </w:t>
      </w:r>
      <w:r w:rsidRPr="00194B5B">
        <w:t xml:space="preserve">TRP {0,1,…,8}, which is a sub-area of </w:t>
      </w:r>
      <m:oMath>
        <m:sSub>
          <m:sSubPr>
            <m:ctrlPr>
              <w:rPr>
                <w:rFonts w:ascii="Cambria Math" w:hAnsi="Cambria Math"/>
                <w:i/>
              </w:rPr>
            </m:ctrlPr>
          </m:sSubPr>
          <m:e>
            <m:r>
              <w:rPr>
                <w:rFonts w:ascii="Cambria Math" w:hAnsi="Cambria Math"/>
              </w:rPr>
              <m:t>A</m:t>
            </m:r>
          </m:e>
          <m:sub>
            <m:r>
              <w:rPr>
                <w:rFonts w:ascii="Cambria Math" w:hAnsi="Cambria Math"/>
              </w:rPr>
              <m:t>dataset</m:t>
            </m:r>
          </m:sub>
        </m:sSub>
      </m:oMath>
      <w:r w:rsidRPr="00194B5B">
        <w:rPr>
          <w:rFonts w:eastAsiaTheme="minorEastAsia"/>
        </w:rPr>
        <w:t xml:space="preserve">. </w:t>
      </w:r>
    </w:p>
    <w:p w14:paraId="3910D0AE" w14:textId="77777777" w:rsidR="00A47917" w:rsidRDefault="00A47917" w:rsidP="00A47917">
      <w:pPr>
        <w:jc w:val="center"/>
      </w:pPr>
      <w:r>
        <w:rPr>
          <w:noProof/>
        </w:rPr>
        <w:drawing>
          <wp:inline distT="0" distB="0" distL="0" distR="0" wp14:anchorId="68B602E6" wp14:editId="7DFFAD3B">
            <wp:extent cx="4339304" cy="3028566"/>
            <wp:effectExtent l="0" t="0" r="4445" b="635"/>
            <wp:docPr id="141300383" name="Picture 14130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9069" cy="3035382"/>
                    </a:xfrm>
                    <a:prstGeom prst="rect">
                      <a:avLst/>
                    </a:prstGeom>
                    <a:noFill/>
                  </pic:spPr>
                </pic:pic>
              </a:graphicData>
            </a:graphic>
          </wp:inline>
        </w:drawing>
      </w:r>
    </w:p>
    <w:p w14:paraId="55228391" w14:textId="0DE7BD46" w:rsidR="00A47917" w:rsidRDefault="00A47917" w:rsidP="00A47917">
      <w:pPr>
        <w:pStyle w:val="Caption"/>
      </w:pPr>
      <w:bookmarkStart w:id="2474" w:name="_Ref181981490"/>
      <w:r w:rsidRPr="00E215F0">
        <w:t xml:space="preserve">Figure </w:t>
      </w:r>
      <w:r w:rsidR="00E70DE4">
        <w:fldChar w:fldCharType="begin"/>
      </w:r>
      <w:r w:rsidR="00E70DE4">
        <w:instrText xml:space="preserve"> SEQ Figure \* ARABIC </w:instrText>
      </w:r>
      <w:r w:rsidR="00E70DE4">
        <w:fldChar w:fldCharType="separate"/>
      </w:r>
      <w:r w:rsidR="00C713E4">
        <w:rPr>
          <w:noProof/>
        </w:rPr>
        <w:t>4</w:t>
      </w:r>
      <w:r w:rsidR="00E70DE4">
        <w:rPr>
          <w:noProof/>
        </w:rPr>
        <w:fldChar w:fldCharType="end"/>
      </w:r>
      <w:bookmarkEnd w:id="2474"/>
      <w:r w:rsidRPr="00E215F0">
        <w:t xml:space="preserve">. </w:t>
      </w:r>
      <w:r>
        <w:t xml:space="preserve">An example where the model inference validity area is a sub-area of training dataset validity area. </w:t>
      </w:r>
    </w:p>
    <w:p w14:paraId="281E4225" w14:textId="77777777" w:rsidR="00A47917" w:rsidRDefault="00A47917" w:rsidP="00A47917">
      <w:pPr>
        <w:jc w:val="center"/>
      </w:pPr>
    </w:p>
    <w:p w14:paraId="7897A4DE" w14:textId="720FD793" w:rsidR="009A0390" w:rsidRDefault="009A0390" w:rsidP="009A0390">
      <w:r>
        <w:t>It should be clarified that the m</w:t>
      </w:r>
      <w:r w:rsidRPr="00DC32F9">
        <w:t>odel inference validity area</w:t>
      </w:r>
      <w:r>
        <w:t xml:space="preserve"> is a property of the trained model. It shall not be confused with the legacy</w:t>
      </w:r>
      <w:r w:rsidR="00FF4913">
        <w:t xml:space="preserve"> </w:t>
      </w:r>
      <w:r>
        <w:t xml:space="preserve">IE </w:t>
      </w:r>
      <w:r w:rsidRPr="009A0390">
        <w:rPr>
          <w:i/>
          <w:iCs/>
        </w:rPr>
        <w:t>assistanceDataValidityArea-r17</w:t>
      </w:r>
      <w:r>
        <w:t>, which is for the v</w:t>
      </w:r>
      <w:r w:rsidRPr="009A0390">
        <w:t xml:space="preserve">alidity </w:t>
      </w:r>
      <w:r>
        <w:t>a</w:t>
      </w:r>
      <w:r w:rsidRPr="009A0390">
        <w:t xml:space="preserve">rea of the </w:t>
      </w:r>
      <w:r>
        <w:t>a</w:t>
      </w:r>
      <w:r w:rsidRPr="009A0390">
        <w:t xml:space="preserve">ssistance </w:t>
      </w:r>
      <w:r>
        <w:t>d</w:t>
      </w:r>
      <w:r w:rsidRPr="009A0390">
        <w:t>ata</w:t>
      </w:r>
      <w:r>
        <w:t xml:space="preserve"> for the associated legacy method, see below for DL-TDOA and DL-</w:t>
      </w:r>
      <w:proofErr w:type="spellStart"/>
      <w:r>
        <w:t>AoD</w:t>
      </w:r>
      <w:proofErr w:type="spellEnd"/>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0390" w:rsidRPr="00C96D6C" w14:paraId="061EE276" w14:textId="77777777">
        <w:trPr>
          <w:cantSplit/>
        </w:trPr>
        <w:tc>
          <w:tcPr>
            <w:tcW w:w="9639" w:type="dxa"/>
          </w:tcPr>
          <w:p w14:paraId="2A535865" w14:textId="77777777" w:rsidR="009A0390" w:rsidRPr="00C96D6C" w:rsidRDefault="009A0390">
            <w:pPr>
              <w:pStyle w:val="TAL"/>
              <w:keepNext w:val="0"/>
              <w:keepLines w:val="0"/>
              <w:widowControl w:val="0"/>
              <w:rPr>
                <w:b/>
                <w:bCs/>
                <w:i/>
                <w:iCs/>
                <w:snapToGrid w:val="0"/>
              </w:rPr>
            </w:pPr>
            <w:proofErr w:type="spellStart"/>
            <w:r w:rsidRPr="00C96D6C">
              <w:rPr>
                <w:b/>
                <w:bCs/>
                <w:i/>
                <w:iCs/>
                <w:snapToGrid w:val="0"/>
              </w:rPr>
              <w:t>assistanceDataValidityArea</w:t>
            </w:r>
            <w:proofErr w:type="spellEnd"/>
          </w:p>
          <w:p w14:paraId="5A72EDEF" w14:textId="77777777" w:rsidR="009A0390" w:rsidRPr="00C96D6C" w:rsidRDefault="009A0390">
            <w:pPr>
              <w:pStyle w:val="TAL"/>
              <w:keepNext w:val="0"/>
              <w:keepLines w:val="0"/>
              <w:widowControl w:val="0"/>
              <w:rPr>
                <w:b/>
                <w:i/>
                <w:snapToGrid w:val="0"/>
                <w:lang w:val="en-US"/>
              </w:rPr>
            </w:pPr>
            <w:r w:rsidRPr="5632A8DD">
              <w:rPr>
                <w:snapToGrid w:val="0"/>
                <w:lang w:val="en-US"/>
              </w:rPr>
              <w:t xml:space="preserve">This field specifies the network area for which this </w:t>
            </w:r>
            <w:r w:rsidRPr="5632A8DD">
              <w:rPr>
                <w:i/>
                <w:snapToGrid w:val="0"/>
                <w:lang w:val="en-US"/>
              </w:rPr>
              <w:t>NR-DL-TDOA-</w:t>
            </w:r>
            <w:proofErr w:type="spellStart"/>
            <w:r w:rsidRPr="5632A8DD">
              <w:rPr>
                <w:i/>
                <w:snapToGrid w:val="0"/>
                <w:lang w:val="en-US"/>
              </w:rPr>
              <w:t>ProvideAssistanceData</w:t>
            </w:r>
            <w:proofErr w:type="spellEnd"/>
            <w:r w:rsidRPr="5632A8DD">
              <w:rPr>
                <w:snapToGrid w:val="0"/>
                <w:lang w:val="en-US"/>
              </w:rPr>
              <w:t xml:space="preserve"> is valid.</w:t>
            </w:r>
          </w:p>
        </w:tc>
      </w:tr>
    </w:tbl>
    <w:p w14:paraId="24567086" w14:textId="77777777" w:rsidR="009A0390" w:rsidRDefault="009A0390" w:rsidP="009A039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0390" w:rsidRPr="00C96D6C" w14:paraId="3D3B9148" w14:textId="77777777">
        <w:trPr>
          <w:cantSplit/>
        </w:trPr>
        <w:tc>
          <w:tcPr>
            <w:tcW w:w="9639" w:type="dxa"/>
          </w:tcPr>
          <w:p w14:paraId="4E5EA8FB" w14:textId="77777777" w:rsidR="009A0390" w:rsidRPr="00C96D6C" w:rsidRDefault="009A0390">
            <w:pPr>
              <w:pStyle w:val="TAL"/>
              <w:keepNext w:val="0"/>
              <w:keepLines w:val="0"/>
              <w:widowControl w:val="0"/>
              <w:rPr>
                <w:b/>
                <w:bCs/>
                <w:i/>
                <w:iCs/>
                <w:snapToGrid w:val="0"/>
              </w:rPr>
            </w:pPr>
            <w:proofErr w:type="spellStart"/>
            <w:r w:rsidRPr="00C96D6C">
              <w:rPr>
                <w:b/>
                <w:bCs/>
                <w:i/>
                <w:iCs/>
                <w:snapToGrid w:val="0"/>
              </w:rPr>
              <w:t>assistanceDataValidityArea</w:t>
            </w:r>
            <w:proofErr w:type="spellEnd"/>
          </w:p>
          <w:p w14:paraId="20858492" w14:textId="77777777" w:rsidR="009A0390" w:rsidRPr="00C96D6C" w:rsidRDefault="009A0390">
            <w:pPr>
              <w:pStyle w:val="TAL"/>
              <w:keepNext w:val="0"/>
              <w:keepLines w:val="0"/>
              <w:widowControl w:val="0"/>
              <w:rPr>
                <w:b/>
                <w:i/>
                <w:snapToGrid w:val="0"/>
                <w:lang w:val="en-US"/>
              </w:rPr>
            </w:pPr>
            <w:r w:rsidRPr="5632A8DD">
              <w:rPr>
                <w:snapToGrid w:val="0"/>
                <w:lang w:val="en-US"/>
              </w:rPr>
              <w:t xml:space="preserve">This field specifies the network area for which this </w:t>
            </w:r>
            <w:r w:rsidRPr="5632A8DD">
              <w:rPr>
                <w:i/>
                <w:snapToGrid w:val="0"/>
                <w:lang w:val="en-US"/>
              </w:rPr>
              <w:t>NR-DL-</w:t>
            </w:r>
            <w:proofErr w:type="spellStart"/>
            <w:r w:rsidRPr="5632A8DD">
              <w:rPr>
                <w:i/>
                <w:snapToGrid w:val="0"/>
                <w:lang w:val="en-US"/>
              </w:rPr>
              <w:t>AoD</w:t>
            </w:r>
            <w:proofErr w:type="spellEnd"/>
            <w:r w:rsidRPr="5632A8DD">
              <w:rPr>
                <w:i/>
                <w:snapToGrid w:val="0"/>
                <w:lang w:val="en-US"/>
              </w:rPr>
              <w:t>-</w:t>
            </w:r>
            <w:proofErr w:type="spellStart"/>
            <w:r w:rsidRPr="5632A8DD">
              <w:rPr>
                <w:i/>
                <w:snapToGrid w:val="0"/>
                <w:lang w:val="en-US"/>
              </w:rPr>
              <w:t>ProvideAssistanceData</w:t>
            </w:r>
            <w:proofErr w:type="spellEnd"/>
            <w:r w:rsidRPr="5632A8DD">
              <w:rPr>
                <w:i/>
                <w:snapToGrid w:val="0"/>
                <w:lang w:val="en-US"/>
              </w:rPr>
              <w:t xml:space="preserve"> </w:t>
            </w:r>
            <w:r w:rsidRPr="5632A8DD">
              <w:rPr>
                <w:snapToGrid w:val="0"/>
                <w:lang w:val="en-US"/>
              </w:rPr>
              <w:t>is valid.</w:t>
            </w:r>
          </w:p>
        </w:tc>
      </w:tr>
    </w:tbl>
    <w:p w14:paraId="77929B59" w14:textId="77777777" w:rsidR="009A0390" w:rsidRDefault="009A0390" w:rsidP="009A0390"/>
    <w:p w14:paraId="637ACD4C" w14:textId="5482D5A8" w:rsidR="009A0390" w:rsidRDefault="009A0390" w:rsidP="00B774AD">
      <w:r>
        <w:t>Another difference is, for m</w:t>
      </w:r>
      <w:r w:rsidRPr="00DC32F9">
        <w:t>odel inference validity area</w:t>
      </w:r>
      <w:r>
        <w:t xml:space="preserve">, a cell or a TRP ID may belong to two different areas, i.e., two different areas can overlap. In contrast, two different </w:t>
      </w:r>
      <w:proofErr w:type="spellStart"/>
      <w:r w:rsidRPr="009A0390">
        <w:rPr>
          <w:i/>
          <w:iCs/>
          <w:snapToGrid w:val="0"/>
        </w:rPr>
        <w:t>assistanceDataValidityArea</w:t>
      </w:r>
      <w:proofErr w:type="spellEnd"/>
      <w:r>
        <w:t xml:space="preserve"> cannot overlap, i.e., a cell can appear in at most one </w:t>
      </w:r>
      <w:proofErr w:type="spellStart"/>
      <w:r w:rsidRPr="009A0390">
        <w:rPr>
          <w:i/>
          <w:iCs/>
          <w:snapToGrid w:val="0"/>
        </w:rPr>
        <w:t>assistanceDataValidityArea</w:t>
      </w:r>
      <w:proofErr w:type="spellEnd"/>
      <w:r w:rsidR="00BD5F8C">
        <w:t xml:space="preserve"> (see </w:t>
      </w:r>
      <w:proofErr w:type="spellStart"/>
      <w:r w:rsidR="00BD5F8C" w:rsidRPr="00AC7BD9">
        <w:rPr>
          <w:szCs w:val="20"/>
        </w:rPr>
        <w:t>AreaID-CellList</w:t>
      </w:r>
      <w:proofErr w:type="spellEnd"/>
      <w:r w:rsidR="00BD5F8C">
        <w:t xml:space="preserve"> description: “</w:t>
      </w:r>
      <w:r w:rsidR="00BD5F8C" w:rsidRPr="00BD5F8C">
        <w:rPr>
          <w:szCs w:val="20"/>
        </w:rPr>
        <w:t>Each cell is included in only one area.</w:t>
      </w:r>
      <w:r w:rsidR="00BD5F8C">
        <w:t>”).</w:t>
      </w:r>
      <w:r w:rsidR="0020686F">
        <w:t xml:space="preserve"> See explanation in section </w:t>
      </w:r>
      <w:r w:rsidR="00E70DE4">
        <w:fldChar w:fldCharType="begin"/>
      </w:r>
      <w:r w:rsidR="00E70DE4">
        <w:instrText xml:space="preserve"> REF _Ref178955267 \r </w:instrText>
      </w:r>
      <w:r w:rsidR="00E70DE4">
        <w:fldChar w:fldCharType="separate"/>
      </w:r>
      <w:r w:rsidR="00C713E4">
        <w:t>5.2.2</w:t>
      </w:r>
      <w:r w:rsidR="00E70DE4">
        <w:fldChar w:fldCharType="end"/>
      </w:r>
      <w:r w:rsidR="0020686F">
        <w:t xml:space="preserve"> as well.</w:t>
      </w:r>
    </w:p>
    <w:p w14:paraId="396136E9" w14:textId="221B942F" w:rsidR="001813F8" w:rsidRDefault="001813F8" w:rsidP="001813F8">
      <w:r>
        <w:t xml:space="preserve">In terms of signaling, </w:t>
      </w:r>
      <w:r w:rsidR="00F63CC1">
        <w:t xml:space="preserve">the validity area </w:t>
      </w:r>
      <w:r>
        <w:t xml:space="preserve">does not require </w:t>
      </w:r>
      <w:r w:rsidR="00F63CC1">
        <w:t xml:space="preserve">any </w:t>
      </w:r>
      <w:r>
        <w:t>new IE</w:t>
      </w:r>
      <w:r w:rsidR="00F63CC1">
        <w:t xml:space="preserve"> at model inference stage</w:t>
      </w:r>
      <w:r>
        <w:t>.</w:t>
      </w:r>
      <w:r w:rsidR="00F63CC1">
        <w:t xml:space="preserve"> The UE simply checks the observed TRP list against the</w:t>
      </w:r>
      <w:r>
        <w:t xml:space="preserve"> </w:t>
      </w:r>
      <w:r w:rsidR="00F63CC1">
        <w:t xml:space="preserve">model inference validity area </w:t>
      </w:r>
      <m:oMath>
        <m:sSub>
          <m:sSubPr>
            <m:ctrlPr>
              <w:rPr>
                <w:rFonts w:ascii="Cambria Math" w:hAnsi="Cambria Math"/>
                <w:i/>
              </w:rPr>
            </m:ctrlPr>
          </m:sSubPr>
          <m:e>
            <m:r>
              <w:rPr>
                <w:rFonts w:ascii="Cambria Math" w:hAnsi="Cambria Math"/>
              </w:rPr>
              <m:t>A</m:t>
            </m:r>
          </m:e>
          <m:sub>
            <m:r>
              <w:rPr>
                <w:rFonts w:ascii="Cambria Math" w:hAnsi="Cambria Math"/>
              </w:rPr>
              <m:t>inference</m:t>
            </m:r>
          </m:sub>
        </m:sSub>
      </m:oMath>
      <w:r w:rsidR="00F63CC1">
        <w:t>, which has been stored as a part of metadata for the trained model.</w:t>
      </w:r>
    </w:p>
    <w:p w14:paraId="2BDC5192" w14:textId="77777777" w:rsidR="00A47917" w:rsidRDefault="00A47917" w:rsidP="00A47917">
      <w:pPr>
        <w:pStyle w:val="Proposal"/>
      </w:pPr>
      <w:bookmarkStart w:id="2475" w:name="_Toc189845174"/>
      <w:r>
        <w:t>The model training entity records the m</w:t>
      </w:r>
      <w:r w:rsidRPr="00DC32F9">
        <w:t>odel inference validity area</w:t>
      </w:r>
      <w:r>
        <w:t xml:space="preserve"> as a part of metadata for the trained model.</w:t>
      </w:r>
      <w:bookmarkEnd w:id="2475"/>
    </w:p>
    <w:p w14:paraId="3E32167F" w14:textId="77777777" w:rsidR="00A47917" w:rsidRDefault="00A47917" w:rsidP="00A47917">
      <w:pPr>
        <w:pStyle w:val="Proposal"/>
      </w:pPr>
      <w:bookmarkStart w:id="2476" w:name="_Toc189845175"/>
      <w:r>
        <w:t>When preparing for model inference, the m</w:t>
      </w:r>
      <w:r w:rsidRPr="00CD59F9">
        <w:t>odel inference validity area</w:t>
      </w:r>
      <w:r>
        <w:t xml:space="preserve"> is checked for compatibility with the deployment area.</w:t>
      </w:r>
      <w:bookmarkEnd w:id="2476"/>
    </w:p>
    <w:p w14:paraId="44B2D2EA" w14:textId="77777777" w:rsidR="00A47917" w:rsidRPr="00C17D81" w:rsidRDefault="00A47917" w:rsidP="000D7516"/>
    <w:p w14:paraId="736B2950" w14:textId="5373C5C4" w:rsidR="00C63AEF" w:rsidRPr="004151D0" w:rsidRDefault="00C63AEF" w:rsidP="00CB4CC9">
      <w:pPr>
        <w:pStyle w:val="Heading3"/>
      </w:pPr>
      <w:bookmarkStart w:id="2477" w:name="_Ref181977519"/>
      <w:bookmarkStart w:id="2478" w:name="_Toc189845048"/>
      <w:r w:rsidRPr="004151D0">
        <w:t xml:space="preserve">Consistency </w:t>
      </w:r>
      <w:r>
        <w:t>of RS configuration between model</w:t>
      </w:r>
      <w:r w:rsidRPr="004151D0">
        <w:t xml:space="preserve"> inference and </w:t>
      </w:r>
      <w:r>
        <w:t xml:space="preserve">model </w:t>
      </w:r>
      <w:r w:rsidRPr="004151D0">
        <w:t>training</w:t>
      </w:r>
      <w:bookmarkEnd w:id="2469"/>
      <w:bookmarkEnd w:id="2477"/>
      <w:bookmarkEnd w:id="2478"/>
    </w:p>
    <w:p w14:paraId="7AE9DE86" w14:textId="144241E8" w:rsidR="002D2659" w:rsidRPr="00194B5B" w:rsidRDefault="00C63AEF" w:rsidP="002D2659">
      <w:r>
        <w:t xml:space="preserve">For </w:t>
      </w:r>
      <w:r w:rsidRPr="00A940D2">
        <w:t>configuration of reference signal transmission and measurement</w:t>
      </w:r>
      <w:r>
        <w:t xml:space="preserve">, DL PRS and UL SRS need to be addressed for the relevant positioning cases. </w:t>
      </w:r>
      <w:r w:rsidR="002D2659">
        <w:t xml:space="preserve">When the AI/ML model takes DL PRS measurement as input, for configuration of PRS transmission and measurement, it is necessary to ensure that the same configuration is used in training data collection stage and model inference stage. Also, the same configuration is used for all PRUs and UEs, for example, the IDs (e.g., TRP ID, </w:t>
      </w:r>
      <w:r w:rsidR="002D2659" w:rsidRPr="00194B5B">
        <w:t>dl-PRS-ID, DL PRS Resource Set ID, a DL PRS Resources ID) are assigned the same to all PRUs and UEs, and not varying in a UE-specific manner.</w:t>
      </w:r>
    </w:p>
    <w:p w14:paraId="72F8AE8C" w14:textId="0C8F19CD" w:rsidR="002D2659" w:rsidRPr="002D2659" w:rsidRDefault="002D2659" w:rsidP="002D2659">
      <w:r w:rsidRPr="00194B5B">
        <w:t xml:space="preserve">Similarly, </w:t>
      </w:r>
      <w:r>
        <w:t>when the AI/ML model takes UL SRS measurement as input,</w:t>
      </w:r>
      <w:r w:rsidRPr="00194B5B">
        <w:t xml:space="preserve"> </w:t>
      </w:r>
      <w:r>
        <w:t>for configuration of SRS transmission and measurement,</w:t>
      </w:r>
      <w:r w:rsidRPr="00194B5B">
        <w:t xml:space="preserve"> </w:t>
      </w:r>
      <w:r>
        <w:t>it is necessary to ensure that the same configuration is used in training data collection stage and model inference stage.</w:t>
      </w:r>
    </w:p>
    <w:p w14:paraId="0CF7256A" w14:textId="7CB3BFA8" w:rsidR="00E2621B" w:rsidRPr="00D20673" w:rsidRDefault="004F76DE" w:rsidP="002938DE">
      <w:pPr>
        <w:pStyle w:val="Proposal"/>
      </w:pPr>
      <w:bookmarkStart w:id="2479" w:name="_Toc189845176"/>
      <w:r>
        <w:t>When preparing for model inference</w:t>
      </w:r>
      <w:r w:rsidR="00F670A6">
        <w:t>,</w:t>
      </w:r>
      <w:r w:rsidR="00F670A6" w:rsidRPr="00F670A6">
        <w:t xml:space="preserve"> </w:t>
      </w:r>
      <w:r w:rsidR="00F670A6" w:rsidRPr="00A940D2">
        <w:t>configuration</w:t>
      </w:r>
      <w:r w:rsidR="00F670A6">
        <w:t>s</w:t>
      </w:r>
      <w:r w:rsidR="00F670A6" w:rsidRPr="00A940D2">
        <w:t xml:space="preserve"> of reference signal transmission and measurement</w:t>
      </w:r>
      <w:r w:rsidR="00F670A6">
        <w:t xml:space="preserve"> are checked for compatibility between the trained model and the deployment environment.</w:t>
      </w:r>
      <w:bookmarkEnd w:id="2479"/>
    </w:p>
    <w:p w14:paraId="544C38AA" w14:textId="206CC7F7" w:rsidR="00D20673" w:rsidRPr="00D20673" w:rsidRDefault="000651ED" w:rsidP="003D368A">
      <w:r>
        <w:t>In terms of specification i</w:t>
      </w:r>
      <w:r w:rsidR="00FF7D97">
        <w:t>m</w:t>
      </w:r>
      <w:r>
        <w:t xml:space="preserve">pact, </w:t>
      </w:r>
      <w:r w:rsidR="0010379A">
        <w:t xml:space="preserve">for Case 2a/3a </w:t>
      </w:r>
      <w:r>
        <w:t xml:space="preserve">the model readiness for inference </w:t>
      </w:r>
      <w:r w:rsidR="00357833">
        <w:t xml:space="preserve">may be </w:t>
      </w:r>
      <w:r w:rsidR="0010379A">
        <w:t>signaled</w:t>
      </w:r>
      <w:r w:rsidR="00357833">
        <w:t xml:space="preserve"> </w:t>
      </w:r>
      <w:r w:rsidR="00EC3C58">
        <w:t xml:space="preserve">from the </w:t>
      </w:r>
      <w:r w:rsidR="0010379A">
        <w:t xml:space="preserve">model </w:t>
      </w:r>
      <w:r w:rsidR="00EC3C58">
        <w:t>infer</w:t>
      </w:r>
      <w:r w:rsidR="0010379A">
        <w:t>ence</w:t>
      </w:r>
      <w:r w:rsidR="00EC3C58">
        <w:t xml:space="preserve"> node </w:t>
      </w:r>
      <w:r w:rsidR="0010379A">
        <w:t>(e.g., UE/</w:t>
      </w:r>
      <w:proofErr w:type="spellStart"/>
      <w:r w:rsidR="0010379A">
        <w:t>gNB</w:t>
      </w:r>
      <w:proofErr w:type="spellEnd"/>
      <w:r w:rsidR="0010379A">
        <w:t xml:space="preserve">) </w:t>
      </w:r>
      <w:r w:rsidR="00EC3C58">
        <w:t>to other nodes requesting the measurements, e.g. the LMF</w:t>
      </w:r>
      <w:r w:rsidR="007C3F36">
        <w:t xml:space="preserve">, </w:t>
      </w:r>
      <w:proofErr w:type="gramStart"/>
      <w:r w:rsidR="007C3F36">
        <w:t>in order to</w:t>
      </w:r>
      <w:proofErr w:type="gramEnd"/>
      <w:r w:rsidR="007C3F36">
        <w:t xml:space="preserve"> signal that AI</w:t>
      </w:r>
      <w:r w:rsidR="0010379A">
        <w:t>/</w:t>
      </w:r>
      <w:r w:rsidR="007C3F36">
        <w:t>ML positioning is available.</w:t>
      </w:r>
      <w:r w:rsidR="00DD7547">
        <w:t xml:space="preserve"> </w:t>
      </w:r>
    </w:p>
    <w:p w14:paraId="6E74647E" w14:textId="37C3F232" w:rsidR="00D20673" w:rsidRDefault="0010379A" w:rsidP="002938DE">
      <w:pPr>
        <w:pStyle w:val="Proposal"/>
      </w:pPr>
      <w:bookmarkStart w:id="2480" w:name="_Toc189845177"/>
      <w:r>
        <w:t>For Case 2a/3a, s</w:t>
      </w:r>
      <w:r w:rsidR="00DD7547">
        <w:t>upport UE/</w:t>
      </w:r>
      <w:proofErr w:type="spellStart"/>
      <w:r w:rsidR="00DD7547">
        <w:t>gNB</w:t>
      </w:r>
      <w:proofErr w:type="spellEnd"/>
      <w:r w:rsidR="00DD7547">
        <w:t xml:space="preserve"> to send an indication to the LMF when the AI/ML model</w:t>
      </w:r>
      <w:r w:rsidR="00525F50">
        <w:t xml:space="preserve"> is ready for reporting measurements based on model inference. </w:t>
      </w:r>
      <w:r w:rsidR="00836728">
        <w:t>It is up to RAN2/3 to decide which procedure to use to convey the information.</w:t>
      </w:r>
      <w:bookmarkEnd w:id="2480"/>
    </w:p>
    <w:p w14:paraId="78C6C81E" w14:textId="571C224A" w:rsidR="00F04267" w:rsidRDefault="00F04267" w:rsidP="00F04267">
      <w:r>
        <w:t xml:space="preserve">Ideally, signals configured for inference are configured </w:t>
      </w:r>
      <w:proofErr w:type="gramStart"/>
      <w:r>
        <w:t>exactly the same</w:t>
      </w:r>
      <w:proofErr w:type="gramEnd"/>
      <w:r>
        <w:t xml:space="preserve"> for the training phase. For example, PRS configuration of bandwidth, comb offset, etc., should remain unchanged between inference and training. To make sure of this, the training data could be generated for all possible signal configurations, but this would lead to a massive training data set.  </w:t>
      </w:r>
      <w:proofErr w:type="gramStart"/>
      <w:r>
        <w:t>Thus</w:t>
      </w:r>
      <w:proofErr w:type="gramEnd"/>
      <w:r>
        <w:t xml:space="preserve"> some misalignment may be unavoidable. For example, the SRS resource used for training the </w:t>
      </w:r>
      <w:proofErr w:type="spellStart"/>
      <w:r>
        <w:t>gNB</w:t>
      </w:r>
      <w:proofErr w:type="spellEnd"/>
      <w:r>
        <w:t xml:space="preserve"> based model used in </w:t>
      </w:r>
      <w:r w:rsidR="00C41738">
        <w:t xml:space="preserve">Case </w:t>
      </w:r>
      <w:r>
        <w:t xml:space="preserve">3a may be already assigned to another UE at the time of inference, so that a resource with a different comb offset and or cyclic shift may be chosen to be configured.  It is however important that the measured channel response at inference is consistent with the one measured during training. This means that at least bandwidth, transmitted power and spatial properties of the reference signals stay the same between inference and training. </w:t>
      </w:r>
    </w:p>
    <w:p w14:paraId="7CF8162A" w14:textId="77777777" w:rsidR="00F04267" w:rsidRDefault="00F04267" w:rsidP="00F04267"/>
    <w:p w14:paraId="54773F6B" w14:textId="267FCD65" w:rsidR="00F04267" w:rsidRDefault="000E53E1" w:rsidP="00F04267">
      <w:r>
        <w:t>In summary, b</w:t>
      </w:r>
      <w:r w:rsidR="009C7F57">
        <w:t>efore model inference can start</w:t>
      </w:r>
      <w:r w:rsidR="00F04267">
        <w:t>, the UE/</w:t>
      </w:r>
      <w:proofErr w:type="spellStart"/>
      <w:r w:rsidR="00F04267">
        <w:t>gNB</w:t>
      </w:r>
      <w:proofErr w:type="spellEnd"/>
      <w:r w:rsidR="00F04267">
        <w:t xml:space="preserve"> should </w:t>
      </w:r>
      <w:r w:rsidR="009C7F57">
        <w:t>ensure</w:t>
      </w:r>
      <w:r w:rsidR="00F04267">
        <w:t xml:space="preserve"> the following stay unchanged</w:t>
      </w:r>
      <w:r w:rsidR="009C7F57">
        <w:t xml:space="preserve"> between training and inference</w:t>
      </w:r>
      <w:r w:rsidR="00F04267">
        <w:t>:</w:t>
      </w:r>
    </w:p>
    <w:p w14:paraId="7DC8D6F1" w14:textId="77777777" w:rsidR="00F04267" w:rsidRDefault="00F04267" w:rsidP="00F04267">
      <w:pPr>
        <w:pStyle w:val="ListParagraph"/>
        <w:numPr>
          <w:ilvl w:val="0"/>
          <w:numId w:val="14"/>
        </w:numPr>
      </w:pPr>
      <w:r>
        <w:t>PRS:</w:t>
      </w:r>
    </w:p>
    <w:p w14:paraId="1CEACB0C" w14:textId="77777777" w:rsidR="00F04267" w:rsidRDefault="00F04267" w:rsidP="00F04267">
      <w:pPr>
        <w:pStyle w:val="ListParagraph"/>
        <w:numPr>
          <w:ilvl w:val="1"/>
          <w:numId w:val="14"/>
        </w:numPr>
      </w:pPr>
      <w:r>
        <w:t>Positioning frequency layer configuration (bandwidth, comb size, SCS, starting PRB, CP)</w:t>
      </w:r>
    </w:p>
    <w:p w14:paraId="767C499F" w14:textId="77777777" w:rsidR="00F04267" w:rsidRDefault="00F04267" w:rsidP="00F04267">
      <w:pPr>
        <w:pStyle w:val="ListParagraph"/>
        <w:numPr>
          <w:ilvl w:val="1"/>
          <w:numId w:val="14"/>
        </w:numPr>
      </w:pPr>
      <w:r>
        <w:t>Muting patterns</w:t>
      </w:r>
    </w:p>
    <w:p w14:paraId="192156CB" w14:textId="77777777" w:rsidR="00F04267" w:rsidRDefault="00F04267" w:rsidP="00F04267">
      <w:pPr>
        <w:pStyle w:val="ListParagraph"/>
        <w:numPr>
          <w:ilvl w:val="1"/>
          <w:numId w:val="14"/>
        </w:numPr>
      </w:pPr>
      <w:r>
        <w:t>DL PRS spatial properties</w:t>
      </w:r>
    </w:p>
    <w:p w14:paraId="2F0B714E" w14:textId="77777777" w:rsidR="00F04267" w:rsidRDefault="00F04267" w:rsidP="00F04267">
      <w:pPr>
        <w:pStyle w:val="ListParagraph"/>
        <w:numPr>
          <w:ilvl w:val="1"/>
          <w:numId w:val="14"/>
        </w:numPr>
      </w:pPr>
      <w:r>
        <w:t>Power over the measured bandwidth</w:t>
      </w:r>
    </w:p>
    <w:p w14:paraId="650682B8" w14:textId="77777777" w:rsidR="00F04267" w:rsidRDefault="00F04267" w:rsidP="00F04267">
      <w:pPr>
        <w:pStyle w:val="ListParagraph"/>
        <w:numPr>
          <w:ilvl w:val="0"/>
          <w:numId w:val="14"/>
        </w:numPr>
      </w:pPr>
      <w:r>
        <w:t>SRS:</w:t>
      </w:r>
    </w:p>
    <w:p w14:paraId="45D1AE53" w14:textId="77777777" w:rsidR="00F04267" w:rsidRDefault="00F04267" w:rsidP="00F04267">
      <w:pPr>
        <w:pStyle w:val="ListParagraph"/>
        <w:numPr>
          <w:ilvl w:val="1"/>
          <w:numId w:val="14"/>
        </w:numPr>
      </w:pPr>
      <w:r>
        <w:t>Bandwidth configuration (starting PRB, bandwidth, comb size, SCS, CP)</w:t>
      </w:r>
    </w:p>
    <w:p w14:paraId="18198C0F" w14:textId="77777777" w:rsidR="00F04267" w:rsidRDefault="00F04267" w:rsidP="00F04267">
      <w:pPr>
        <w:pStyle w:val="ListParagraph"/>
        <w:numPr>
          <w:ilvl w:val="1"/>
          <w:numId w:val="14"/>
        </w:numPr>
      </w:pPr>
      <w:r>
        <w:t>UL SRS for positioning spatial properties</w:t>
      </w:r>
    </w:p>
    <w:p w14:paraId="271ED020" w14:textId="77777777" w:rsidR="00F04267" w:rsidRDefault="00F04267" w:rsidP="00F04267">
      <w:pPr>
        <w:pStyle w:val="ListParagraph"/>
        <w:numPr>
          <w:ilvl w:val="1"/>
          <w:numId w:val="14"/>
        </w:numPr>
      </w:pPr>
      <w:r>
        <w:t>SRS transmission power</w:t>
      </w:r>
    </w:p>
    <w:p w14:paraId="098C717A" w14:textId="4BD7B707" w:rsidR="00F04267" w:rsidRDefault="00F04267" w:rsidP="00924F11">
      <w:pPr>
        <w:pStyle w:val="ListParagraph"/>
        <w:numPr>
          <w:ilvl w:val="1"/>
          <w:numId w:val="14"/>
        </w:numPr>
      </w:pPr>
      <w:r>
        <w:t>UL path loss reference</w:t>
      </w:r>
      <w:r w:rsidR="00924F11">
        <w:t xml:space="preserve"> </w:t>
      </w:r>
    </w:p>
    <w:p w14:paraId="3F594C89" w14:textId="77777777" w:rsidR="000E53E1" w:rsidRDefault="000E53E1" w:rsidP="000E53E1"/>
    <w:p w14:paraId="781A7A77" w14:textId="30C94EDF" w:rsidR="000E53E1" w:rsidRDefault="000E53E1" w:rsidP="007B381C">
      <w:pPr>
        <w:pStyle w:val="Heading3"/>
      </w:pPr>
      <w:bookmarkStart w:id="2481" w:name="_Ref178770342"/>
      <w:bookmarkStart w:id="2482" w:name="_Ref181977531"/>
      <w:bookmarkStart w:id="2483" w:name="_Toc189845049"/>
      <w:r w:rsidRPr="000E53E1">
        <w:t xml:space="preserve">Consistency of network-side </w:t>
      </w:r>
      <w:bookmarkEnd w:id="2481"/>
      <w:r w:rsidRPr="000E53E1">
        <w:t>additional conditions between model inference and model training</w:t>
      </w:r>
      <w:bookmarkEnd w:id="2482"/>
      <w:bookmarkEnd w:id="2483"/>
    </w:p>
    <w:p w14:paraId="15337D8E" w14:textId="77777777" w:rsidR="00BF3795" w:rsidRDefault="00D52BD0" w:rsidP="00D52BD0">
      <w:r>
        <w:t>For AI/ML based positioning with UE-side model, to support verification of NW additional conditions, associated IDs can be defined to identify a given set of NW additional conditions. This has the benefit that the IE details do not need to be explicitly signaled, if they are not needed for performing model inference, and only needed for consistency verification. This avoids exposing unnecessary network condition details and reduces signaling overhead.</w:t>
      </w:r>
      <w:r w:rsidR="00BF3795">
        <w:t xml:space="preserve"> </w:t>
      </w:r>
    </w:p>
    <w:p w14:paraId="215D9807" w14:textId="3B38B643" w:rsidR="00D52BD0" w:rsidRDefault="005D2E70" w:rsidP="0078718A">
      <w:pPr>
        <w:pStyle w:val="Observation"/>
      </w:pPr>
      <w:bookmarkStart w:id="2484" w:name="_Toc189835396"/>
      <w:bookmarkStart w:id="2485" w:name="_Toc189845093"/>
      <w:bookmarkEnd w:id="2484"/>
      <w:r>
        <w:t xml:space="preserve">The benefit of associated ID </w:t>
      </w:r>
      <w:r w:rsidR="00932E2B">
        <w:t xml:space="preserve">is </w:t>
      </w:r>
      <w:r>
        <w:t xml:space="preserve">that the </w:t>
      </w:r>
      <w:r w:rsidR="00932E2B">
        <w:t>details for the information covered by associated ID</w:t>
      </w:r>
      <w:r>
        <w:t xml:space="preserve"> do not need to be explicitly signaled, if they are not needed for performing model inference, and only needed for consistency verification.</w:t>
      </w:r>
      <w:bookmarkEnd w:id="2485"/>
    </w:p>
    <w:p w14:paraId="26E0D1B1" w14:textId="78C2CC47" w:rsidR="00D52BD0" w:rsidRPr="00397642" w:rsidRDefault="0078132B" w:rsidP="00D52BD0">
      <w:r>
        <w:t>Adopting associated ID for the positioning use case</w:t>
      </w:r>
      <w:r w:rsidR="00D52BD0">
        <w:t xml:space="preserve"> is </w:t>
      </w:r>
      <w:proofErr w:type="gramStart"/>
      <w:r w:rsidR="00D52BD0">
        <w:t>similar to</w:t>
      </w:r>
      <w:proofErr w:type="gramEnd"/>
      <w:r w:rsidR="00D52BD0">
        <w:t xml:space="preserve"> the agreement made in RAN1#11</w:t>
      </w:r>
      <w:r w:rsidR="00762194">
        <w:t>8</w:t>
      </w:r>
      <w:r w:rsidR="00D52BD0">
        <w:t xml:space="preserve"> for beam management (AI 9.1.1):</w:t>
      </w:r>
    </w:p>
    <w:tbl>
      <w:tblPr>
        <w:tblStyle w:val="TableGrid"/>
        <w:tblW w:w="9990" w:type="dxa"/>
        <w:tblInd w:w="-5" w:type="dxa"/>
        <w:tblLook w:val="04A0" w:firstRow="1" w:lastRow="0" w:firstColumn="1" w:lastColumn="0" w:noHBand="0" w:noVBand="1"/>
      </w:tblPr>
      <w:tblGrid>
        <w:gridCol w:w="9990"/>
      </w:tblGrid>
      <w:tr w:rsidR="00D52BD0" w:rsidRPr="00762194" w14:paraId="28B1F02C" w14:textId="77777777">
        <w:tc>
          <w:tcPr>
            <w:tcW w:w="9990" w:type="dxa"/>
          </w:tcPr>
          <w:p w14:paraId="35ECC823" w14:textId="77777777" w:rsidR="00FF7E92" w:rsidRPr="00FF7E92" w:rsidRDefault="00FF7E92" w:rsidP="00FF7E92">
            <w:pPr>
              <w:spacing w:after="0"/>
              <w:rPr>
                <w:rFonts w:ascii="Times" w:eastAsia="DengXian" w:hAnsi="Times" w:cs="Times New Roman"/>
                <w:kern w:val="0"/>
                <w:sz w:val="20"/>
                <w:szCs w:val="20"/>
                <w:highlight w:val="green"/>
                <w:lang w:val="en-GB" w:eastAsia="zh-CN"/>
                <w14:ligatures w14:val="none"/>
              </w:rPr>
            </w:pPr>
            <w:r w:rsidRPr="00FF7E92">
              <w:rPr>
                <w:rFonts w:ascii="Times" w:eastAsia="DengXian" w:hAnsi="Times" w:cs="Times New Roman" w:hint="eastAsia"/>
                <w:kern w:val="0"/>
                <w:sz w:val="20"/>
                <w:szCs w:val="20"/>
                <w:highlight w:val="green"/>
                <w:lang w:val="en-GB" w:eastAsia="zh-CN"/>
                <w14:ligatures w14:val="none"/>
              </w:rPr>
              <w:t>Agreement</w:t>
            </w:r>
          </w:p>
          <w:p w14:paraId="57C6C473" w14:textId="77777777" w:rsidR="00FF7E92" w:rsidRPr="00FF7E92" w:rsidRDefault="00FF7E92" w:rsidP="00FF7E92">
            <w:pPr>
              <w:spacing w:after="0"/>
              <w:rPr>
                <w:rFonts w:ascii="Times" w:eastAsia="DengXian" w:hAnsi="Times" w:cs="Times New Roman"/>
                <w:kern w:val="0"/>
                <w:sz w:val="20"/>
                <w:szCs w:val="20"/>
                <w:lang w:val="en-GB" w:eastAsia="zh-CN"/>
                <w14:ligatures w14:val="none"/>
              </w:rPr>
            </w:pPr>
            <w:r w:rsidRPr="00FF7E92">
              <w:rPr>
                <w:rFonts w:ascii="Times" w:eastAsia="Times New Roman" w:hAnsi="Times" w:cs="Times New Roman"/>
                <w:kern w:val="0"/>
                <w:sz w:val="20"/>
                <w:szCs w:val="20"/>
                <w:lang w:val="en-GB"/>
                <w14:ligatures w14:val="none"/>
              </w:rPr>
              <w:t>For UE sided model in beam management, support</w:t>
            </w:r>
            <w:r w:rsidRPr="00FF7E92">
              <w:rPr>
                <w:rFonts w:ascii="Times" w:eastAsia="Times New Roman" w:hAnsi="Times" w:cs="Times New Roman"/>
                <w:color w:val="FF0000"/>
                <w:kern w:val="0"/>
                <w:sz w:val="20"/>
                <w:szCs w:val="20"/>
                <w:lang w:val="en-GB"/>
                <w14:ligatures w14:val="none"/>
              </w:rPr>
              <w:t xml:space="preserve"> </w:t>
            </w:r>
            <w:r w:rsidRPr="00FF7E92">
              <w:rPr>
                <w:rFonts w:ascii="Times" w:eastAsia="Times New Roman" w:hAnsi="Times" w:cs="Times New Roman"/>
                <w:kern w:val="0"/>
                <w:sz w:val="20"/>
                <w:szCs w:val="20"/>
                <w:lang w:val="en-GB"/>
                <w14:ligatures w14:val="none"/>
              </w:rPr>
              <w:t>associated ID</w:t>
            </w:r>
          </w:p>
          <w:p w14:paraId="7F6B5287" w14:textId="77777777" w:rsidR="00FF7E92" w:rsidRPr="00FF7E92" w:rsidRDefault="00FF7E92" w:rsidP="005925D5">
            <w:pPr>
              <w:numPr>
                <w:ilvl w:val="0"/>
                <w:numId w:val="87"/>
              </w:numPr>
              <w:tabs>
                <w:tab w:val="left" w:pos="360"/>
                <w:tab w:val="left" w:pos="709"/>
              </w:tabs>
              <w:spacing w:after="0"/>
              <w:rPr>
                <w:rFonts w:ascii="Times" w:eastAsia="Times New Roman" w:hAnsi="Times" w:cs="Times New Roman"/>
                <w:kern w:val="0"/>
                <w:sz w:val="20"/>
                <w:szCs w:val="20"/>
                <w:highlight w:val="darkYellow"/>
                <w:lang w:val="en-GB"/>
                <w14:ligatures w14:val="none"/>
              </w:rPr>
            </w:pPr>
            <w:r w:rsidRPr="00FF7E92">
              <w:rPr>
                <w:rFonts w:ascii="Times" w:eastAsia="DengXian" w:hAnsi="Times" w:cs="Times New Roman" w:hint="eastAsia"/>
                <w:kern w:val="0"/>
                <w:sz w:val="20"/>
                <w:szCs w:val="20"/>
                <w:highlight w:val="darkYellow"/>
                <w:lang w:val="en-GB" w:eastAsia="zh-CN"/>
                <w14:ligatures w14:val="none"/>
              </w:rPr>
              <w:t>[Working Assumption]</w:t>
            </w:r>
          </w:p>
          <w:p w14:paraId="534A14AE" w14:textId="77777777" w:rsidR="00FF7E92" w:rsidRPr="00FF7E92" w:rsidRDefault="00FF7E92" w:rsidP="005925D5">
            <w:pPr>
              <w:numPr>
                <w:ilvl w:val="1"/>
                <w:numId w:val="87"/>
              </w:numPr>
              <w:tabs>
                <w:tab w:val="left" w:pos="360"/>
                <w:tab w:val="left" w:pos="709"/>
              </w:tabs>
              <w:spacing w:after="0"/>
              <w:rPr>
                <w:rFonts w:ascii="Times" w:eastAsia="Times New Roman" w:hAnsi="Times" w:cs="Times New Roman"/>
                <w:kern w:val="0"/>
                <w:sz w:val="20"/>
                <w:szCs w:val="20"/>
                <w:highlight w:val="darkYellow"/>
                <w:lang w:val="en-GB"/>
                <w14:ligatures w14:val="none"/>
              </w:rPr>
            </w:pPr>
            <w:r w:rsidRPr="00FF7E92">
              <w:rPr>
                <w:rFonts w:ascii="Times" w:eastAsia="Times New Roman" w:hAnsi="Times" w:cs="Times New Roman"/>
                <w:kern w:val="0"/>
                <w:sz w:val="20"/>
                <w:szCs w:val="20"/>
                <w:highlight w:val="darkYellow"/>
                <w:lang w:val="en-GB"/>
                <w14:ligatures w14:val="none"/>
              </w:rPr>
              <w:t>The associated ID</w:t>
            </w:r>
            <w:r w:rsidRPr="00FF7E92">
              <w:rPr>
                <w:rFonts w:ascii="Times" w:eastAsia="DengXian" w:hAnsi="Times" w:cs="Times New Roman" w:hint="eastAsia"/>
                <w:kern w:val="0"/>
                <w:sz w:val="20"/>
                <w:szCs w:val="20"/>
                <w:highlight w:val="darkYellow"/>
                <w:lang w:val="en-GB" w:eastAsia="zh-CN"/>
                <w14:ligatures w14:val="none"/>
              </w:rPr>
              <w:t xml:space="preserve"> </w:t>
            </w:r>
            <w:r w:rsidRPr="00FF7E92">
              <w:rPr>
                <w:rFonts w:ascii="Times" w:eastAsia="Times New Roman" w:hAnsi="Times" w:cs="Times New Roman"/>
                <w:kern w:val="0"/>
                <w:sz w:val="20"/>
                <w:szCs w:val="20"/>
                <w:highlight w:val="darkYellow"/>
                <w:lang w:val="en-GB"/>
                <w14:ligatures w14:val="none"/>
              </w:rPr>
              <w:t>at least can be configured</w:t>
            </w:r>
            <w:r w:rsidRPr="00FF7E92">
              <w:rPr>
                <w:rFonts w:ascii="Times" w:eastAsia="DengXian" w:hAnsi="Times" w:cs="Times New Roman" w:hint="eastAsia"/>
                <w:kern w:val="0"/>
                <w:sz w:val="20"/>
                <w:szCs w:val="20"/>
                <w:highlight w:val="darkYellow"/>
                <w:lang w:val="en-GB" w:eastAsia="zh-CN"/>
                <w14:ligatures w14:val="none"/>
              </w:rPr>
              <w:t xml:space="preserve"> </w:t>
            </w:r>
            <w:r w:rsidRPr="00FF7E92">
              <w:rPr>
                <w:rFonts w:ascii="Times" w:eastAsia="Times New Roman" w:hAnsi="Times" w:cs="Times New Roman"/>
                <w:kern w:val="0"/>
                <w:sz w:val="20"/>
                <w:szCs w:val="20"/>
                <w:highlight w:val="darkYellow"/>
                <w:lang w:val="en-GB"/>
                <w14:ligatures w14:val="none"/>
              </w:rPr>
              <w:t xml:space="preserve">within CSI framework </w:t>
            </w:r>
          </w:p>
          <w:p w14:paraId="5C0838FE" w14:textId="77777777" w:rsidR="00FF7E92" w:rsidRPr="00FF7E92" w:rsidRDefault="00FF7E92" w:rsidP="005925D5">
            <w:pPr>
              <w:numPr>
                <w:ilvl w:val="2"/>
                <w:numId w:val="87"/>
              </w:numPr>
              <w:tabs>
                <w:tab w:val="left" w:pos="360"/>
                <w:tab w:val="left" w:pos="1080"/>
              </w:tabs>
              <w:spacing w:after="0"/>
              <w:rPr>
                <w:rFonts w:ascii="Times" w:eastAsia="Times New Roman" w:hAnsi="Times" w:cs="Times New Roman"/>
                <w:kern w:val="0"/>
                <w:sz w:val="20"/>
                <w:szCs w:val="20"/>
                <w:highlight w:val="darkYellow"/>
                <w:lang w:val="en-GB" w:eastAsia="x-none"/>
                <w14:ligatures w14:val="none"/>
              </w:rPr>
            </w:pPr>
            <w:r w:rsidRPr="00FF7E92">
              <w:rPr>
                <w:rFonts w:ascii="Times" w:eastAsia="Batang" w:hAnsi="Times" w:cs="Times New Roman"/>
                <w:kern w:val="0"/>
                <w:sz w:val="20"/>
                <w:szCs w:val="20"/>
                <w:highlight w:val="darkYellow"/>
                <w:lang w:eastAsia="x-none"/>
                <w14:ligatures w14:val="none"/>
              </w:rPr>
              <w:t>FFS on details</w:t>
            </w:r>
          </w:p>
          <w:p w14:paraId="427F43B0" w14:textId="77777777" w:rsidR="00FF7E92" w:rsidRPr="00FF7E92" w:rsidRDefault="00FF7E92" w:rsidP="005925D5">
            <w:pPr>
              <w:numPr>
                <w:ilvl w:val="2"/>
                <w:numId w:val="87"/>
              </w:numPr>
              <w:tabs>
                <w:tab w:val="left" w:pos="360"/>
                <w:tab w:val="left" w:pos="1080"/>
              </w:tabs>
              <w:spacing w:after="0"/>
              <w:rPr>
                <w:rFonts w:ascii="Times" w:eastAsia="Times New Roman" w:hAnsi="Times" w:cs="Times New Roman"/>
                <w:kern w:val="0"/>
                <w:sz w:val="20"/>
                <w:szCs w:val="20"/>
                <w:highlight w:val="darkYellow"/>
                <w:lang w:val="en-GB" w:eastAsia="x-none"/>
                <w14:ligatures w14:val="none"/>
              </w:rPr>
            </w:pPr>
            <w:r w:rsidRPr="00FF7E92">
              <w:rPr>
                <w:rFonts w:ascii="Times" w:eastAsia="Batang" w:hAnsi="Times" w:cs="Times New Roman"/>
                <w:kern w:val="0"/>
                <w:sz w:val="20"/>
                <w:szCs w:val="20"/>
                <w:highlight w:val="darkYellow"/>
                <w:lang w:eastAsia="x-none"/>
                <w14:ligatures w14:val="none"/>
              </w:rPr>
              <w:t>FFS on whether/how to configure/indicate the associated ID via other signal(s) and/or in other procedure(s)/framework(s)</w:t>
            </w:r>
          </w:p>
          <w:p w14:paraId="2754817E" w14:textId="77777777" w:rsidR="00FF7E92" w:rsidRPr="00FF7E92" w:rsidRDefault="00FF7E92" w:rsidP="005925D5">
            <w:pPr>
              <w:numPr>
                <w:ilvl w:val="0"/>
                <w:numId w:val="87"/>
              </w:numPr>
              <w:tabs>
                <w:tab w:val="left" w:pos="360"/>
              </w:tabs>
              <w:spacing w:after="0"/>
              <w:ind w:left="709"/>
              <w:rPr>
                <w:rFonts w:ascii="Times" w:eastAsia="Times New Roman" w:hAnsi="Times" w:cs="Times New Roman"/>
                <w:kern w:val="0"/>
                <w:sz w:val="20"/>
                <w:szCs w:val="20"/>
                <w:lang w:eastAsia="zh-CN"/>
                <w14:ligatures w14:val="none"/>
              </w:rPr>
            </w:pPr>
            <w:r w:rsidRPr="00FF7E92">
              <w:rPr>
                <w:rFonts w:ascii="Times" w:eastAsia="Times New Roman" w:hAnsi="Times" w:cs="Times New Roman"/>
                <w:kern w:val="0"/>
                <w:sz w:val="20"/>
                <w:szCs w:val="20"/>
                <w:lang w:eastAsia="zh-CN"/>
                <w14:ligatures w14:val="none"/>
              </w:rPr>
              <w:t xml:space="preserve">UE may assume the </w:t>
            </w:r>
            <w:r w:rsidRPr="00FF7E92">
              <w:rPr>
                <w:rFonts w:ascii="Times" w:eastAsia="DengXian" w:hAnsi="Times" w:cs="Times New Roman" w:hint="eastAsia"/>
                <w:kern w:val="0"/>
                <w:sz w:val="20"/>
                <w:szCs w:val="20"/>
                <w:lang w:eastAsia="zh-CN"/>
                <w14:ligatures w14:val="none"/>
              </w:rPr>
              <w:t xml:space="preserve">similar </w:t>
            </w:r>
            <w:r w:rsidRPr="00FF7E92">
              <w:rPr>
                <w:rFonts w:ascii="Times" w:eastAsia="Times New Roman" w:hAnsi="Times" w:cs="Times New Roman"/>
                <w:kern w:val="0"/>
                <w:sz w:val="20"/>
                <w:szCs w:val="20"/>
                <w:lang w:eastAsia="zh-CN"/>
                <w14:ligatures w14:val="none"/>
              </w:rPr>
              <w:t>properties of a DL Tx beam or beam set/list associated with the same associated ID</w:t>
            </w:r>
          </w:p>
          <w:p w14:paraId="37C55746" w14:textId="6146681E" w:rsidR="00FF7E92" w:rsidRPr="00762194" w:rsidRDefault="00FF7E92" w:rsidP="005925D5">
            <w:pPr>
              <w:numPr>
                <w:ilvl w:val="1"/>
                <w:numId w:val="86"/>
              </w:numPr>
              <w:spacing w:after="180"/>
              <w:rPr>
                <w:rFonts w:ascii="Times" w:eastAsia="Batang" w:hAnsi="Times" w:cs="Times New Roman"/>
                <w:kern w:val="0"/>
                <w:sz w:val="20"/>
                <w:szCs w:val="20"/>
                <w:lang w:val="en-GB" w:eastAsia="x-none"/>
                <w14:ligatures w14:val="none"/>
              </w:rPr>
            </w:pPr>
            <w:r w:rsidRPr="00FF7E92">
              <w:rPr>
                <w:rFonts w:ascii="Times" w:eastAsia="Batang" w:hAnsi="Times" w:cs="Times New Roman"/>
                <w:kern w:val="0"/>
                <w:sz w:val="20"/>
                <w:szCs w:val="20"/>
                <w:lang w:val="en-GB" w:eastAsia="x-none"/>
                <w14:ligatures w14:val="none"/>
              </w:rPr>
              <w:t xml:space="preserve">FFS: whether/how to define </w:t>
            </w:r>
            <w:r w:rsidRPr="00FF7E92">
              <w:rPr>
                <w:rFonts w:ascii="Times" w:eastAsia="Batang" w:hAnsi="Times" w:cs="Times New Roman"/>
                <w:i/>
                <w:iCs/>
                <w:kern w:val="0"/>
                <w:sz w:val="20"/>
                <w:szCs w:val="20"/>
                <w:lang w:val="en-GB" w:eastAsia="x-none"/>
                <w14:ligatures w14:val="none"/>
              </w:rPr>
              <w:t>similar properties</w:t>
            </w:r>
            <w:r w:rsidRPr="00FF7E92">
              <w:rPr>
                <w:rFonts w:ascii="Times" w:eastAsia="Batang" w:hAnsi="Times" w:cs="Times New Roman"/>
                <w:kern w:val="0"/>
                <w:sz w:val="20"/>
                <w:szCs w:val="20"/>
                <w:lang w:val="en-GB" w:eastAsia="x-none"/>
                <w14:ligatures w14:val="none"/>
              </w:rPr>
              <w:t xml:space="preserve"> of a DL Tx beam or beam set/list</w:t>
            </w:r>
          </w:p>
        </w:tc>
      </w:tr>
    </w:tbl>
    <w:p w14:paraId="3430211D" w14:textId="77777777" w:rsidR="00D52BD0" w:rsidRDefault="00D52BD0" w:rsidP="00D52BD0"/>
    <w:p w14:paraId="35731945" w14:textId="0BB569C5" w:rsidR="00D52BD0" w:rsidRDefault="00D52BD0" w:rsidP="00D52BD0">
      <w:r>
        <w:t>In RAN1#11</w:t>
      </w:r>
      <w:r w:rsidR="00762194">
        <w:t>8</w:t>
      </w:r>
      <w:r>
        <w:t xml:space="preserve">, the following working assumption was </w:t>
      </w:r>
      <w:r w:rsidR="00762194">
        <w:t>confirmed</w:t>
      </w:r>
      <w:r>
        <w:t xml:space="preserve"> under agenda item 9.1.3.3.</w:t>
      </w:r>
    </w:p>
    <w:tbl>
      <w:tblPr>
        <w:tblStyle w:val="TableGrid"/>
        <w:tblW w:w="9990" w:type="dxa"/>
        <w:tblInd w:w="-5" w:type="dxa"/>
        <w:tblLook w:val="04A0" w:firstRow="1" w:lastRow="0" w:firstColumn="1" w:lastColumn="0" w:noHBand="0" w:noVBand="1"/>
      </w:tblPr>
      <w:tblGrid>
        <w:gridCol w:w="9990"/>
      </w:tblGrid>
      <w:tr w:rsidR="00D52BD0" w14:paraId="14156E4C" w14:textId="77777777">
        <w:tc>
          <w:tcPr>
            <w:tcW w:w="9990" w:type="dxa"/>
          </w:tcPr>
          <w:p w14:paraId="47EC7DFA" w14:textId="77777777" w:rsidR="00FF7E92" w:rsidRPr="00587BF1" w:rsidRDefault="00FF7E92" w:rsidP="00FF7E92">
            <w:pPr>
              <w:rPr>
                <w:rFonts w:ascii="Times" w:eastAsia="Batang" w:hAnsi="Times"/>
                <w:b/>
                <w:bCs/>
                <w:iCs/>
                <w:sz w:val="20"/>
                <w:highlight w:val="green"/>
                <w:lang w:val="en-GB" w:eastAsia="x-none"/>
              </w:rPr>
            </w:pPr>
            <w:r w:rsidRPr="00587BF1">
              <w:rPr>
                <w:rFonts w:ascii="Times" w:eastAsia="Batang" w:hAnsi="Times" w:hint="eastAsia"/>
                <w:b/>
                <w:bCs/>
                <w:iCs/>
                <w:sz w:val="20"/>
                <w:highlight w:val="green"/>
                <w:lang w:val="en-GB" w:eastAsia="x-none"/>
              </w:rPr>
              <w:t>Agreement</w:t>
            </w:r>
          </w:p>
          <w:p w14:paraId="56A9C3D9" w14:textId="77777777" w:rsidR="00FF7E92" w:rsidRPr="00FF7E92" w:rsidRDefault="00FF7E92" w:rsidP="00FF7E92">
            <w:pPr>
              <w:rPr>
                <w:rFonts w:ascii="Times" w:eastAsia="DengXian" w:hAnsi="Times"/>
                <w:iCs/>
                <w:sz w:val="20"/>
                <w:lang w:val="en-GB" w:eastAsia="zh-CN"/>
              </w:rPr>
            </w:pPr>
            <w:r w:rsidRPr="00FF7E92">
              <w:rPr>
                <w:rFonts w:ascii="Times" w:eastAsia="DengXian" w:hAnsi="Times"/>
                <w:iCs/>
                <w:sz w:val="20"/>
                <w:lang w:val="en-GB" w:eastAsia="zh-CN"/>
              </w:rPr>
              <w:t xml:space="preserve">Confirm the </w:t>
            </w:r>
            <w:r w:rsidRPr="00FF7E92">
              <w:rPr>
                <w:rFonts w:ascii="Times" w:eastAsia="DengXian" w:hAnsi="Times" w:hint="eastAsia"/>
                <w:iCs/>
                <w:sz w:val="20"/>
                <w:lang w:val="en-GB" w:eastAsia="zh-CN"/>
              </w:rPr>
              <w:t>following Working assumption.</w:t>
            </w:r>
          </w:p>
          <w:p w14:paraId="49CB487A" w14:textId="77777777" w:rsidR="00FF7E92" w:rsidRPr="00FF7E92" w:rsidRDefault="00FF7E92" w:rsidP="00FF7E92">
            <w:pPr>
              <w:rPr>
                <w:rFonts w:ascii="Times" w:eastAsia="DengXian" w:hAnsi="Times"/>
                <w:iCs/>
                <w:sz w:val="20"/>
                <w:highlight w:val="darkYellow"/>
                <w:lang w:val="en-GB" w:eastAsia="zh-CN"/>
              </w:rPr>
            </w:pPr>
            <w:r w:rsidRPr="00FF7E92">
              <w:rPr>
                <w:rFonts w:ascii="Times" w:eastAsia="DengXian" w:hAnsi="Times" w:hint="eastAsia"/>
                <w:iCs/>
                <w:sz w:val="20"/>
                <w:highlight w:val="darkYellow"/>
                <w:lang w:val="en-GB" w:eastAsia="zh-CN"/>
              </w:rPr>
              <w:t>Working Assumption</w:t>
            </w:r>
          </w:p>
          <w:p w14:paraId="16A858B3" w14:textId="77777777" w:rsidR="00FF7E92" w:rsidRPr="00FF7E92" w:rsidRDefault="00FF7E92" w:rsidP="00FF7E92">
            <w:pPr>
              <w:rPr>
                <w:rFonts w:ascii="Times" w:eastAsia="Batang" w:hAnsi="Times"/>
                <w:iCs/>
                <w:sz w:val="20"/>
                <w:lang w:val="en-GB" w:eastAsia="x-none"/>
              </w:rPr>
            </w:pPr>
            <w:r w:rsidRPr="00FF7E92">
              <w:rPr>
                <w:rFonts w:ascii="Times" w:eastAsia="Batang" w:hAnsi="Times"/>
                <w:iCs/>
                <w:sz w:val="20"/>
                <w:lang w:val="en-GB" w:eastAsia="x-none"/>
              </w:rPr>
              <w:t>Regarding the associated ID for Rel-19, the UE assum</w:t>
            </w:r>
            <w:r w:rsidRPr="00FF7E92">
              <w:rPr>
                <w:rFonts w:ascii="Times" w:eastAsia="DengXian" w:hAnsi="Times" w:hint="eastAsia"/>
                <w:iCs/>
                <w:sz w:val="20"/>
                <w:lang w:val="en-GB" w:eastAsia="zh-CN"/>
              </w:rPr>
              <w:t xml:space="preserve">es that </w:t>
            </w:r>
            <w:r w:rsidRPr="00FF7E92">
              <w:rPr>
                <w:rFonts w:ascii="Times" w:eastAsia="Batang" w:hAnsi="Times"/>
                <w:iCs/>
                <w:sz w:val="20"/>
                <w:lang w:val="en-GB" w:eastAsia="x-none"/>
              </w:rPr>
              <w:t>NW-side additional condition</w:t>
            </w:r>
            <w:r w:rsidRPr="00FF7E92">
              <w:rPr>
                <w:rFonts w:ascii="Times" w:eastAsia="DengXian" w:hAnsi="Times" w:hint="eastAsia"/>
                <w:iCs/>
                <w:sz w:val="20"/>
                <w:lang w:val="en-GB" w:eastAsia="zh-CN"/>
              </w:rPr>
              <w:t>s</w:t>
            </w:r>
            <w:r w:rsidRPr="00FF7E92">
              <w:rPr>
                <w:rFonts w:ascii="Times" w:eastAsia="Batang" w:hAnsi="Times"/>
                <w:iCs/>
                <w:sz w:val="20"/>
                <w:lang w:val="en-GB" w:eastAsia="x-none"/>
              </w:rPr>
              <w:t xml:space="preserve"> with the same associated ID </w:t>
            </w:r>
            <w:r w:rsidRPr="00FF7E92">
              <w:rPr>
                <w:rFonts w:ascii="Times" w:eastAsia="DengXian" w:hAnsi="Times" w:hint="eastAsia"/>
                <w:iCs/>
                <w:sz w:val="20"/>
                <w:lang w:val="en-GB" w:eastAsia="zh-CN"/>
              </w:rPr>
              <w:t>are</w:t>
            </w:r>
            <w:r w:rsidRPr="00FF7E92">
              <w:rPr>
                <w:rFonts w:ascii="Times" w:eastAsia="Batang" w:hAnsi="Times"/>
                <w:iCs/>
                <w:sz w:val="20"/>
                <w:lang w:val="en-GB" w:eastAsia="x-none"/>
              </w:rPr>
              <w:t xml:space="preserve"> </w:t>
            </w:r>
            <w:r w:rsidRPr="00FF7E92">
              <w:rPr>
                <w:rFonts w:ascii="Times" w:eastAsia="DengXian" w:hAnsi="Times" w:hint="eastAsia"/>
                <w:iCs/>
                <w:sz w:val="20"/>
                <w:lang w:val="en-GB" w:eastAsia="zh-CN"/>
              </w:rPr>
              <w:t xml:space="preserve">consistent </w:t>
            </w:r>
            <w:r w:rsidRPr="00FF7E92">
              <w:rPr>
                <w:rFonts w:ascii="Times" w:eastAsia="Batang" w:hAnsi="Times"/>
                <w:iCs/>
                <w:sz w:val="20"/>
                <w:lang w:val="en-GB" w:eastAsia="x-none"/>
              </w:rPr>
              <w:t xml:space="preserve">at least within a cell  </w:t>
            </w:r>
          </w:p>
          <w:p w14:paraId="1D9FBCA9" w14:textId="231011B9" w:rsidR="00FF7E92" w:rsidRPr="00FF7E92" w:rsidRDefault="00FF7E92" w:rsidP="005925D5">
            <w:pPr>
              <w:numPr>
                <w:ilvl w:val="0"/>
                <w:numId w:val="72"/>
              </w:numPr>
              <w:spacing w:after="0" w:line="300" w:lineRule="auto"/>
              <w:contextualSpacing/>
              <w:jc w:val="both"/>
              <w:rPr>
                <w:rFonts w:ascii="Times" w:eastAsia="Batang" w:hAnsi="Times"/>
                <w:b/>
                <w:bCs/>
                <w:iCs/>
                <w:sz w:val="20"/>
                <w:lang w:val="en-GB" w:eastAsia="x-none"/>
              </w:rPr>
            </w:pPr>
            <w:r w:rsidRPr="00FF7E92">
              <w:rPr>
                <w:rFonts w:ascii="Times" w:eastAsia="Batang" w:hAnsi="Times"/>
                <w:iCs/>
                <w:sz w:val="20"/>
                <w:lang w:val="en-GB" w:eastAsia="x-none"/>
              </w:rPr>
              <w:t>FFS: whether/how UE assumption can be applicable for multiple cells (including the feasibility study)</w:t>
            </w:r>
          </w:p>
        </w:tc>
      </w:tr>
    </w:tbl>
    <w:p w14:paraId="48A0C15E" w14:textId="11E4763F" w:rsidR="0078132B" w:rsidRDefault="0078132B" w:rsidP="00D52BD0"/>
    <w:p w14:paraId="5C3DBC2B" w14:textId="6C1D4317" w:rsidR="00D52BD0" w:rsidRDefault="00D52BD0" w:rsidP="00D52BD0">
      <w:r>
        <w:t xml:space="preserve">One difference between the positioning use case and beam management use case is, </w:t>
      </w:r>
      <w:r w:rsidR="00BE02A1">
        <w:t xml:space="preserve">for BM </w:t>
      </w:r>
      <w:r>
        <w:t xml:space="preserve">the model covers the beams </w:t>
      </w:r>
      <w:proofErr w:type="gramStart"/>
      <w:r>
        <w:t>in a given</w:t>
      </w:r>
      <w:proofErr w:type="gramEnd"/>
      <w:r>
        <w:t xml:space="preserve"> cell</w:t>
      </w:r>
      <w:r w:rsidR="00BE02A1">
        <w:t xml:space="preserve"> only</w:t>
      </w:r>
      <w:r>
        <w:t xml:space="preserve">, while multiple cells/TRPs are involved in the model for positioning. Also, the number of TRPs that are needed for generating model input can vary, if a model for positioning is trained to support a varying number of TRPs. </w:t>
      </w:r>
    </w:p>
    <w:p w14:paraId="0B2C048F" w14:textId="42072E74" w:rsidR="00D52BD0" w:rsidRDefault="00D52BD0" w:rsidP="00D52BD0">
      <w:proofErr w:type="gramStart"/>
      <w:r>
        <w:t>Thus</w:t>
      </w:r>
      <w:proofErr w:type="gramEnd"/>
      <w:r>
        <w:t xml:space="preserve"> for the positioning use case, the coverage of associated ID should be discussed separately. In our view,</w:t>
      </w:r>
      <w:r w:rsidRPr="00BF7E5C">
        <w:t xml:space="preserve"> </w:t>
      </w:r>
      <w:r>
        <w:t>the consistency between training and inference should be checked for each TRP separately, including the NW-side conditions explicit</w:t>
      </w:r>
      <w:r w:rsidR="00BE02A1">
        <w:t>ly</w:t>
      </w:r>
      <w:r>
        <w:t xml:space="preserve"> </w:t>
      </w:r>
      <w:proofErr w:type="spellStart"/>
      <w:r>
        <w:t>signalled</w:t>
      </w:r>
      <w:proofErr w:type="spellEnd"/>
      <w:r>
        <w:t xml:space="preserve"> (e.g., PRS bandwidth) and the NW-side additional conditions which are covered by associated IDs.  </w:t>
      </w:r>
    </w:p>
    <w:p w14:paraId="32B794AD" w14:textId="442D466D" w:rsidR="00D52BD0" w:rsidRDefault="00D52BD0" w:rsidP="00D52BD0">
      <w:r>
        <w:t xml:space="preserve">Regarding the associated ID, it is </w:t>
      </w:r>
      <w:r w:rsidR="00BE02A1">
        <w:t xml:space="preserve">to be </w:t>
      </w:r>
      <w:r>
        <w:t xml:space="preserve">defined per TRP, i.e., for a given TRP j, the UE assumes that the NW-side additional conditions with the same associated ID are consistent within the TRP j. </w:t>
      </w:r>
    </w:p>
    <w:p w14:paraId="47CF8990" w14:textId="77777777" w:rsidR="00D52BD0" w:rsidRDefault="00D52BD0" w:rsidP="005925D5">
      <w:pPr>
        <w:pStyle w:val="ListParagraph"/>
        <w:numPr>
          <w:ilvl w:val="0"/>
          <w:numId w:val="73"/>
        </w:numPr>
      </w:pPr>
      <w:r>
        <w:t xml:space="preserve">If for a given TRP j, the same associated ID is used between training and inference, then TRP j may be included in model inference by the UE. </w:t>
      </w:r>
    </w:p>
    <w:p w14:paraId="7FDD358C" w14:textId="77777777" w:rsidR="00D52BD0" w:rsidRDefault="00D52BD0" w:rsidP="005925D5">
      <w:pPr>
        <w:pStyle w:val="ListParagraph"/>
        <w:numPr>
          <w:ilvl w:val="0"/>
          <w:numId w:val="73"/>
        </w:numPr>
      </w:pPr>
      <w:r>
        <w:t xml:space="preserve">If for a given TRP </w:t>
      </w:r>
      <w:proofErr w:type="spellStart"/>
      <w:r>
        <w:t>i</w:t>
      </w:r>
      <w:proofErr w:type="spellEnd"/>
      <w:r>
        <w:t xml:space="preserve">, different associated IDs are used between training and inference, then TRP </w:t>
      </w:r>
      <w:proofErr w:type="spellStart"/>
      <w:r>
        <w:t>i</w:t>
      </w:r>
      <w:proofErr w:type="spellEnd"/>
      <w:r>
        <w:t xml:space="preserve"> should not be included in model inference by the UE.</w:t>
      </w:r>
    </w:p>
    <w:p w14:paraId="645C2CB3" w14:textId="77777777" w:rsidR="00D52BD0" w:rsidRDefault="00D52BD0" w:rsidP="00D52BD0"/>
    <w:p w14:paraId="00BAD064" w14:textId="7F975AC2" w:rsidR="00FC7B11" w:rsidRDefault="00FC7B11" w:rsidP="00D52BD0">
      <w:r>
        <w:t>For example, for info #7 (</w:t>
      </w:r>
      <w:r w:rsidRPr="00FC7B11">
        <w:t>Geographical coordinates of the TRPs</w:t>
      </w:r>
      <w:r>
        <w:t>), the associated ID of each TRP indicates whether the geographical location of the given TRP has changed or not.</w:t>
      </w:r>
    </w:p>
    <w:p w14:paraId="087C917C" w14:textId="77777777" w:rsidR="00D52BD0" w:rsidRDefault="00D52BD0" w:rsidP="00D52BD0">
      <w:r>
        <w:t>RAN1 should further discuss the range of values for associated ID (hence the number of bits to represent the associated ID).</w:t>
      </w:r>
    </w:p>
    <w:p w14:paraId="50230FDC" w14:textId="4772F556" w:rsidR="00D34A58" w:rsidRDefault="00D34A58" w:rsidP="00D34A58">
      <w:pPr>
        <w:pStyle w:val="Proposal"/>
      </w:pPr>
      <w:bookmarkStart w:id="2486" w:name="_Toc189845178"/>
      <w:r>
        <w:t xml:space="preserve">For </w:t>
      </w:r>
      <w:r w:rsidR="00FD5C27">
        <w:t>UE-side model (</w:t>
      </w:r>
      <w:r>
        <w:t>Case 1</w:t>
      </w:r>
      <w:r w:rsidR="00FD5C27">
        <w:t>/2a)</w:t>
      </w:r>
      <w:r>
        <w:t xml:space="preserve">, to ensure </w:t>
      </w:r>
      <w:r w:rsidRPr="00964596">
        <w:t xml:space="preserve">the consistency of NW-side additional </w:t>
      </w:r>
      <w:r w:rsidR="000E53E1" w:rsidRPr="00964596">
        <w:t>condition</w:t>
      </w:r>
      <w:r w:rsidR="000E53E1">
        <w:t xml:space="preserve"> across</w:t>
      </w:r>
      <w:r w:rsidRPr="00964596">
        <w:t xml:space="preserve"> training and inference</w:t>
      </w:r>
      <w:r>
        <w:t xml:space="preserve">, </w:t>
      </w:r>
      <w:r w:rsidR="00986300">
        <w:t>s</w:t>
      </w:r>
      <w:r>
        <w:t>upport associated ID for indicating NW conditions/configurations.</w:t>
      </w:r>
      <w:bookmarkEnd w:id="2486"/>
    </w:p>
    <w:p w14:paraId="6C7E6B07" w14:textId="77777777" w:rsidR="00D52BD0" w:rsidRDefault="00D52BD0" w:rsidP="00D52BD0">
      <w:pPr>
        <w:pStyle w:val="Proposal"/>
      </w:pPr>
      <w:bookmarkStart w:id="2487" w:name="_Toc189845179"/>
      <w:r>
        <w:t>For AI/ML based positioning, the consistency between training and inference is checked for each TRP separately.</w:t>
      </w:r>
      <w:bookmarkEnd w:id="2487"/>
      <w:r>
        <w:t xml:space="preserve"> </w:t>
      </w:r>
    </w:p>
    <w:p w14:paraId="3E003676" w14:textId="1E90CCD8" w:rsidR="00444A3E" w:rsidRDefault="00D52BD0" w:rsidP="00F04267">
      <w:pPr>
        <w:pStyle w:val="Proposal"/>
      </w:pPr>
      <w:bookmarkStart w:id="2488" w:name="_Toc189845180"/>
      <w:r>
        <w:t>For a given TRP j, the UE assumes that the NW-side additional conditions with the same associated ID are consistent within the TRP j.</w:t>
      </w:r>
      <w:bookmarkEnd w:id="2488"/>
      <w:r>
        <w:t xml:space="preserve"> </w:t>
      </w:r>
    </w:p>
    <w:p w14:paraId="1CAE887B" w14:textId="4A7192E5" w:rsidR="00444A3E" w:rsidRDefault="00444A3E" w:rsidP="00F04267">
      <w:pPr>
        <w:pStyle w:val="Heading3"/>
      </w:pPr>
      <w:bookmarkStart w:id="2489" w:name="_Ref181977548"/>
      <w:bookmarkStart w:id="2490" w:name="_Toc189845050"/>
      <w:r w:rsidRPr="004151D0">
        <w:t xml:space="preserve">Consistency </w:t>
      </w:r>
      <w:r w:rsidR="00C63AEF">
        <w:t xml:space="preserve">of </w:t>
      </w:r>
      <w:r>
        <w:t xml:space="preserve">measurements reported </w:t>
      </w:r>
      <w:r w:rsidR="00C63AEF">
        <w:t xml:space="preserve">between </w:t>
      </w:r>
      <w:r>
        <w:t>model</w:t>
      </w:r>
      <w:r w:rsidRPr="004151D0">
        <w:t xml:space="preserve"> inference and </w:t>
      </w:r>
      <w:r>
        <w:t xml:space="preserve">model </w:t>
      </w:r>
      <w:r w:rsidRPr="004151D0">
        <w:t>training</w:t>
      </w:r>
      <w:bookmarkEnd w:id="2489"/>
      <w:bookmarkEnd w:id="2490"/>
    </w:p>
    <w:p w14:paraId="6BEA0F16" w14:textId="3695B28E" w:rsidR="00F04267" w:rsidRDefault="00F04267" w:rsidP="00F04267">
      <w:r>
        <w:t xml:space="preserve">For the consistency between the RSs used during training and inference, similarly it could be left to network deployment choice at least for cases 1/2a/3a. Although there could be several types of UE deployed in the network and each could be using e.g. a different bandwidth during training, parameters can be controlled by network implementation to remain static during both training and inference. The UE can also ensure the measurement bandwidth is consistent with the bandwidth used for training. For case 3b and 2b, the LMF gather the </w:t>
      </w:r>
      <w:proofErr w:type="gramStart"/>
      <w:r>
        <w:t>measurements</w:t>
      </w:r>
      <w:proofErr w:type="gramEnd"/>
      <w:r>
        <w:t xml:space="preserve"> and the </w:t>
      </w:r>
      <w:proofErr w:type="spellStart"/>
      <w:r>
        <w:t>gNB</w:t>
      </w:r>
      <w:proofErr w:type="spellEnd"/>
      <w:r>
        <w:t>/UE may not have been involved with the model training.  It is thus important that the LMF signals what measurement bandwidth to use to provide model input.</w:t>
      </w:r>
    </w:p>
    <w:p w14:paraId="0D51C0EC" w14:textId="16011A22" w:rsidR="00F04267" w:rsidRDefault="00F04267" w:rsidP="002938DE">
      <w:pPr>
        <w:pStyle w:val="Observation"/>
      </w:pPr>
      <w:bookmarkStart w:id="2491" w:name="_Toc189845094"/>
      <w:r>
        <w:t>For Cases with LMF-side model (</w:t>
      </w:r>
      <w:r w:rsidR="00E35C7E">
        <w:t xml:space="preserve">Case </w:t>
      </w:r>
      <w:r>
        <w:t>2b/3b), the measurements reported for model input must be consistent with the ones used with training data.</w:t>
      </w:r>
      <w:bookmarkEnd w:id="2491"/>
    </w:p>
    <w:p w14:paraId="1E03A5AC" w14:textId="3B3517A7" w:rsidR="00F04267" w:rsidRDefault="00F04267" w:rsidP="00154F22">
      <w:pPr>
        <w:pStyle w:val="Proposal"/>
      </w:pPr>
      <w:bookmarkStart w:id="2492" w:name="_Toc189845181"/>
      <w:r w:rsidRPr="00736203">
        <w:t xml:space="preserve">For measurements reported to the LMF in case </w:t>
      </w:r>
      <w:r>
        <w:t>2</w:t>
      </w:r>
      <w:r w:rsidRPr="00736203">
        <w:t>b/</w:t>
      </w:r>
      <w:r>
        <w:t>3</w:t>
      </w:r>
      <w:r w:rsidRPr="00736203">
        <w:t xml:space="preserve">b, support the LMF to indicate the </w:t>
      </w:r>
      <w:r>
        <w:t xml:space="preserve">PRS/SRS </w:t>
      </w:r>
      <w:r w:rsidRPr="00736203">
        <w:t>measurement bandwidth.</w:t>
      </w:r>
      <w:bookmarkEnd w:id="2492"/>
      <w:r w:rsidRPr="00736203">
        <w:t xml:space="preserve"> </w:t>
      </w:r>
    </w:p>
    <w:p w14:paraId="60C3E0C4" w14:textId="211915AC" w:rsidR="00792A87" w:rsidRDefault="00792A87" w:rsidP="00792A87">
      <w:pPr>
        <w:pStyle w:val="Heading2"/>
      </w:pPr>
      <w:bookmarkStart w:id="2493" w:name="_Toc189845051"/>
      <w:r w:rsidRPr="004151D0">
        <w:t xml:space="preserve">Consistency </w:t>
      </w:r>
      <w:r>
        <w:t xml:space="preserve">of </w:t>
      </w:r>
      <w:r w:rsidR="00265C0B">
        <w:t xml:space="preserve">network side conditions for </w:t>
      </w:r>
      <w:r w:rsidR="006A1C46">
        <w:t>C</w:t>
      </w:r>
      <w:r w:rsidR="00265C0B">
        <w:t>ase 1</w:t>
      </w:r>
      <w:bookmarkEnd w:id="2493"/>
    </w:p>
    <w:p w14:paraId="6B336FBF" w14:textId="36C2C027" w:rsidR="005F0CF2" w:rsidRDefault="005F0CF2" w:rsidP="00265C0B">
      <w:r>
        <w:t>The following agreement was reached on the assistance data required to maintain consistency in case 1:</w:t>
      </w:r>
    </w:p>
    <w:tbl>
      <w:tblPr>
        <w:tblStyle w:val="TableGrid"/>
        <w:tblW w:w="0" w:type="auto"/>
        <w:tblLook w:val="04A0" w:firstRow="1" w:lastRow="0" w:firstColumn="1" w:lastColumn="0" w:noHBand="0" w:noVBand="1"/>
      </w:tblPr>
      <w:tblGrid>
        <w:gridCol w:w="9962"/>
      </w:tblGrid>
      <w:tr w:rsidR="005F0CF2" w14:paraId="39DB46B8" w14:textId="77777777" w:rsidTr="005F0CF2">
        <w:tc>
          <w:tcPr>
            <w:tcW w:w="9962" w:type="dxa"/>
          </w:tcPr>
          <w:p w14:paraId="70D08B8D" w14:textId="77777777" w:rsidR="005F0CF2" w:rsidRPr="00665437" w:rsidRDefault="005F0CF2" w:rsidP="00296F82">
            <w:pPr>
              <w:spacing w:after="0"/>
              <w:rPr>
                <w:rFonts w:eastAsia="DengXian"/>
                <w:highlight w:val="green"/>
                <w:lang w:eastAsia="zh-CN"/>
              </w:rPr>
            </w:pPr>
            <w:r w:rsidRPr="00665437">
              <w:rPr>
                <w:rFonts w:eastAsia="DengXian" w:hint="eastAsia"/>
                <w:highlight w:val="green"/>
                <w:lang w:eastAsia="zh-CN"/>
              </w:rPr>
              <w:t>Agreement</w:t>
            </w:r>
          </w:p>
          <w:p w14:paraId="0B869FD4" w14:textId="77777777" w:rsidR="005F0CF2" w:rsidRPr="00A53E20" w:rsidRDefault="005F0CF2" w:rsidP="00296F82">
            <w:pPr>
              <w:spacing w:after="0"/>
            </w:pPr>
            <w:r w:rsidRPr="00A53E20">
              <w:t>For AI/ML based positioning Case 1, all assistance information from legacy UE-based DL-TDOA, other than info #7, can be provided from LMF to UE. For info #7, RAN1 study</w:t>
            </w:r>
            <w:r>
              <w:rPr>
                <w:rFonts w:eastAsia="DengXian" w:hint="eastAsia"/>
                <w:lang w:eastAsia="zh-CN"/>
              </w:rPr>
              <w:t>, if necessary,</w:t>
            </w:r>
            <w:r w:rsidRPr="00A53E20">
              <w:t xml:space="preserve"> choose one alternative from the following:</w:t>
            </w:r>
          </w:p>
          <w:p w14:paraId="46AE4861" w14:textId="77777777" w:rsidR="005F0CF2" w:rsidRPr="00A53E20" w:rsidRDefault="005F0CF2" w:rsidP="00296F82">
            <w:pPr>
              <w:pStyle w:val="ListParagraph"/>
              <w:widowControl w:val="0"/>
              <w:numPr>
                <w:ilvl w:val="0"/>
                <w:numId w:val="101"/>
              </w:numPr>
              <w:tabs>
                <w:tab w:val="left" w:pos="720"/>
              </w:tabs>
            </w:pPr>
            <w:r w:rsidRPr="00A53E20">
              <w:t>Alternative 1. Info #7 is provided implicitly via associated ID.</w:t>
            </w:r>
          </w:p>
          <w:p w14:paraId="271B8C34" w14:textId="77777777" w:rsidR="005F0CF2" w:rsidRPr="00A0567C" w:rsidRDefault="005F0CF2" w:rsidP="00296F82">
            <w:pPr>
              <w:pStyle w:val="ListParagraph"/>
              <w:widowControl w:val="0"/>
              <w:numPr>
                <w:ilvl w:val="1"/>
                <w:numId w:val="101"/>
              </w:numPr>
              <w:tabs>
                <w:tab w:val="left" w:pos="720"/>
                <w:tab w:val="left" w:pos="1440"/>
              </w:tabs>
            </w:pPr>
            <w:r w:rsidRPr="00A53E20">
              <w:rPr>
                <w:rFonts w:eastAsia="Yu Mincho" w:hint="eastAsia"/>
                <w:lang w:eastAsia="ja-JP"/>
              </w:rPr>
              <w:t>A</w:t>
            </w:r>
            <w:r w:rsidRPr="00A53E20">
              <w:t xml:space="preserve">ssociated ID is </w:t>
            </w:r>
            <w:r>
              <w:t>signal</w:t>
            </w:r>
            <w:r w:rsidRPr="00A53E20">
              <w:t xml:space="preserve">ed by LMF to indicate whether </w:t>
            </w:r>
            <w:r>
              <w:t xml:space="preserve">info #7 </w:t>
            </w:r>
            <w:r w:rsidRPr="00A53E20">
              <w:t>is consistent between training and inference.</w:t>
            </w:r>
          </w:p>
          <w:p w14:paraId="66DE6DFF" w14:textId="77777777" w:rsidR="005F0CF2" w:rsidRPr="00A53E20" w:rsidRDefault="005F0CF2" w:rsidP="00296F82">
            <w:pPr>
              <w:pStyle w:val="ListParagraph"/>
              <w:widowControl w:val="0"/>
              <w:numPr>
                <w:ilvl w:val="0"/>
                <w:numId w:val="101"/>
              </w:numPr>
              <w:tabs>
                <w:tab w:val="left" w:pos="720"/>
              </w:tabs>
            </w:pPr>
            <w:r w:rsidRPr="00A53E20">
              <w:t xml:space="preserve">Alternative 2. 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 xml:space="preserve">be provided explicitly or implicitly. </w:t>
            </w:r>
          </w:p>
          <w:p w14:paraId="7E2EB7EF" w14:textId="77777777" w:rsidR="005F0CF2" w:rsidRPr="00A53E20" w:rsidRDefault="005F0CF2" w:rsidP="00296F82">
            <w:pPr>
              <w:pStyle w:val="ListParagraph"/>
              <w:widowControl w:val="0"/>
              <w:numPr>
                <w:ilvl w:val="1"/>
                <w:numId w:val="101"/>
              </w:numPr>
              <w:tabs>
                <w:tab w:val="left" w:pos="720"/>
                <w:tab w:val="left" w:pos="1440"/>
              </w:tabs>
            </w:pPr>
            <w:r w:rsidRPr="00A53E20">
              <w:t xml:space="preserve">If provided implicitly, </w:t>
            </w:r>
            <w:r w:rsidRPr="00A53E20">
              <w:rPr>
                <w:rFonts w:eastAsia="Yu Mincho"/>
                <w:lang w:eastAsia="ja-JP"/>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p>
          <w:p w14:paraId="61534608" w14:textId="77777777" w:rsidR="005F0CF2" w:rsidRPr="00A53E20" w:rsidRDefault="005F0CF2" w:rsidP="00296F82">
            <w:pPr>
              <w:pStyle w:val="ListParagraph"/>
              <w:widowControl w:val="0"/>
              <w:numPr>
                <w:ilvl w:val="0"/>
                <w:numId w:val="101"/>
              </w:numPr>
              <w:tabs>
                <w:tab w:val="left" w:pos="720"/>
                <w:tab w:val="left" w:pos="1440"/>
              </w:tabs>
            </w:pPr>
            <w:r w:rsidRPr="00A53E20">
              <w:t xml:space="preserve">Alternative 3.  Info #7 </w:t>
            </w:r>
            <w:proofErr w:type="gramStart"/>
            <w:r w:rsidRPr="00A53E20">
              <w:t xml:space="preserve">is </w:t>
            </w:r>
            <w:r w:rsidRPr="00A53E20">
              <w:rPr>
                <w:b/>
                <w:bCs/>
              </w:rPr>
              <w:t>not</w:t>
            </w:r>
            <w:r w:rsidRPr="00A53E20">
              <w:t xml:space="preserve"> be</w:t>
            </w:r>
            <w:proofErr w:type="gramEnd"/>
            <w:r w:rsidRPr="00A53E20">
              <w:t xml:space="preserve"> provided from LMF to UE. </w:t>
            </w:r>
          </w:p>
          <w:p w14:paraId="52B284A3" w14:textId="77777777" w:rsidR="005F0CF2" w:rsidRPr="00A53E20" w:rsidRDefault="005F0CF2" w:rsidP="00296F82">
            <w:pPr>
              <w:pStyle w:val="ListParagraph"/>
              <w:widowControl w:val="0"/>
              <w:numPr>
                <w:ilvl w:val="1"/>
                <w:numId w:val="101"/>
              </w:numPr>
              <w:tabs>
                <w:tab w:val="left" w:pos="720"/>
                <w:tab w:val="left" w:pos="1440"/>
              </w:tabs>
            </w:pPr>
            <w:r w:rsidRPr="00A53E20">
              <w:t xml:space="preserve">If info #7 is not provided, UE may assume </w:t>
            </w:r>
            <w:r>
              <w:t xml:space="preserve">info </w:t>
            </w:r>
            <w:r w:rsidRPr="00A53E20">
              <w:t>#7 is consistent between training and inference.</w:t>
            </w:r>
          </w:p>
          <w:p w14:paraId="259731FD" w14:textId="77777777" w:rsidR="005F0CF2" w:rsidRPr="00BF219B" w:rsidRDefault="005F0CF2" w:rsidP="00296F82">
            <w:pPr>
              <w:pStyle w:val="ListParagraph"/>
              <w:widowControl w:val="0"/>
              <w:numPr>
                <w:ilvl w:val="0"/>
                <w:numId w:val="101"/>
              </w:numPr>
              <w:tabs>
                <w:tab w:val="left" w:pos="720"/>
                <w:tab w:val="left" w:pos="1440"/>
              </w:tabs>
            </w:pPr>
            <w:r w:rsidRPr="00A53E20">
              <w:t xml:space="preserve">Alternative 4. Info #7 is provided explicitly from LMF to UE. </w:t>
            </w:r>
          </w:p>
          <w:tbl>
            <w:tblPr>
              <w:tblW w:w="9355" w:type="dxa"/>
              <w:tblLook w:val="04A0" w:firstRow="1" w:lastRow="0" w:firstColumn="1" w:lastColumn="0" w:noHBand="0" w:noVBand="1"/>
            </w:tblPr>
            <w:tblGrid>
              <w:gridCol w:w="535"/>
              <w:gridCol w:w="8820"/>
            </w:tblGrid>
            <w:tr w:rsidR="005F0CF2" w14:paraId="7DBC6A5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58968" w14:textId="77777777" w:rsidR="005F0CF2" w:rsidRDefault="005F0CF2" w:rsidP="00296F82">
                  <w:pPr>
                    <w:spacing w:after="0"/>
                    <w:rPr>
                      <w:rFonts w:ascii="Times New Roman" w:eastAsia="Times New Roman" w:hAnsi="Times New Roman"/>
                      <w:color w:val="000000"/>
                      <w:szCs w:val="20"/>
                    </w:rPr>
                  </w:pPr>
                  <w:r>
                    <w:rPr>
                      <w:rFonts w:ascii="Times New Roman" w:eastAsia="Times New Roman" w:hAnsi="Times New Roman"/>
                      <w:color w:val="00000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553419" w14:textId="77777777" w:rsidR="005F0CF2" w:rsidRDefault="005F0CF2" w:rsidP="00296F82">
                  <w:pPr>
                    <w:spacing w:after="0"/>
                    <w:rPr>
                      <w:rFonts w:ascii="Times New Roman" w:eastAsia="Times New Roman" w:hAnsi="Times New Roman"/>
                      <w:color w:val="000000"/>
                      <w:szCs w:val="20"/>
                    </w:rPr>
                  </w:pPr>
                  <w:r>
                    <w:rPr>
                      <w:rFonts w:ascii="Times New Roman" w:eastAsia="Times New Roman" w:hAnsi="Times New Roman"/>
                      <w:color w:val="000000"/>
                      <w:szCs w:val="20"/>
                    </w:rPr>
                    <w:t xml:space="preserve">Geographical coordinates of the TRPs served by the </w:t>
                  </w:r>
                  <w:proofErr w:type="spellStart"/>
                  <w:r>
                    <w:rPr>
                      <w:rFonts w:ascii="Times New Roman" w:eastAsia="Times New Roman" w:hAnsi="Times New Roman"/>
                      <w:color w:val="000000"/>
                      <w:szCs w:val="20"/>
                    </w:rPr>
                    <w:t>gNB</w:t>
                  </w:r>
                  <w:proofErr w:type="spellEnd"/>
                  <w:r>
                    <w:rPr>
                      <w:rFonts w:ascii="Times New Roman" w:eastAsia="Times New Roman" w:hAnsi="Times New Roman"/>
                      <w:color w:val="000000"/>
                      <w:szCs w:val="20"/>
                    </w:rPr>
                    <w:t xml:space="preserve"> (include a transmission reference location for each DL-PRS Resource ID, reference location for the transmitting antenna of the reference TRP, relative locations for transmitting antennas of other TRPs)</w:t>
                  </w:r>
                </w:p>
              </w:tc>
            </w:tr>
          </w:tbl>
          <w:p w14:paraId="02F2DB7F" w14:textId="77777777" w:rsidR="005F0CF2" w:rsidRDefault="005F0CF2" w:rsidP="00296F82">
            <w:pPr>
              <w:spacing w:after="0"/>
            </w:pPr>
          </w:p>
        </w:tc>
      </w:tr>
    </w:tbl>
    <w:p w14:paraId="16F5232A" w14:textId="77777777" w:rsidR="005F0CF2" w:rsidRDefault="005F0CF2" w:rsidP="00265C0B"/>
    <w:p w14:paraId="0494A06C" w14:textId="30D7CDCA" w:rsidR="00D1367F" w:rsidRDefault="004677B3" w:rsidP="00265C0B">
      <w:r>
        <w:t xml:space="preserve">Hence the remaining issue is whether the TRP location is required to </w:t>
      </w:r>
      <w:r w:rsidR="00584F57">
        <w:t>case 1, and if so how to signal it</w:t>
      </w:r>
      <w:r w:rsidR="00265C0B" w:rsidDel="004677B3">
        <w:t xml:space="preserve">. </w:t>
      </w:r>
      <w:r w:rsidR="004F1852">
        <w:t xml:space="preserve"> </w:t>
      </w:r>
      <w:proofErr w:type="gramStart"/>
      <w:r w:rsidR="004F1852">
        <w:t xml:space="preserve">Additionally, </w:t>
      </w:r>
      <w:r w:rsidR="003D2BE8">
        <w:t xml:space="preserve"> </w:t>
      </w:r>
      <w:r w:rsidR="00332CE5">
        <w:t>there</w:t>
      </w:r>
      <w:proofErr w:type="gramEnd"/>
      <w:r w:rsidR="00332CE5">
        <w:t xml:space="preserve"> are proposal to also support AOD assistance data.</w:t>
      </w:r>
      <w:r w:rsidR="003D2BE8">
        <w:t xml:space="preserve"> </w:t>
      </w:r>
      <w:r w:rsidR="00332CE5">
        <w:t xml:space="preserve"> </w:t>
      </w:r>
      <w:r w:rsidR="00CD770E">
        <w:t xml:space="preserve">As discussed in section 1 of this contribution, only time-based methods have been discussed in the SI phase, and we thus assume only assistance data from time-based methods as baseline for </w:t>
      </w:r>
      <w:r w:rsidR="00CA1400">
        <w:t>C</w:t>
      </w:r>
      <w:r w:rsidR="00CD770E">
        <w:t>ase 1.  Furthermore, one should consider what is strictly necessary for case 1, which is</w:t>
      </w:r>
      <w:r w:rsidR="00654B65">
        <w:t xml:space="preserve"> essentially </w:t>
      </w:r>
      <w:r w:rsidR="00CD770E">
        <w:t>a fingerprinting</w:t>
      </w:r>
      <w:r w:rsidR="00806135">
        <w:t xml:space="preserve"> method. </w:t>
      </w:r>
      <w:r w:rsidR="00081C63">
        <w:t>This most notably changes the need the UE has in terms of calculation assistance data.</w:t>
      </w:r>
      <w:r w:rsidR="000647F9">
        <w:t xml:space="preserve"> Therefore, info #16-18 are not to be provided explicitly from LMF to UE, which are those that are specified for UE-based DL-</w:t>
      </w:r>
      <w:proofErr w:type="spellStart"/>
      <w:r w:rsidR="000647F9">
        <w:t>AoD</w:t>
      </w:r>
      <w:proofErr w:type="spellEnd"/>
      <w:r w:rsidR="000647F9">
        <w:t xml:space="preserve"> but not UE-based DL-TDOA. </w:t>
      </w:r>
      <w:r w:rsidR="006C27C1">
        <w:t>For example, for spatial information, info #6 is adequate for DL-TDOA, and info #16 provides further details that DL-</w:t>
      </w:r>
      <w:proofErr w:type="spellStart"/>
      <w:r w:rsidR="006C27C1">
        <w:t>AoD</w:t>
      </w:r>
      <w:proofErr w:type="spellEnd"/>
      <w:r w:rsidR="006C27C1">
        <w:t xml:space="preserve"> needs, where info #6 is “</w:t>
      </w:r>
      <w:r w:rsidR="006C27C1" w:rsidRPr="006C27C1">
        <w:t xml:space="preserve">Spatial direction information (e.g. azimuth, elevation etc.) of the DL-PRS Resources of the TRPs served by the </w:t>
      </w:r>
      <w:proofErr w:type="spellStart"/>
      <w:r w:rsidR="006C27C1" w:rsidRPr="006C27C1">
        <w:t>gNB</w:t>
      </w:r>
      <w:proofErr w:type="spellEnd"/>
      <w:r w:rsidR="006C27C1">
        <w:t>”.</w:t>
      </w:r>
    </w:p>
    <w:p w14:paraId="01093D16" w14:textId="58F06348" w:rsidR="00C054AF" w:rsidRDefault="00C054AF" w:rsidP="007B381C">
      <w:pPr>
        <w:pStyle w:val="Caption"/>
        <w:jc w:val="center"/>
      </w:pPr>
      <w:r>
        <w:t xml:space="preserve">Table </w:t>
      </w:r>
      <w:r>
        <w:fldChar w:fldCharType="begin"/>
      </w:r>
      <w:r>
        <w:instrText xml:space="preserve"> SEQ Table \* ARABIC </w:instrText>
      </w:r>
      <w:r>
        <w:fldChar w:fldCharType="separate"/>
      </w:r>
      <w:r w:rsidR="00C713E4">
        <w:rPr>
          <w:noProof/>
        </w:rPr>
        <w:t>8</w:t>
      </w:r>
      <w:r>
        <w:fldChar w:fldCharType="end"/>
      </w:r>
      <w:r>
        <w:t>. Information that are specified for UE-based DL-</w:t>
      </w:r>
      <w:proofErr w:type="spellStart"/>
      <w:r>
        <w:t>AoD</w:t>
      </w:r>
      <w:proofErr w:type="spellEnd"/>
      <w:r>
        <w:t xml:space="preserve"> but not UE-based DL-TDOA</w:t>
      </w:r>
    </w:p>
    <w:tbl>
      <w:tblPr>
        <w:tblW w:w="8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5420"/>
        <w:gridCol w:w="1060"/>
        <w:gridCol w:w="1060"/>
      </w:tblGrid>
      <w:tr w:rsidR="00C054AF" w14:paraId="33F16F92" w14:textId="77777777" w:rsidTr="00E445F4">
        <w:trPr>
          <w:trHeight w:val="870"/>
          <w:jc w:val="center"/>
        </w:trPr>
        <w:tc>
          <w:tcPr>
            <w:tcW w:w="600" w:type="dxa"/>
            <w:shd w:val="clear" w:color="auto" w:fill="auto"/>
            <w:noWrap/>
            <w:vAlign w:val="bottom"/>
          </w:tcPr>
          <w:p w14:paraId="4519E3A2" w14:textId="77777777" w:rsidR="00C054AF" w:rsidRDefault="00C054AF" w:rsidP="00E445F4">
            <w:pPr>
              <w:rPr>
                <w:rFonts w:ascii="Aptos Narrow" w:hAnsi="Aptos Narrow"/>
                <w:color w:val="000000"/>
              </w:rPr>
            </w:pPr>
          </w:p>
        </w:tc>
        <w:tc>
          <w:tcPr>
            <w:tcW w:w="5420" w:type="dxa"/>
            <w:shd w:val="clear" w:color="auto" w:fill="auto"/>
            <w:vAlign w:val="center"/>
          </w:tcPr>
          <w:p w14:paraId="0D3EA58E" w14:textId="77777777" w:rsidR="00C054AF" w:rsidRPr="00E445F4" w:rsidRDefault="00C054AF" w:rsidP="00E445F4">
            <w:pPr>
              <w:rPr>
                <w:rFonts w:ascii="Aptos" w:hAnsi="Aptos"/>
                <w:color w:val="000000"/>
                <w:szCs w:val="20"/>
              </w:rPr>
            </w:pPr>
            <w:r w:rsidRPr="00E445F4">
              <w:rPr>
                <w:rFonts w:ascii="Aptos" w:hAnsi="Aptos"/>
                <w:b/>
                <w:bCs/>
                <w:color w:val="000000"/>
                <w:szCs w:val="20"/>
              </w:rPr>
              <w:t>Existing assistance data (supported up to Rel-18) that may be transferred from LMF to UE in UE-based DL-</w:t>
            </w:r>
            <w:proofErr w:type="spellStart"/>
            <w:r w:rsidRPr="00E445F4">
              <w:rPr>
                <w:rFonts w:ascii="Aptos" w:hAnsi="Aptos"/>
                <w:b/>
                <w:bCs/>
                <w:color w:val="000000"/>
                <w:szCs w:val="20"/>
              </w:rPr>
              <w:t>TdoA</w:t>
            </w:r>
            <w:proofErr w:type="spellEnd"/>
            <w:r w:rsidRPr="00E445F4">
              <w:rPr>
                <w:rFonts w:ascii="Aptos" w:hAnsi="Aptos"/>
                <w:b/>
                <w:bCs/>
                <w:color w:val="000000"/>
                <w:szCs w:val="20"/>
              </w:rPr>
              <w:t xml:space="preserve"> [1] or UE-</w:t>
            </w:r>
            <w:proofErr w:type="gramStart"/>
            <w:r w:rsidRPr="00E445F4">
              <w:rPr>
                <w:rFonts w:ascii="Aptos" w:hAnsi="Aptos"/>
                <w:b/>
                <w:bCs/>
                <w:color w:val="000000"/>
                <w:szCs w:val="20"/>
              </w:rPr>
              <w:t>based  DL</w:t>
            </w:r>
            <w:proofErr w:type="gramEnd"/>
            <w:r w:rsidRPr="00E445F4">
              <w:rPr>
                <w:rFonts w:ascii="Aptos" w:hAnsi="Aptos"/>
                <w:b/>
                <w:bCs/>
                <w:color w:val="000000"/>
                <w:szCs w:val="20"/>
              </w:rPr>
              <w:t>-</w:t>
            </w:r>
            <w:proofErr w:type="spellStart"/>
            <w:r w:rsidRPr="00E445F4">
              <w:rPr>
                <w:rFonts w:ascii="Aptos" w:hAnsi="Aptos"/>
                <w:b/>
                <w:bCs/>
                <w:color w:val="000000"/>
                <w:szCs w:val="20"/>
              </w:rPr>
              <w:t>AoD</w:t>
            </w:r>
            <w:proofErr w:type="spellEnd"/>
            <w:r w:rsidRPr="00E445F4">
              <w:rPr>
                <w:rFonts w:ascii="Aptos" w:hAnsi="Aptos"/>
                <w:b/>
                <w:bCs/>
                <w:color w:val="000000"/>
                <w:szCs w:val="20"/>
              </w:rPr>
              <w:t xml:space="preserve"> [2], as applicable </w:t>
            </w:r>
          </w:p>
        </w:tc>
        <w:tc>
          <w:tcPr>
            <w:tcW w:w="1060" w:type="dxa"/>
            <w:shd w:val="clear" w:color="auto" w:fill="auto"/>
            <w:noWrap/>
            <w:vAlign w:val="center"/>
          </w:tcPr>
          <w:p w14:paraId="3761FB0C" w14:textId="77777777" w:rsidR="00C054AF" w:rsidRPr="003101F6" w:rsidRDefault="00C054AF" w:rsidP="00E445F4">
            <w:pPr>
              <w:rPr>
                <w:rFonts w:ascii="Aptos Narrow" w:hAnsi="Aptos Narrow"/>
                <w:color w:val="FF0000"/>
                <w:szCs w:val="20"/>
              </w:rPr>
            </w:pPr>
            <w:r w:rsidRPr="00E445F4">
              <w:rPr>
                <w:rFonts w:ascii="Aptos" w:hAnsi="Aptos"/>
                <w:b/>
                <w:bCs/>
                <w:color w:val="000000"/>
                <w:szCs w:val="20"/>
              </w:rPr>
              <w:t>UE-based DL-TDOA</w:t>
            </w:r>
          </w:p>
        </w:tc>
        <w:tc>
          <w:tcPr>
            <w:tcW w:w="1060" w:type="dxa"/>
            <w:shd w:val="clear" w:color="auto" w:fill="auto"/>
            <w:noWrap/>
            <w:vAlign w:val="center"/>
          </w:tcPr>
          <w:p w14:paraId="44E8D99F" w14:textId="77777777" w:rsidR="00C054AF" w:rsidRPr="003101F6" w:rsidRDefault="00C054AF" w:rsidP="00E445F4">
            <w:pPr>
              <w:rPr>
                <w:rFonts w:ascii="Aptos Narrow" w:hAnsi="Aptos Narrow"/>
                <w:color w:val="000000"/>
                <w:szCs w:val="20"/>
              </w:rPr>
            </w:pPr>
            <w:r w:rsidRPr="00E445F4">
              <w:rPr>
                <w:rFonts w:ascii="Aptos" w:hAnsi="Aptos"/>
                <w:b/>
                <w:bCs/>
                <w:color w:val="000000"/>
                <w:szCs w:val="20"/>
              </w:rPr>
              <w:t>UE-</w:t>
            </w:r>
            <w:proofErr w:type="gramStart"/>
            <w:r w:rsidRPr="00E445F4">
              <w:rPr>
                <w:rFonts w:ascii="Aptos" w:hAnsi="Aptos"/>
                <w:b/>
                <w:bCs/>
                <w:color w:val="000000"/>
                <w:szCs w:val="20"/>
              </w:rPr>
              <w:t>based  DL</w:t>
            </w:r>
            <w:proofErr w:type="gramEnd"/>
            <w:r w:rsidRPr="00E445F4">
              <w:rPr>
                <w:rFonts w:ascii="Aptos" w:hAnsi="Aptos"/>
                <w:b/>
                <w:bCs/>
                <w:color w:val="000000"/>
                <w:szCs w:val="20"/>
              </w:rPr>
              <w:t>-</w:t>
            </w:r>
            <w:proofErr w:type="spellStart"/>
            <w:r w:rsidRPr="00E445F4">
              <w:rPr>
                <w:rFonts w:ascii="Aptos" w:hAnsi="Aptos"/>
                <w:b/>
                <w:bCs/>
                <w:color w:val="000000"/>
                <w:szCs w:val="20"/>
              </w:rPr>
              <w:t>AoD</w:t>
            </w:r>
            <w:proofErr w:type="spellEnd"/>
          </w:p>
        </w:tc>
      </w:tr>
      <w:tr w:rsidR="00C054AF" w14:paraId="59165314" w14:textId="77777777" w:rsidTr="00E445F4">
        <w:trPr>
          <w:trHeight w:val="870"/>
          <w:jc w:val="center"/>
        </w:trPr>
        <w:tc>
          <w:tcPr>
            <w:tcW w:w="600" w:type="dxa"/>
            <w:shd w:val="clear" w:color="auto" w:fill="auto"/>
            <w:noWrap/>
            <w:vAlign w:val="bottom"/>
            <w:hideMark/>
          </w:tcPr>
          <w:p w14:paraId="50520077" w14:textId="77777777" w:rsidR="00C054AF" w:rsidRDefault="00C054AF" w:rsidP="00E445F4">
            <w:pPr>
              <w:rPr>
                <w:rFonts w:ascii="Aptos Narrow" w:hAnsi="Aptos Narrow"/>
                <w:color w:val="000000"/>
              </w:rPr>
            </w:pPr>
            <w:r>
              <w:rPr>
                <w:rFonts w:ascii="Aptos Narrow" w:hAnsi="Aptos Narrow"/>
                <w:color w:val="000000"/>
              </w:rPr>
              <w:t>16</w:t>
            </w:r>
          </w:p>
        </w:tc>
        <w:tc>
          <w:tcPr>
            <w:tcW w:w="5420" w:type="dxa"/>
            <w:shd w:val="clear" w:color="auto" w:fill="auto"/>
            <w:vAlign w:val="center"/>
            <w:hideMark/>
          </w:tcPr>
          <w:p w14:paraId="74E8B98E" w14:textId="77777777" w:rsidR="00C054AF" w:rsidRDefault="00C054AF" w:rsidP="00E445F4">
            <w:pPr>
              <w:rPr>
                <w:rFonts w:ascii="Aptos" w:hAnsi="Aptos"/>
                <w:color w:val="000000"/>
                <w:sz w:val="22"/>
              </w:rPr>
            </w:pPr>
            <w:r>
              <w:rPr>
                <w:rFonts w:ascii="Aptos" w:hAnsi="Aptos"/>
                <w:color w:val="000000"/>
                <w:sz w:val="22"/>
              </w:rPr>
              <w:t>TRP beam/antenna information (including azimuth angle, zenith angle and relative power between PRS resources per angle per TRP)</w:t>
            </w:r>
          </w:p>
        </w:tc>
        <w:tc>
          <w:tcPr>
            <w:tcW w:w="1060" w:type="dxa"/>
            <w:shd w:val="clear" w:color="auto" w:fill="auto"/>
            <w:noWrap/>
            <w:vAlign w:val="bottom"/>
            <w:hideMark/>
          </w:tcPr>
          <w:p w14:paraId="1F23851C" w14:textId="77777777" w:rsidR="00C054AF" w:rsidRDefault="00C054AF" w:rsidP="00E445F4">
            <w:pPr>
              <w:rPr>
                <w:rFonts w:ascii="Aptos Narrow" w:hAnsi="Aptos Narrow"/>
                <w:color w:val="FF0000"/>
              </w:rPr>
            </w:pPr>
            <w:r>
              <w:rPr>
                <w:rFonts w:ascii="Aptos Narrow" w:hAnsi="Aptos Narrow"/>
                <w:color w:val="FF0000"/>
              </w:rPr>
              <w:t>N/A</w:t>
            </w:r>
          </w:p>
        </w:tc>
        <w:tc>
          <w:tcPr>
            <w:tcW w:w="1060" w:type="dxa"/>
            <w:shd w:val="clear" w:color="auto" w:fill="auto"/>
            <w:noWrap/>
            <w:vAlign w:val="bottom"/>
            <w:hideMark/>
          </w:tcPr>
          <w:p w14:paraId="30B634DA" w14:textId="77777777" w:rsidR="00C054AF" w:rsidRDefault="00C054AF" w:rsidP="00E445F4">
            <w:pPr>
              <w:rPr>
                <w:rFonts w:ascii="Aptos Narrow" w:hAnsi="Aptos Narrow"/>
                <w:color w:val="000000"/>
              </w:rPr>
            </w:pPr>
            <w:r>
              <w:rPr>
                <w:rFonts w:ascii="Aptos Narrow" w:hAnsi="Aptos Narrow"/>
                <w:color w:val="000000"/>
              </w:rPr>
              <w:t>Explicit</w:t>
            </w:r>
          </w:p>
        </w:tc>
      </w:tr>
      <w:tr w:rsidR="00C054AF" w14:paraId="1C513AC1" w14:textId="77777777" w:rsidTr="00E445F4">
        <w:trPr>
          <w:trHeight w:val="320"/>
          <w:jc w:val="center"/>
        </w:trPr>
        <w:tc>
          <w:tcPr>
            <w:tcW w:w="600" w:type="dxa"/>
            <w:shd w:val="clear" w:color="auto" w:fill="auto"/>
            <w:noWrap/>
            <w:vAlign w:val="bottom"/>
            <w:hideMark/>
          </w:tcPr>
          <w:p w14:paraId="487E15D5" w14:textId="77777777" w:rsidR="00C054AF" w:rsidRDefault="00C054AF" w:rsidP="00E445F4">
            <w:pPr>
              <w:rPr>
                <w:rFonts w:ascii="Aptos Narrow" w:hAnsi="Aptos Narrow"/>
                <w:color w:val="000000"/>
              </w:rPr>
            </w:pPr>
            <w:r>
              <w:rPr>
                <w:rFonts w:ascii="Aptos Narrow" w:hAnsi="Aptos Narrow"/>
                <w:color w:val="000000"/>
              </w:rPr>
              <w:t>17</w:t>
            </w:r>
          </w:p>
        </w:tc>
        <w:tc>
          <w:tcPr>
            <w:tcW w:w="5420" w:type="dxa"/>
            <w:shd w:val="clear" w:color="auto" w:fill="auto"/>
            <w:vAlign w:val="center"/>
            <w:hideMark/>
          </w:tcPr>
          <w:p w14:paraId="281877FA" w14:textId="77777777" w:rsidR="00C054AF" w:rsidRDefault="00C054AF" w:rsidP="00E445F4">
            <w:pPr>
              <w:rPr>
                <w:rFonts w:ascii="Aptos" w:hAnsi="Aptos"/>
                <w:color w:val="000000"/>
                <w:sz w:val="22"/>
              </w:rPr>
            </w:pPr>
            <w:r>
              <w:rPr>
                <w:rFonts w:ascii="Aptos" w:hAnsi="Aptos"/>
                <w:color w:val="000000"/>
                <w:sz w:val="22"/>
              </w:rPr>
              <w:t>Expected Angle Assistance information</w:t>
            </w:r>
          </w:p>
        </w:tc>
        <w:tc>
          <w:tcPr>
            <w:tcW w:w="1060" w:type="dxa"/>
            <w:shd w:val="clear" w:color="auto" w:fill="auto"/>
            <w:noWrap/>
            <w:vAlign w:val="bottom"/>
            <w:hideMark/>
          </w:tcPr>
          <w:p w14:paraId="4DBF855D" w14:textId="77777777" w:rsidR="00C054AF" w:rsidRDefault="00C054AF" w:rsidP="00E445F4">
            <w:pPr>
              <w:rPr>
                <w:rFonts w:ascii="Aptos Narrow" w:hAnsi="Aptos Narrow"/>
                <w:color w:val="FF0000"/>
              </w:rPr>
            </w:pPr>
            <w:r>
              <w:rPr>
                <w:rFonts w:ascii="Aptos Narrow" w:hAnsi="Aptos Narrow"/>
                <w:color w:val="FF0000"/>
              </w:rPr>
              <w:t>N/A</w:t>
            </w:r>
          </w:p>
        </w:tc>
        <w:tc>
          <w:tcPr>
            <w:tcW w:w="1060" w:type="dxa"/>
            <w:shd w:val="clear" w:color="auto" w:fill="auto"/>
            <w:noWrap/>
            <w:vAlign w:val="bottom"/>
            <w:hideMark/>
          </w:tcPr>
          <w:p w14:paraId="476C2EEE" w14:textId="77777777" w:rsidR="00C054AF" w:rsidRDefault="00C054AF" w:rsidP="00E445F4">
            <w:pPr>
              <w:rPr>
                <w:rFonts w:ascii="Aptos Narrow" w:hAnsi="Aptos Narrow"/>
                <w:color w:val="000000"/>
              </w:rPr>
            </w:pPr>
            <w:r>
              <w:rPr>
                <w:rFonts w:ascii="Aptos Narrow" w:hAnsi="Aptos Narrow"/>
                <w:color w:val="000000"/>
              </w:rPr>
              <w:t>Explicit</w:t>
            </w:r>
          </w:p>
        </w:tc>
      </w:tr>
      <w:tr w:rsidR="00C054AF" w14:paraId="0961759F" w14:textId="77777777" w:rsidTr="00E445F4">
        <w:trPr>
          <w:trHeight w:val="320"/>
          <w:jc w:val="center"/>
        </w:trPr>
        <w:tc>
          <w:tcPr>
            <w:tcW w:w="600" w:type="dxa"/>
            <w:shd w:val="clear" w:color="auto" w:fill="auto"/>
            <w:noWrap/>
            <w:vAlign w:val="bottom"/>
            <w:hideMark/>
          </w:tcPr>
          <w:p w14:paraId="7347ACDE" w14:textId="77777777" w:rsidR="00C054AF" w:rsidRDefault="00C054AF" w:rsidP="00E445F4">
            <w:pPr>
              <w:rPr>
                <w:rFonts w:ascii="Aptos Narrow" w:hAnsi="Aptos Narrow"/>
                <w:color w:val="000000"/>
              </w:rPr>
            </w:pPr>
            <w:r>
              <w:rPr>
                <w:rFonts w:ascii="Aptos Narrow" w:hAnsi="Aptos Narrow"/>
                <w:color w:val="000000"/>
              </w:rPr>
              <w:t>18</w:t>
            </w:r>
          </w:p>
        </w:tc>
        <w:tc>
          <w:tcPr>
            <w:tcW w:w="5420" w:type="dxa"/>
            <w:shd w:val="clear" w:color="auto" w:fill="auto"/>
            <w:vAlign w:val="center"/>
            <w:hideMark/>
          </w:tcPr>
          <w:p w14:paraId="1FBFA7AD" w14:textId="77777777" w:rsidR="00C054AF" w:rsidRDefault="00C054AF" w:rsidP="00E445F4">
            <w:pPr>
              <w:rPr>
                <w:rFonts w:ascii="Aptos" w:hAnsi="Aptos"/>
                <w:color w:val="000000"/>
                <w:sz w:val="22"/>
              </w:rPr>
            </w:pPr>
            <w:r>
              <w:rPr>
                <w:rFonts w:ascii="Aptos" w:hAnsi="Aptos"/>
                <w:color w:val="000000"/>
                <w:sz w:val="22"/>
              </w:rPr>
              <w:t>PRS priority list</w:t>
            </w:r>
          </w:p>
        </w:tc>
        <w:tc>
          <w:tcPr>
            <w:tcW w:w="1060" w:type="dxa"/>
            <w:shd w:val="clear" w:color="auto" w:fill="auto"/>
            <w:noWrap/>
            <w:vAlign w:val="bottom"/>
            <w:hideMark/>
          </w:tcPr>
          <w:p w14:paraId="16906866" w14:textId="77777777" w:rsidR="00C054AF" w:rsidRDefault="00C054AF" w:rsidP="00E445F4">
            <w:pPr>
              <w:rPr>
                <w:rFonts w:ascii="Aptos Narrow" w:hAnsi="Aptos Narrow"/>
                <w:color w:val="FF0000"/>
              </w:rPr>
            </w:pPr>
            <w:r>
              <w:rPr>
                <w:rFonts w:ascii="Aptos Narrow" w:hAnsi="Aptos Narrow"/>
                <w:color w:val="FF0000"/>
              </w:rPr>
              <w:t>N/A</w:t>
            </w:r>
          </w:p>
        </w:tc>
        <w:tc>
          <w:tcPr>
            <w:tcW w:w="1060" w:type="dxa"/>
            <w:shd w:val="clear" w:color="auto" w:fill="auto"/>
            <w:noWrap/>
            <w:vAlign w:val="bottom"/>
            <w:hideMark/>
          </w:tcPr>
          <w:p w14:paraId="3D01CEA5" w14:textId="77777777" w:rsidR="00C054AF" w:rsidRDefault="00C054AF" w:rsidP="00E445F4">
            <w:pPr>
              <w:rPr>
                <w:rFonts w:ascii="Aptos Narrow" w:hAnsi="Aptos Narrow"/>
                <w:color w:val="000000"/>
              </w:rPr>
            </w:pPr>
            <w:r>
              <w:rPr>
                <w:rFonts w:ascii="Aptos Narrow" w:hAnsi="Aptos Narrow"/>
                <w:color w:val="000000"/>
              </w:rPr>
              <w:t>Explicit</w:t>
            </w:r>
          </w:p>
        </w:tc>
      </w:tr>
    </w:tbl>
    <w:p w14:paraId="3D8F3954" w14:textId="77777777" w:rsidR="00C054AF" w:rsidRDefault="00C054AF" w:rsidP="00265C0B"/>
    <w:p w14:paraId="4C3EFFCD" w14:textId="77777777" w:rsidR="00332CE5" w:rsidRDefault="00806135" w:rsidP="00806135">
      <w:pPr>
        <w:pStyle w:val="Observation"/>
      </w:pPr>
      <w:bookmarkStart w:id="2494" w:name="_Toc189845095"/>
      <w:r>
        <w:t>For Case 1, the SI only considered time-based fingerprinting approaches</w:t>
      </w:r>
      <w:r w:rsidR="00516557">
        <w:t>.</w:t>
      </w:r>
      <w:bookmarkEnd w:id="2494"/>
      <w:r w:rsidR="00332CE5">
        <w:t xml:space="preserve"> </w:t>
      </w:r>
    </w:p>
    <w:p w14:paraId="147E0808" w14:textId="61FE7A8C" w:rsidR="00806135" w:rsidRDefault="00332CE5" w:rsidP="007B381C">
      <w:pPr>
        <w:pStyle w:val="Proposal"/>
      </w:pPr>
      <w:bookmarkStart w:id="2495" w:name="_Toc189845182"/>
      <w:r>
        <w:t>Do not support provision of assistance data</w:t>
      </w:r>
      <w:r w:rsidR="00930EF4">
        <w:t xml:space="preserve"> </w:t>
      </w:r>
      <w:r w:rsidR="0091201E">
        <w:t xml:space="preserve">(info #16-18) </w:t>
      </w:r>
      <w:r w:rsidR="00930EF4">
        <w:t xml:space="preserve">dedicated </w:t>
      </w:r>
      <w:r w:rsidR="0091201E">
        <w:t>to</w:t>
      </w:r>
      <w:r w:rsidR="00930EF4">
        <w:t xml:space="preserve"> </w:t>
      </w:r>
      <w:r w:rsidR="0091201E">
        <w:t xml:space="preserve">UE-based </w:t>
      </w:r>
      <w:r w:rsidR="00930EF4">
        <w:t>DL-</w:t>
      </w:r>
      <w:proofErr w:type="spellStart"/>
      <w:r w:rsidR="00930EF4">
        <w:t>A</w:t>
      </w:r>
      <w:r w:rsidR="0091201E">
        <w:t>o</w:t>
      </w:r>
      <w:r w:rsidR="00930EF4">
        <w:t>D</w:t>
      </w:r>
      <w:proofErr w:type="spellEnd"/>
      <w:r w:rsidR="0091201E">
        <w:t xml:space="preserve">, </w:t>
      </w:r>
      <w:r w:rsidR="00930EF4">
        <w:t xml:space="preserve">but not </w:t>
      </w:r>
      <w:r w:rsidR="00E47495">
        <w:t xml:space="preserve">needed for </w:t>
      </w:r>
      <w:r w:rsidR="00930EF4">
        <w:t>DL-TDOA</w:t>
      </w:r>
      <w:r>
        <w:t>.</w:t>
      </w:r>
      <w:bookmarkEnd w:id="2495"/>
      <w:r>
        <w:t xml:space="preserve"> </w:t>
      </w:r>
    </w:p>
    <w:p w14:paraId="5DE71165" w14:textId="77777777" w:rsidR="009134B3" w:rsidRDefault="009134B3" w:rsidP="007B381C"/>
    <w:p w14:paraId="2578FE5A" w14:textId="42CBCBEE" w:rsidR="003101F6" w:rsidRPr="00CE21AB" w:rsidRDefault="00FA1F50" w:rsidP="007B381C">
      <w:r>
        <w:t>R</w:t>
      </w:r>
      <w:r w:rsidR="00C7781F">
        <w:t xml:space="preserve">egarding the </w:t>
      </w:r>
      <w:proofErr w:type="spellStart"/>
      <w:r w:rsidR="00C7781F">
        <w:t>signalling</w:t>
      </w:r>
      <w:proofErr w:type="spellEnd"/>
      <w:r w:rsidR="00C7781F">
        <w:t xml:space="preserve"> of TRP location, </w:t>
      </w:r>
      <w:r w:rsidR="00C23CD5">
        <w:t xml:space="preserve">we think that </w:t>
      </w:r>
      <w:r w:rsidR="001A3B82">
        <w:t xml:space="preserve">one should consider firstly whether the information is essential to AIML fingerprinting methods, </w:t>
      </w:r>
      <w:proofErr w:type="gramStart"/>
      <w:r w:rsidR="001A3B82">
        <w:t>and also</w:t>
      </w:r>
      <w:proofErr w:type="gramEnd"/>
      <w:r w:rsidR="001A3B82">
        <w:t xml:space="preserve"> consideration of sensitive information for operators. </w:t>
      </w:r>
      <w:r w:rsidR="00A75D7F" w:rsidRPr="10372817">
        <w:t xml:space="preserve"> </w:t>
      </w:r>
      <w:proofErr w:type="spellStart"/>
      <w:proofErr w:type="gramStart"/>
      <w:r w:rsidR="0039507A" w:rsidRPr="10372817">
        <w:t>Pre release</w:t>
      </w:r>
      <w:proofErr w:type="spellEnd"/>
      <w:proofErr w:type="gramEnd"/>
      <w:r w:rsidR="0039507A" w:rsidRPr="10372817">
        <w:t xml:space="preserve">-19 methods for DL-TDOA </w:t>
      </w:r>
      <w:r w:rsidR="00637EBA" w:rsidRPr="10372817">
        <w:t>compute the time of arrival based on tri</w:t>
      </w:r>
      <w:r w:rsidR="00125136">
        <w:t>-</w:t>
      </w:r>
      <w:r w:rsidR="00125136" w:rsidRPr="10372817">
        <w:t>alterations</w:t>
      </w:r>
      <w:r w:rsidR="00637EBA" w:rsidRPr="10372817">
        <w:t xml:space="preserve"> for which the coordinates of the TRPs transmitting the reference signal are needed to resolve the location equation. </w:t>
      </w:r>
      <w:r w:rsidR="00DA1EFD" w:rsidRPr="10372817">
        <w:t xml:space="preserve"> For fingerprinting, the </w:t>
      </w:r>
      <w:r w:rsidR="002C1687">
        <w:t>location coordinates</w:t>
      </w:r>
      <w:r w:rsidR="00DA1EFD" w:rsidRPr="10372817">
        <w:t xml:space="preserve"> of the TRP </w:t>
      </w:r>
      <w:r w:rsidR="002C1687">
        <w:t>are</w:t>
      </w:r>
      <w:r w:rsidR="00DA1EFD" w:rsidRPr="10372817">
        <w:t xml:space="preserve"> not </w:t>
      </w:r>
      <w:r w:rsidR="002C1687">
        <w:t>needed</w:t>
      </w:r>
      <w:r w:rsidR="00CA1432" w:rsidRPr="10372817">
        <w:t>,</w:t>
      </w:r>
      <w:r w:rsidR="002C1687">
        <w:t xml:space="preserve"> since this information is </w:t>
      </w:r>
      <w:r w:rsidR="002C1687" w:rsidRPr="003214F9">
        <w:rPr>
          <w:b/>
        </w:rPr>
        <w:t>implicitly imbedded in the label data</w:t>
      </w:r>
      <w:r w:rsidR="003214F9">
        <w:rPr>
          <w:b/>
          <w:bCs/>
        </w:rPr>
        <w:t xml:space="preserve"> </w:t>
      </w:r>
      <w:r w:rsidR="003214F9" w:rsidRPr="003214F9">
        <w:t>of the training dataset</w:t>
      </w:r>
      <w:r w:rsidR="007434AD">
        <w:t>, and never used explicitly in any calculation</w:t>
      </w:r>
      <w:r w:rsidR="002C1687">
        <w:t>.</w:t>
      </w:r>
      <w:r w:rsidR="00CA1432" w:rsidRPr="10372817">
        <w:t xml:space="preserve"> </w:t>
      </w:r>
      <w:proofErr w:type="gramStart"/>
      <w:r w:rsidR="002C1687">
        <w:t>Thus</w:t>
      </w:r>
      <w:proofErr w:type="gramEnd"/>
      <w:r w:rsidR="00CA1432" w:rsidRPr="10372817">
        <w:t xml:space="preserve"> it is enough to know </w:t>
      </w:r>
      <w:r w:rsidR="00EF0075" w:rsidRPr="10372817">
        <w:t xml:space="preserve">whether </w:t>
      </w:r>
      <w:r w:rsidR="00CA1432" w:rsidRPr="10372817">
        <w:t xml:space="preserve">the TRP position </w:t>
      </w:r>
      <w:r w:rsidR="00EF0075" w:rsidRPr="10372817">
        <w:t>has changed</w:t>
      </w:r>
      <w:r w:rsidR="00CA1432" w:rsidRPr="10372817">
        <w:t xml:space="preserve"> during the inference phase and during the model training phase. </w:t>
      </w:r>
      <w:r w:rsidR="00316000">
        <w:t xml:space="preserve"> Similar approach could also be taken for </w:t>
      </w:r>
      <w:proofErr w:type="spellStart"/>
      <w:r w:rsidR="00316000">
        <w:t>spatialinformation</w:t>
      </w:r>
      <w:proofErr w:type="spellEnd"/>
      <w:r w:rsidR="00735804">
        <w:t xml:space="preserve">, or fine timing relative to the serving TRP. </w:t>
      </w:r>
    </w:p>
    <w:p w14:paraId="79C9DBC8" w14:textId="39034164" w:rsidR="00D422D3" w:rsidRDefault="00D422D3" w:rsidP="00283134">
      <w:bookmarkStart w:id="2496" w:name="_Toc189125116"/>
      <w:bookmarkStart w:id="2497" w:name="_Toc189125117"/>
      <w:bookmarkStart w:id="2498" w:name="_Toc189125118"/>
      <w:bookmarkStart w:id="2499" w:name="_Toc189125119"/>
      <w:bookmarkStart w:id="2500" w:name="_Toc189125120"/>
      <w:bookmarkStart w:id="2501" w:name="_Toc189125121"/>
      <w:bookmarkStart w:id="2502" w:name="_Toc189125122"/>
      <w:bookmarkStart w:id="2503" w:name="_Toc189125123"/>
      <w:bookmarkStart w:id="2504" w:name="_Toc189125124"/>
      <w:bookmarkEnd w:id="2496"/>
      <w:bookmarkEnd w:id="2497"/>
      <w:bookmarkEnd w:id="2498"/>
      <w:bookmarkEnd w:id="2499"/>
      <w:bookmarkEnd w:id="2500"/>
      <w:bookmarkEnd w:id="2501"/>
      <w:bookmarkEnd w:id="2502"/>
      <w:bookmarkEnd w:id="2503"/>
      <w:bookmarkEnd w:id="2504"/>
      <w:r>
        <w:t>Hence, strictly speaking, absolute location knowledge of the TRP location is not necessary (</w:t>
      </w:r>
      <w:r w:rsidR="0091201E">
        <w:t>contrary to A</w:t>
      </w:r>
      <w:r>
        <w:t xml:space="preserve">lternative 4). Moreover, leaving </w:t>
      </w:r>
      <w:r w:rsidR="0091201E">
        <w:t>A</w:t>
      </w:r>
      <w:r>
        <w:t xml:space="preserve">lternative 4 as the only option excludes operators for which such information is sensitive. </w:t>
      </w:r>
      <w:r w:rsidR="00734447">
        <w:t xml:space="preserve">  </w:t>
      </w:r>
      <w:r w:rsidR="0091201E">
        <w:t>At a minimum, RAN1 should</w:t>
      </w:r>
      <w:r w:rsidR="00734447">
        <w:t xml:space="preserve"> leave the choice to the operator to use a consistency mechanism like associated ID, or </w:t>
      </w:r>
      <w:r w:rsidR="00995027">
        <w:t xml:space="preserve">the explicit coordinate of the TRP. </w:t>
      </w:r>
      <w:r w:rsidR="00B713F7">
        <w:t xml:space="preserve"> The UE may request either of </w:t>
      </w:r>
      <w:r w:rsidR="00090375">
        <w:t xml:space="preserve">the two types of TRP location information, but it should be left to the operator to decide which one to eventually provide. </w:t>
      </w:r>
    </w:p>
    <w:p w14:paraId="0EEB15FD" w14:textId="3CAD8AC1" w:rsidR="00996A74" w:rsidRDefault="00996A74" w:rsidP="00996A74">
      <w:pPr>
        <w:pStyle w:val="Observation"/>
      </w:pPr>
      <w:bookmarkStart w:id="2505" w:name="_Toc189845096"/>
      <w:r>
        <w:t xml:space="preserve">For </w:t>
      </w:r>
      <w:r w:rsidR="0091201E">
        <w:t>C</w:t>
      </w:r>
      <w:r>
        <w:t xml:space="preserve">ase 1, operators should have the possibility to support </w:t>
      </w:r>
      <w:r w:rsidR="00FE5587">
        <w:t>C</w:t>
      </w:r>
      <w:r>
        <w:t>ase 1 and without disclosing TRP location.</w:t>
      </w:r>
      <w:bookmarkEnd w:id="2505"/>
      <w:r>
        <w:t xml:space="preserve"> </w:t>
      </w:r>
    </w:p>
    <w:p w14:paraId="3A7C1501" w14:textId="77777777" w:rsidR="00327F1D" w:rsidRDefault="00327F1D" w:rsidP="00327F1D"/>
    <w:p w14:paraId="7A9294E8" w14:textId="452883C9" w:rsidR="00327F1D" w:rsidRDefault="002948A8" w:rsidP="00327F1D">
      <w:r>
        <w:t xml:space="preserve">Based on the </w:t>
      </w:r>
      <w:r w:rsidR="009A1591">
        <w:t>observations</w:t>
      </w:r>
      <w:r>
        <w:t xml:space="preserve"> above, </w:t>
      </w:r>
      <w:r w:rsidR="0091201E">
        <w:t>A</w:t>
      </w:r>
      <w:r w:rsidR="00996A74">
        <w:t xml:space="preserve">lternative 2 seems to be </w:t>
      </w:r>
      <w:r w:rsidR="0091201E">
        <w:t>a reasonable compromise</w:t>
      </w:r>
      <w:r w:rsidR="00996A74">
        <w:t xml:space="preserve">. </w:t>
      </w:r>
      <w:r w:rsidR="0091201E">
        <w:t>Alternatively, t</w:t>
      </w:r>
      <w:r w:rsidR="00996A74">
        <w:t xml:space="preserve">o preserve </w:t>
      </w:r>
      <w:proofErr w:type="gramStart"/>
      <w:r w:rsidR="00996A74">
        <w:t>operators</w:t>
      </w:r>
      <w:proofErr w:type="gramEnd"/>
      <w:r w:rsidR="00996A74">
        <w:t xml:space="preserve"> sensitive information and enable case 1 the other alternative is to not signal the TRP location at all, i.e. </w:t>
      </w:r>
      <w:r w:rsidR="0091201E">
        <w:t>A</w:t>
      </w:r>
      <w:r w:rsidR="00996A74">
        <w:t xml:space="preserve">lternative 3. </w:t>
      </w:r>
    </w:p>
    <w:p w14:paraId="4571E208" w14:textId="6164EDFF" w:rsidR="002948A8" w:rsidRPr="002B10C3" w:rsidRDefault="00996A74" w:rsidP="00CE21AB">
      <w:r>
        <w:t xml:space="preserve"> </w:t>
      </w:r>
    </w:p>
    <w:p w14:paraId="31B879F2" w14:textId="77777777" w:rsidR="00996A74" w:rsidRDefault="00996A74" w:rsidP="00996A74">
      <w:pPr>
        <w:pStyle w:val="Proposal"/>
      </w:pPr>
      <w:bookmarkStart w:id="2506" w:name="_Toc189845183"/>
      <w:r>
        <w:t xml:space="preserve">For case 1, regarding info#7 in the assistance data from DL-TDOA, support </w:t>
      </w:r>
      <w:r w:rsidRPr="00A53E20">
        <w:t>Alternative 2</w:t>
      </w:r>
      <w:bookmarkEnd w:id="2506"/>
    </w:p>
    <w:p w14:paraId="4C08A207" w14:textId="77777777" w:rsidR="005E2BF5" w:rsidRDefault="00996A74" w:rsidP="00996A74">
      <w:pPr>
        <w:pStyle w:val="Proposal"/>
        <w:numPr>
          <w:ilvl w:val="1"/>
          <w:numId w:val="2"/>
        </w:numPr>
      </w:pPr>
      <w:bookmarkStart w:id="2507" w:name="_Toc189845184"/>
      <w:r w:rsidRPr="00A53E20">
        <w:t xml:space="preserve">Info #7 can be provided either implicitly or explicitly by LMF. Note: no UE capability is introduced on whether </w:t>
      </w:r>
      <w:r>
        <w:t>i</w:t>
      </w:r>
      <w:r w:rsidRPr="00A53E20">
        <w:t xml:space="preserve">nfo </w:t>
      </w:r>
      <w:r>
        <w:t xml:space="preserve">#7 </w:t>
      </w:r>
      <w:r w:rsidRPr="00A53E20">
        <w:t>is provided implicitly or explicitly, and the UE can reques</w:t>
      </w:r>
      <w:r>
        <w:t>t</w:t>
      </w:r>
      <w:r w:rsidRPr="00A53E20">
        <w:t xml:space="preserve"> info</w:t>
      </w:r>
      <w:r>
        <w:t xml:space="preserve"> #7</w:t>
      </w:r>
      <w:r w:rsidRPr="00A53E20">
        <w:t xml:space="preserve"> </w:t>
      </w:r>
      <w:r>
        <w:t xml:space="preserve">to </w:t>
      </w:r>
      <w:r w:rsidRPr="00A53E20">
        <w:t>be provided explicitly or implicitly.</w:t>
      </w:r>
      <w:bookmarkEnd w:id="2507"/>
      <w:r w:rsidRPr="00A53E20">
        <w:t xml:space="preserve"> </w:t>
      </w:r>
    </w:p>
    <w:p w14:paraId="58592F9A" w14:textId="189EF3B2" w:rsidR="00177B45" w:rsidRDefault="00177B45" w:rsidP="007B381C">
      <w:pPr>
        <w:pStyle w:val="Proposal"/>
        <w:numPr>
          <w:ilvl w:val="2"/>
          <w:numId w:val="2"/>
        </w:numPr>
      </w:pPr>
      <w:bookmarkStart w:id="2508" w:name="_Toc189845185"/>
      <w:r>
        <w:t xml:space="preserve">Note: if </w:t>
      </w:r>
      <w:r w:rsidR="00C130A3">
        <w:t xml:space="preserve">explicit </w:t>
      </w:r>
      <w:r w:rsidR="00D9614B">
        <w:t>signaling</w:t>
      </w:r>
      <w:r w:rsidR="00C130A3">
        <w:t xml:space="preserve"> is not supported by the network, legacy </w:t>
      </w:r>
      <w:r w:rsidR="00D9614B">
        <w:t>behavior</w:t>
      </w:r>
      <w:r w:rsidR="00C130A3">
        <w:t xml:space="preserve"> can be used to exclude the </w:t>
      </w:r>
      <w:r w:rsidR="00183E09">
        <w:t>TRPs without provided location from provided AD.</w:t>
      </w:r>
      <w:bookmarkEnd w:id="2508"/>
      <w:r w:rsidR="00183E09">
        <w:t xml:space="preserve"> </w:t>
      </w:r>
    </w:p>
    <w:p w14:paraId="39D998E3" w14:textId="0E99BE30" w:rsidR="00CD1347" w:rsidRPr="002B10C3" w:rsidRDefault="00996A74" w:rsidP="007B381C">
      <w:pPr>
        <w:pStyle w:val="Proposal"/>
        <w:numPr>
          <w:ilvl w:val="1"/>
          <w:numId w:val="2"/>
        </w:numPr>
      </w:pPr>
      <w:bookmarkStart w:id="2509" w:name="_Toc189845186"/>
      <w:r w:rsidRPr="00A53E20">
        <w:t xml:space="preserve">If provided implicitly, </w:t>
      </w:r>
      <w:r w:rsidRPr="00177B45">
        <w:rPr>
          <w:rFonts w:eastAsia="Yu Mincho"/>
        </w:rPr>
        <w:t>a</w:t>
      </w:r>
      <w:r w:rsidRPr="00A53E20">
        <w:t xml:space="preserve">ssociated ID </w:t>
      </w:r>
      <w:r>
        <w:t>is</w:t>
      </w:r>
      <w:r w:rsidRPr="00A53E20">
        <w:t xml:space="preserve"> </w:t>
      </w:r>
      <w:r>
        <w:t>signal</w:t>
      </w:r>
      <w:r w:rsidRPr="00A53E20">
        <w:t xml:space="preserve">ed by LMF to indicate whether </w:t>
      </w:r>
      <w:r>
        <w:t xml:space="preserve">info #7 </w:t>
      </w:r>
      <w:r w:rsidRPr="00A53E20">
        <w:t>is consistent between training and inference.</w:t>
      </w:r>
      <w:bookmarkEnd w:id="2509"/>
    </w:p>
    <w:p w14:paraId="375D782F" w14:textId="5A303A46" w:rsidR="00C01F33" w:rsidRPr="00E215F0" w:rsidRDefault="00C01F33" w:rsidP="00CE0424">
      <w:pPr>
        <w:pStyle w:val="Heading1"/>
        <w:rPr>
          <w:lang w:val="en-US"/>
        </w:rPr>
      </w:pPr>
      <w:bookmarkStart w:id="2510" w:name="_Toc166157546"/>
      <w:bookmarkStart w:id="2511" w:name="_Toc165991023"/>
      <w:bookmarkStart w:id="2512" w:name="_Toc189845052"/>
      <w:bookmarkEnd w:id="2510"/>
      <w:r w:rsidRPr="00E215F0">
        <w:rPr>
          <w:lang w:val="en-US"/>
        </w:rPr>
        <w:t>Conclusion</w:t>
      </w:r>
      <w:bookmarkEnd w:id="2511"/>
      <w:bookmarkEnd w:id="2512"/>
    </w:p>
    <w:p w14:paraId="17D87799" w14:textId="77777777" w:rsidR="008E065E" w:rsidRDefault="008E065E" w:rsidP="0002489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C5E9EE" w14:textId="3F60B93A" w:rsidR="00C713E4" w:rsidRDefault="006F6582">
      <w:pPr>
        <w:pStyle w:val="TableofFigures"/>
        <w:tabs>
          <w:tab w:val="right" w:leader="dot" w:pos="9962"/>
        </w:tabs>
        <w:rPr>
          <w:rFonts w:eastAsiaTheme="minorEastAsia"/>
          <w:b w:val="0"/>
          <w:noProof/>
        </w:rPr>
      </w:pPr>
      <w:r>
        <w:rPr>
          <w:bCs/>
        </w:rPr>
        <w:fldChar w:fldCharType="begin"/>
      </w:r>
      <w:r>
        <w:rPr>
          <w:bCs/>
        </w:rPr>
        <w:instrText xml:space="preserve"> TOC \f O \n \h \z \t "Observation" \c </w:instrText>
      </w:r>
      <w:r>
        <w:rPr>
          <w:bCs/>
        </w:rPr>
        <w:fldChar w:fldCharType="separate"/>
      </w:r>
      <w:hyperlink w:anchor="_Toc189845059" w:history="1">
        <w:r w:rsidR="00C713E4" w:rsidRPr="0050355B">
          <w:rPr>
            <w:rStyle w:val="Hyperlink"/>
            <w:noProof/>
          </w:rPr>
          <w:t>Observation 1</w:t>
        </w:r>
        <w:r w:rsidR="00C713E4">
          <w:rPr>
            <w:rFonts w:eastAsiaTheme="minorEastAsia"/>
            <w:b w:val="0"/>
            <w:noProof/>
          </w:rPr>
          <w:tab/>
        </w:r>
        <w:r w:rsidR="00C713E4" w:rsidRPr="0050355B">
          <w:rPr>
            <w:rStyle w:val="Hyperlink"/>
            <w:noProof/>
          </w:rPr>
          <w:t>For Case 1/2a (i.e., UE-side model), channel measurement generation process is collocated in the same node with the AI/ML models. The exact details of the model inputs are implementation issues at least for model inference.</w:t>
        </w:r>
      </w:hyperlink>
    </w:p>
    <w:p w14:paraId="6FAC0748" w14:textId="57EDF4D7" w:rsidR="00C713E4" w:rsidRDefault="00C713E4">
      <w:pPr>
        <w:pStyle w:val="TableofFigures"/>
        <w:tabs>
          <w:tab w:val="right" w:leader="dot" w:pos="9962"/>
        </w:tabs>
        <w:rPr>
          <w:rFonts w:eastAsiaTheme="minorEastAsia"/>
          <w:b w:val="0"/>
          <w:noProof/>
        </w:rPr>
      </w:pPr>
      <w:hyperlink w:anchor="_Toc189845060" w:history="1">
        <w:r w:rsidRPr="0050355B">
          <w:rPr>
            <w:rStyle w:val="Hyperlink"/>
            <w:noProof/>
          </w:rPr>
          <w:t>Observation 2</w:t>
        </w:r>
        <w:r>
          <w:rPr>
            <w:rFonts w:eastAsiaTheme="minorEastAsia"/>
            <w:b w:val="0"/>
            <w:noProof/>
          </w:rPr>
          <w:tab/>
        </w:r>
        <w:r w:rsidRPr="0050355B">
          <w:rPr>
            <w:rStyle w:val="Hyperlink"/>
            <w:noProof/>
          </w:rPr>
          <w:t>For Case 3b (1st priority) and Case 2b (2nd priority), due to the LMF sided model, there is a need to clarify the target model input formats to be supported for the AI/ML positioning models.</w:t>
        </w:r>
      </w:hyperlink>
    </w:p>
    <w:p w14:paraId="35A03B5C" w14:textId="6FB84371" w:rsidR="00C713E4" w:rsidRDefault="00C713E4">
      <w:pPr>
        <w:pStyle w:val="TableofFigures"/>
        <w:tabs>
          <w:tab w:val="right" w:leader="dot" w:pos="9962"/>
        </w:tabs>
        <w:rPr>
          <w:rFonts w:eastAsiaTheme="minorEastAsia"/>
          <w:b w:val="0"/>
          <w:noProof/>
        </w:rPr>
      </w:pPr>
      <w:hyperlink w:anchor="_Toc189845061" w:history="1">
        <w:r w:rsidRPr="0050355B">
          <w:rPr>
            <w:rStyle w:val="Hyperlink"/>
            <w:noProof/>
            <w:lang w:eastAsia="en-GB"/>
          </w:rPr>
          <w:t>Observation 3</w:t>
        </w:r>
        <w:r>
          <w:rPr>
            <w:rFonts w:eastAsiaTheme="minorEastAsia"/>
            <w:b w:val="0"/>
            <w:noProof/>
          </w:rPr>
          <w:tab/>
        </w:r>
        <w:r w:rsidRPr="0050355B">
          <w:rPr>
            <w:rStyle w:val="Hyperlink"/>
            <w:noProof/>
            <w:lang w:eastAsia="en-GB"/>
          </w:rPr>
          <w:t xml:space="preserve">From the candidate values agreed in RAN1#119 for </w:t>
        </w:r>
        <w:r w:rsidRPr="0050355B">
          <w:rPr>
            <w:rStyle w:val="Hyperlink"/>
            <w:noProof/>
          </w:rPr>
          <w:t>N</w:t>
        </w:r>
        <w:r w:rsidRPr="0050355B">
          <w:rPr>
            <w:rStyle w:val="Hyperlink"/>
            <w:noProof/>
            <w:vertAlign w:val="subscript"/>
          </w:rPr>
          <w:t>t</w:t>
        </w:r>
        <w:r w:rsidRPr="0050355B">
          <w:rPr>
            <w:rStyle w:val="Hyperlink"/>
            <w:noProof/>
            <w:lang w:eastAsia="en-GB"/>
          </w:rPr>
          <w:t xml:space="preserve"> (N</w:t>
        </w:r>
        <w:r w:rsidRPr="0050355B">
          <w:rPr>
            <w:rStyle w:val="Hyperlink"/>
            <w:noProof/>
            <w:vertAlign w:val="subscript"/>
            <w:lang w:eastAsia="en-GB"/>
          </w:rPr>
          <w:t>t</w:t>
        </w:r>
        <w:r w:rsidRPr="0050355B">
          <w:rPr>
            <w:rStyle w:val="Hyperlink"/>
            <w:noProof/>
            <w:lang w:eastAsia="en-GB"/>
          </w:rPr>
          <w:t xml:space="preserve"> = {32, 64, 128} ), N</w:t>
        </w:r>
        <w:r w:rsidRPr="0050355B">
          <w:rPr>
            <w:rStyle w:val="Hyperlink"/>
            <w:noProof/>
            <w:vertAlign w:val="subscript"/>
            <w:lang w:eastAsia="en-GB"/>
          </w:rPr>
          <w:t>t</w:t>
        </w:r>
        <w:r w:rsidRPr="0050355B">
          <w:rPr>
            <w:rStyle w:val="Hyperlink"/>
            <w:noProof/>
            <w:lang w:eastAsia="en-GB"/>
          </w:rPr>
          <w:t xml:space="preserve"> = 128 does not provide a significant gain.</w:t>
        </w:r>
      </w:hyperlink>
    </w:p>
    <w:p w14:paraId="5F1208F8" w14:textId="2518376A" w:rsidR="00C713E4" w:rsidRDefault="00C713E4">
      <w:pPr>
        <w:pStyle w:val="TableofFigures"/>
        <w:tabs>
          <w:tab w:val="right" w:leader="dot" w:pos="9962"/>
        </w:tabs>
        <w:rPr>
          <w:rFonts w:eastAsiaTheme="minorEastAsia"/>
          <w:b w:val="0"/>
          <w:noProof/>
        </w:rPr>
      </w:pPr>
      <w:hyperlink w:anchor="_Toc189845062" w:history="1">
        <w:r w:rsidRPr="0050355B">
          <w:rPr>
            <w:rStyle w:val="Hyperlink"/>
            <w:noProof/>
            <w:lang w:val="en-GB"/>
          </w:rPr>
          <w:t>Observation 4</w:t>
        </w:r>
        <w:r>
          <w:rPr>
            <w:rFonts w:eastAsiaTheme="minorEastAsia"/>
            <w:b w:val="0"/>
            <w:noProof/>
          </w:rPr>
          <w:tab/>
        </w:r>
        <w:r w:rsidRPr="0050355B">
          <w:rPr>
            <w:rStyle w:val="Hyperlink"/>
            <w:noProof/>
            <w:lang w:val="en-GB"/>
          </w:rPr>
          <w:t>For Case 3b measurement reporting, gNB measurement report capability may vary over time.</w:t>
        </w:r>
      </w:hyperlink>
    </w:p>
    <w:p w14:paraId="51EEF60C" w14:textId="3DA13617" w:rsidR="00C713E4" w:rsidRDefault="00C713E4">
      <w:pPr>
        <w:pStyle w:val="TableofFigures"/>
        <w:tabs>
          <w:tab w:val="right" w:leader="dot" w:pos="9962"/>
        </w:tabs>
        <w:rPr>
          <w:rFonts w:eastAsiaTheme="minorEastAsia"/>
          <w:b w:val="0"/>
          <w:noProof/>
        </w:rPr>
      </w:pPr>
      <w:hyperlink w:anchor="_Toc189845063" w:history="1">
        <w:r w:rsidRPr="0050355B">
          <w:rPr>
            <w:rStyle w:val="Hyperlink"/>
            <w:noProof/>
            <w:lang w:val="en-GB"/>
          </w:rPr>
          <w:t>Observation 5</w:t>
        </w:r>
        <w:r>
          <w:rPr>
            <w:rFonts w:eastAsiaTheme="minorEastAsia"/>
            <w:b w:val="0"/>
            <w:noProof/>
          </w:rPr>
          <w:tab/>
        </w:r>
        <w:r w:rsidRPr="0050355B">
          <w:rPr>
            <w:rStyle w:val="Hyperlink"/>
            <w:noProof/>
            <w:lang w:val="en-GB"/>
          </w:rPr>
          <w:t>For Case 3b, automatic fallback from one measurement method to the other cannot be guaranteed.</w:t>
        </w:r>
      </w:hyperlink>
    </w:p>
    <w:p w14:paraId="57621009" w14:textId="0A639840" w:rsidR="00C713E4" w:rsidRDefault="00C713E4">
      <w:pPr>
        <w:pStyle w:val="TableofFigures"/>
        <w:tabs>
          <w:tab w:val="right" w:leader="dot" w:pos="9962"/>
        </w:tabs>
        <w:rPr>
          <w:rFonts w:eastAsiaTheme="minorEastAsia"/>
          <w:b w:val="0"/>
          <w:noProof/>
        </w:rPr>
      </w:pPr>
      <w:hyperlink w:anchor="_Toc189845064" w:history="1">
        <w:r w:rsidRPr="0050355B">
          <w:rPr>
            <w:rStyle w:val="Hyperlink"/>
            <w:noProof/>
          </w:rPr>
          <w:t>Observation 6</w:t>
        </w:r>
        <w:r>
          <w:rPr>
            <w:rFonts w:eastAsiaTheme="minorEastAsia"/>
            <w:b w:val="0"/>
            <w:noProof/>
          </w:rPr>
          <w:tab/>
        </w:r>
        <w:r w:rsidRPr="0050355B">
          <w:rPr>
            <w:rStyle w:val="Hyperlink"/>
            <w:noProof/>
          </w:rPr>
          <w:t>When compared to the total-power PDP input type, the 2-port PDP input type (1) doubles the signal sizes; (2) requires higher computational complexity; and (3) achieves marginal performance improvements.</w:t>
        </w:r>
      </w:hyperlink>
    </w:p>
    <w:p w14:paraId="680E15C3" w14:textId="580CB239" w:rsidR="00C713E4" w:rsidRDefault="00C713E4">
      <w:pPr>
        <w:pStyle w:val="TableofFigures"/>
        <w:tabs>
          <w:tab w:val="right" w:leader="dot" w:pos="9962"/>
        </w:tabs>
        <w:rPr>
          <w:rFonts w:eastAsiaTheme="minorEastAsia"/>
          <w:b w:val="0"/>
          <w:noProof/>
        </w:rPr>
      </w:pPr>
      <w:hyperlink w:anchor="_Toc189845065" w:history="1">
        <w:r w:rsidRPr="0050355B">
          <w:rPr>
            <w:rStyle w:val="Hyperlink"/>
            <w:noProof/>
          </w:rPr>
          <w:t>Observation 7</w:t>
        </w:r>
        <w:r>
          <w:rPr>
            <w:rFonts w:eastAsiaTheme="minorEastAsia"/>
            <w:b w:val="0"/>
            <w:noProof/>
          </w:rPr>
          <w:tab/>
        </w:r>
        <w:r w:rsidRPr="0050355B">
          <w:rPr>
            <w:rStyle w:val="Hyperlink"/>
            <w:noProof/>
          </w:rPr>
          <w:t>When compared to the total-power PDP input type, the 1-port PDP input type (1) discards signal power and radio channel information that is readily available, and (2) achieves lower positioning accuracy.</w:t>
        </w:r>
      </w:hyperlink>
    </w:p>
    <w:p w14:paraId="7F65DAA3" w14:textId="72AA2E48" w:rsidR="00C713E4" w:rsidRDefault="00C713E4">
      <w:pPr>
        <w:pStyle w:val="TableofFigures"/>
        <w:tabs>
          <w:tab w:val="right" w:leader="dot" w:pos="9962"/>
        </w:tabs>
        <w:rPr>
          <w:rFonts w:eastAsiaTheme="minorEastAsia"/>
          <w:b w:val="0"/>
          <w:noProof/>
        </w:rPr>
      </w:pPr>
      <w:hyperlink w:anchor="_Toc189845066" w:history="1">
        <w:r w:rsidRPr="0050355B">
          <w:rPr>
            <w:rStyle w:val="Hyperlink"/>
            <w:noProof/>
          </w:rPr>
          <w:t>Observation 8</w:t>
        </w:r>
        <w:r>
          <w:rPr>
            <w:rFonts w:eastAsiaTheme="minorEastAsia"/>
            <w:b w:val="0"/>
            <w:noProof/>
          </w:rPr>
          <w:tab/>
        </w:r>
        <w:r w:rsidRPr="0050355B">
          <w:rPr>
            <w:rStyle w:val="Hyperlink"/>
            <w:noProof/>
          </w:rPr>
          <w:t>Rel-18 CPP measurements (DL RSCPD, DL RSCP, UL RSCP) assume LoS environment, which is contradictory with the target use case of Rel-19 AI/ML based positioning.</w:t>
        </w:r>
      </w:hyperlink>
    </w:p>
    <w:p w14:paraId="0181A8A3" w14:textId="75F93611" w:rsidR="00C713E4" w:rsidRDefault="00C713E4">
      <w:pPr>
        <w:pStyle w:val="TableofFigures"/>
        <w:tabs>
          <w:tab w:val="right" w:leader="dot" w:pos="9962"/>
        </w:tabs>
        <w:rPr>
          <w:rFonts w:eastAsiaTheme="minorEastAsia"/>
          <w:b w:val="0"/>
          <w:noProof/>
        </w:rPr>
      </w:pPr>
      <w:hyperlink w:anchor="_Toc189845067" w:history="1">
        <w:r w:rsidRPr="0050355B">
          <w:rPr>
            <w:rStyle w:val="Hyperlink"/>
            <w:noProof/>
          </w:rPr>
          <w:t>Observation 9</w:t>
        </w:r>
        <w:r>
          <w:rPr>
            <w:rFonts w:eastAsiaTheme="minorEastAsia"/>
            <w:b w:val="0"/>
            <w:noProof/>
          </w:rPr>
          <w:tab/>
        </w:r>
        <w:r w:rsidRPr="0050355B">
          <w:rPr>
            <w:rStyle w:val="Hyperlink"/>
            <w:noProof/>
          </w:rPr>
          <w:t>Single phase value for first path/sample (e.g., DL RSCPD, DL RSCP, UL RSCP) brings no observable performance benefits to PDP, but incurs substantially high deployment cost and signalling overhead.</w:t>
        </w:r>
      </w:hyperlink>
    </w:p>
    <w:p w14:paraId="662F2DC9" w14:textId="2346DD44" w:rsidR="00C713E4" w:rsidRDefault="00C713E4">
      <w:pPr>
        <w:pStyle w:val="TableofFigures"/>
        <w:tabs>
          <w:tab w:val="right" w:leader="dot" w:pos="9962"/>
        </w:tabs>
        <w:rPr>
          <w:rFonts w:eastAsiaTheme="minorEastAsia"/>
          <w:b w:val="0"/>
          <w:noProof/>
        </w:rPr>
      </w:pPr>
      <w:hyperlink w:anchor="_Toc189845068" w:history="1">
        <w:r w:rsidRPr="0050355B">
          <w:rPr>
            <w:rStyle w:val="Hyperlink"/>
            <w:noProof/>
          </w:rPr>
          <w:t>Observation 10</w:t>
        </w:r>
        <w:r>
          <w:rPr>
            <w:rFonts w:eastAsiaTheme="minorEastAsia"/>
            <w:b w:val="0"/>
            <w:noProof/>
          </w:rPr>
          <w:tab/>
        </w:r>
        <w:r w:rsidRPr="0050355B">
          <w:rPr>
            <w:rStyle w:val="Hyperlink"/>
            <w:noProof/>
          </w:rPr>
          <w:t>The initial phase values of measured CIR samples may be random and contains no useful spatial dependent information for an AI/ML model to learn the association between measured CIR samples and the target positions. Without addressing such spurious information during training and inference, fingerprinting ML models using the CIR inputs can produce inaccurate position estimates.</w:t>
        </w:r>
      </w:hyperlink>
    </w:p>
    <w:p w14:paraId="3AFC572E" w14:textId="3F9E88A8" w:rsidR="00C713E4" w:rsidRDefault="00C713E4">
      <w:pPr>
        <w:pStyle w:val="TableofFigures"/>
        <w:tabs>
          <w:tab w:val="right" w:leader="dot" w:pos="9962"/>
        </w:tabs>
        <w:rPr>
          <w:rFonts w:eastAsiaTheme="minorEastAsia"/>
          <w:b w:val="0"/>
          <w:noProof/>
        </w:rPr>
      </w:pPr>
      <w:hyperlink w:anchor="_Toc189845069" w:history="1">
        <w:r w:rsidRPr="0050355B">
          <w:rPr>
            <w:rStyle w:val="Hyperlink"/>
            <w:noProof/>
          </w:rPr>
          <w:t>Observation 11</w:t>
        </w:r>
        <w:r>
          <w:rPr>
            <w:rFonts w:eastAsiaTheme="minorEastAsia"/>
            <w:b w:val="0"/>
            <w:noProof/>
          </w:rPr>
          <w:tab/>
        </w:r>
        <w:r w:rsidRPr="0050355B">
          <w:rPr>
            <w:rStyle w:val="Hyperlink"/>
            <w:noProof/>
          </w:rPr>
          <w:t>CIR samples containing relative phases can be used as inputs to AI/ML models to circumvent the impact of random initial phase values of measured CIR samples.</w:t>
        </w:r>
      </w:hyperlink>
    </w:p>
    <w:p w14:paraId="7DA958DF" w14:textId="151917C9" w:rsidR="00C713E4" w:rsidRDefault="00C713E4">
      <w:pPr>
        <w:pStyle w:val="TableofFigures"/>
        <w:tabs>
          <w:tab w:val="right" w:leader="dot" w:pos="9962"/>
        </w:tabs>
        <w:rPr>
          <w:rFonts w:eastAsiaTheme="minorEastAsia"/>
          <w:b w:val="0"/>
          <w:noProof/>
        </w:rPr>
      </w:pPr>
      <w:hyperlink w:anchor="_Toc189845070" w:history="1">
        <w:r w:rsidRPr="0050355B">
          <w:rPr>
            <w:rStyle w:val="Hyperlink"/>
            <w:noProof/>
          </w:rPr>
          <w:t>Observation 12</w:t>
        </w:r>
        <w:r>
          <w:rPr>
            <w:rFonts w:eastAsiaTheme="minorEastAsia"/>
            <w:b w:val="0"/>
            <w:noProof/>
          </w:rPr>
          <w:tab/>
        </w:r>
        <w:r w:rsidRPr="0050355B">
          <w:rPr>
            <w:rStyle w:val="Hyperlink"/>
            <w:noProof/>
          </w:rPr>
          <w:t>For the RSCPD measurement PRU assisted phase error compensation requires PRUs to be used during training and inference, further increasing the deployment cost and signaling overhead.</w:t>
        </w:r>
      </w:hyperlink>
    </w:p>
    <w:p w14:paraId="64C3690E" w14:textId="183CC822" w:rsidR="00C713E4" w:rsidRDefault="00C713E4">
      <w:pPr>
        <w:pStyle w:val="TableofFigures"/>
        <w:tabs>
          <w:tab w:val="right" w:leader="dot" w:pos="9962"/>
        </w:tabs>
        <w:rPr>
          <w:rFonts w:eastAsiaTheme="minorEastAsia"/>
          <w:b w:val="0"/>
          <w:noProof/>
        </w:rPr>
      </w:pPr>
      <w:hyperlink w:anchor="_Toc189845071" w:history="1">
        <w:r w:rsidRPr="0050355B">
          <w:rPr>
            <w:rStyle w:val="Hyperlink"/>
            <w:noProof/>
          </w:rPr>
          <w:t>Observation 13</w:t>
        </w:r>
        <w:r>
          <w:rPr>
            <w:rFonts w:eastAsiaTheme="minorEastAsia"/>
            <w:b w:val="0"/>
            <w:noProof/>
          </w:rPr>
          <w:tab/>
        </w:r>
        <w:r w:rsidRPr="0050355B">
          <w:rPr>
            <w:rStyle w:val="Hyperlink"/>
            <w:noProof/>
          </w:rPr>
          <w:t>For inter-path phase measurements, the model input at training and inference must know the UE TX or RX antenna phase contribution, either by reporting the antenna phase contribution to the model, removing it, or assuming the same antenna pattern is used during inference and training.</w:t>
        </w:r>
      </w:hyperlink>
    </w:p>
    <w:p w14:paraId="37A23CA4" w14:textId="373FB9FF" w:rsidR="00C713E4" w:rsidRDefault="00C713E4">
      <w:pPr>
        <w:pStyle w:val="TableofFigures"/>
        <w:tabs>
          <w:tab w:val="right" w:leader="dot" w:pos="9962"/>
        </w:tabs>
        <w:rPr>
          <w:rFonts w:eastAsiaTheme="minorEastAsia"/>
          <w:b w:val="0"/>
          <w:noProof/>
        </w:rPr>
      </w:pPr>
      <w:hyperlink w:anchor="_Toc189845072" w:history="1">
        <w:r w:rsidRPr="0050355B">
          <w:rPr>
            <w:rStyle w:val="Hyperlink"/>
            <w:noProof/>
          </w:rPr>
          <w:t>Observation 14</w:t>
        </w:r>
        <w:r>
          <w:rPr>
            <w:rFonts w:eastAsiaTheme="minorEastAsia"/>
            <w:b w:val="0"/>
            <w:noProof/>
          </w:rPr>
          <w:tab/>
        </w:r>
        <w:r w:rsidRPr="0050355B">
          <w:rPr>
            <w:rStyle w:val="Hyperlink"/>
            <w:noProof/>
          </w:rPr>
          <w:t>It is unclear how a mobile UE would know the direction of departure / arrival and associated phase offset for each path toward a given TRP.</w:t>
        </w:r>
      </w:hyperlink>
    </w:p>
    <w:p w14:paraId="65FD3166" w14:textId="00E35673" w:rsidR="00C713E4" w:rsidRDefault="00C713E4">
      <w:pPr>
        <w:pStyle w:val="TableofFigures"/>
        <w:tabs>
          <w:tab w:val="right" w:leader="dot" w:pos="9962"/>
        </w:tabs>
        <w:rPr>
          <w:rFonts w:eastAsiaTheme="minorEastAsia"/>
          <w:b w:val="0"/>
          <w:noProof/>
        </w:rPr>
      </w:pPr>
      <w:hyperlink w:anchor="_Toc189845073" w:history="1">
        <w:r w:rsidRPr="0050355B">
          <w:rPr>
            <w:rStyle w:val="Hyperlink"/>
            <w:noProof/>
          </w:rPr>
          <w:t>Observation 15</w:t>
        </w:r>
        <w:r>
          <w:rPr>
            <w:rFonts w:eastAsiaTheme="minorEastAsia"/>
            <w:b w:val="0"/>
            <w:noProof/>
          </w:rPr>
          <w:tab/>
        </w:r>
        <w:r w:rsidRPr="0050355B">
          <w:rPr>
            <w:rStyle w:val="Hyperlink"/>
            <w:noProof/>
          </w:rPr>
          <w:t>For small or moderate signaling sizes, PDP and DP samples can achieve better positioning accuracy than CIR samples at the same or smaller signaling size. Multi-port CIR samples can achieve higher positioning accuracy only with very large signaling requirements.</w:t>
        </w:r>
      </w:hyperlink>
    </w:p>
    <w:p w14:paraId="3D5CFD62" w14:textId="19E5A2DB" w:rsidR="00C713E4" w:rsidRDefault="00C713E4">
      <w:pPr>
        <w:pStyle w:val="TableofFigures"/>
        <w:tabs>
          <w:tab w:val="right" w:leader="dot" w:pos="9962"/>
        </w:tabs>
        <w:rPr>
          <w:rFonts w:eastAsiaTheme="minorEastAsia"/>
          <w:b w:val="0"/>
          <w:noProof/>
        </w:rPr>
      </w:pPr>
      <w:hyperlink w:anchor="_Toc189845074" w:history="1">
        <w:r w:rsidRPr="0050355B">
          <w:rPr>
            <w:rStyle w:val="Hyperlink"/>
            <w:noProof/>
          </w:rPr>
          <w:t>Observation 16</w:t>
        </w:r>
        <w:r>
          <w:rPr>
            <w:rFonts w:eastAsiaTheme="minorEastAsia"/>
            <w:b w:val="0"/>
            <w:noProof/>
          </w:rPr>
          <w:tab/>
        </w:r>
        <w:r w:rsidRPr="0050355B">
          <w:rPr>
            <w:rStyle w:val="Hyperlink"/>
            <w:noProof/>
          </w:rPr>
          <w:t>For small or moderate signaling sizes, PDP and DP samples can achieve better positioning accuracy than CIR samples at the same or smaller signaling size as well as with substantially lower AI/ML model complexity.</w:t>
        </w:r>
      </w:hyperlink>
    </w:p>
    <w:p w14:paraId="33715E96" w14:textId="7CB24A88" w:rsidR="00C713E4" w:rsidRDefault="00C713E4">
      <w:pPr>
        <w:pStyle w:val="TableofFigures"/>
        <w:tabs>
          <w:tab w:val="right" w:leader="dot" w:pos="9962"/>
        </w:tabs>
        <w:rPr>
          <w:rFonts w:eastAsiaTheme="minorEastAsia"/>
          <w:b w:val="0"/>
          <w:noProof/>
        </w:rPr>
      </w:pPr>
      <w:hyperlink w:anchor="_Toc189845075" w:history="1">
        <w:r w:rsidRPr="0050355B">
          <w:rPr>
            <w:rStyle w:val="Hyperlink"/>
            <w:noProof/>
          </w:rPr>
          <w:t>Observation 17</w:t>
        </w:r>
        <w:r>
          <w:rPr>
            <w:rFonts w:eastAsiaTheme="minorEastAsia"/>
            <w:b w:val="0"/>
            <w:noProof/>
          </w:rPr>
          <w:tab/>
        </w:r>
        <w:r w:rsidRPr="0050355B">
          <w:rPr>
            <w:rStyle w:val="Hyperlink"/>
            <w:noProof/>
          </w:rPr>
          <w:t>For most given 90%tile 2D UE positioning error requirements, the DP samples requires the smallest signaling sizes.</w:t>
        </w:r>
      </w:hyperlink>
    </w:p>
    <w:p w14:paraId="1F466CFF" w14:textId="2810A77D" w:rsidR="00C713E4" w:rsidRDefault="00C713E4">
      <w:pPr>
        <w:pStyle w:val="TableofFigures"/>
        <w:tabs>
          <w:tab w:val="right" w:leader="dot" w:pos="9962"/>
        </w:tabs>
        <w:rPr>
          <w:rFonts w:eastAsiaTheme="minorEastAsia"/>
          <w:b w:val="0"/>
          <w:noProof/>
        </w:rPr>
      </w:pPr>
      <w:hyperlink w:anchor="_Toc189845076" w:history="1">
        <w:r w:rsidRPr="0050355B">
          <w:rPr>
            <w:rStyle w:val="Hyperlink"/>
            <w:noProof/>
          </w:rPr>
          <w:t>Observation 18</w:t>
        </w:r>
        <w:r>
          <w:rPr>
            <w:rFonts w:eastAsiaTheme="minorEastAsia"/>
            <w:b w:val="0"/>
            <w:noProof/>
          </w:rPr>
          <w:tab/>
        </w:r>
        <w:r w:rsidRPr="0050355B">
          <w:rPr>
            <w:rStyle w:val="Hyperlink"/>
            <w:noProof/>
          </w:rPr>
          <w:t>Multi-port complex-valued CIR samples for both Case 3b (1st priority) and Case 2b (2nd priority) require very large signaling sizes, which can cause significantly negative impacts on the radio and core networks.</w:t>
        </w:r>
      </w:hyperlink>
    </w:p>
    <w:p w14:paraId="6BD03792" w14:textId="7E900E7B" w:rsidR="00C713E4" w:rsidRDefault="00C713E4">
      <w:pPr>
        <w:pStyle w:val="TableofFigures"/>
        <w:tabs>
          <w:tab w:val="right" w:leader="dot" w:pos="9962"/>
        </w:tabs>
        <w:rPr>
          <w:rFonts w:eastAsiaTheme="minorEastAsia"/>
          <w:b w:val="0"/>
          <w:noProof/>
        </w:rPr>
      </w:pPr>
      <w:hyperlink w:anchor="_Toc189845077" w:history="1">
        <w:r w:rsidRPr="0050355B">
          <w:rPr>
            <w:rStyle w:val="Hyperlink"/>
            <w:noProof/>
          </w:rPr>
          <w:t>Observation 19</w:t>
        </w:r>
        <w:r>
          <w:rPr>
            <w:rFonts w:eastAsiaTheme="minorEastAsia"/>
            <w:b w:val="0"/>
            <w:noProof/>
          </w:rPr>
          <w:tab/>
        </w:r>
        <w:r w:rsidRPr="0050355B">
          <w:rPr>
            <w:rStyle w:val="Hyperlink"/>
            <w:noProof/>
          </w:rPr>
          <w:t>With small to moderate number of samples available to an ML model, the total-power PDP input type is a very helpful induction bias to impose on the ML model based on human domain knowledge that the sample powers contain more important information about the UE positions. It’s only with very large number of samples that the model can start to tease out how to use the additional information in the sample phases on its own.</w:t>
        </w:r>
      </w:hyperlink>
    </w:p>
    <w:p w14:paraId="2DF0BA13" w14:textId="491D0448" w:rsidR="00C713E4" w:rsidRDefault="00C713E4">
      <w:pPr>
        <w:pStyle w:val="TableofFigures"/>
        <w:tabs>
          <w:tab w:val="right" w:leader="dot" w:pos="9962"/>
        </w:tabs>
        <w:rPr>
          <w:rFonts w:eastAsiaTheme="minorEastAsia"/>
          <w:b w:val="0"/>
          <w:noProof/>
        </w:rPr>
      </w:pPr>
      <w:hyperlink w:anchor="_Toc189845078" w:history="1">
        <w:r w:rsidRPr="0050355B">
          <w:rPr>
            <w:rStyle w:val="Hyperlink"/>
            <w:noProof/>
          </w:rPr>
          <w:t>Observation 20</w:t>
        </w:r>
        <w:r>
          <w:rPr>
            <w:rFonts w:eastAsiaTheme="minorEastAsia"/>
            <w:b w:val="0"/>
            <w:noProof/>
          </w:rPr>
          <w:tab/>
        </w:r>
        <w:r w:rsidRPr="0050355B">
          <w:rPr>
            <w:rStyle w:val="Hyperlink"/>
            <w:noProof/>
          </w:rPr>
          <w:t>Dimension reduction techniques can be used to reduce the signal sizes of multi-port CIR samples. But the achievable positioning accuracy is also compromised. The overall accuracy vs overhead tradeoff situation of CIR samples is not improved by the two considered dimension reduction techniques.</w:t>
        </w:r>
      </w:hyperlink>
    </w:p>
    <w:p w14:paraId="071F433F" w14:textId="4466E6EE" w:rsidR="00C713E4" w:rsidRDefault="00C713E4">
      <w:pPr>
        <w:pStyle w:val="TableofFigures"/>
        <w:tabs>
          <w:tab w:val="right" w:leader="dot" w:pos="9962"/>
        </w:tabs>
        <w:rPr>
          <w:rFonts w:eastAsiaTheme="minorEastAsia"/>
          <w:b w:val="0"/>
          <w:noProof/>
        </w:rPr>
      </w:pPr>
      <w:hyperlink w:anchor="_Toc189845079" w:history="1">
        <w:r w:rsidRPr="0050355B">
          <w:rPr>
            <w:rStyle w:val="Hyperlink"/>
            <w:noProof/>
          </w:rPr>
          <w:t>Observation 21</w:t>
        </w:r>
        <w:r>
          <w:rPr>
            <w:rFonts w:eastAsiaTheme="minorEastAsia"/>
            <w:b w:val="0"/>
            <w:noProof/>
          </w:rPr>
          <w:tab/>
        </w:r>
        <w:r w:rsidRPr="0050355B">
          <w:rPr>
            <w:rStyle w:val="Hyperlink"/>
            <w:noProof/>
          </w:rPr>
          <w:t>For Case 3a, the location of the AI/ML model (e.g., gNB-DU vs gNB-CU) impacts the need to specify new measurements for model input.</w:t>
        </w:r>
      </w:hyperlink>
    </w:p>
    <w:p w14:paraId="55638148" w14:textId="75E8E5A4" w:rsidR="00C713E4" w:rsidRDefault="00C713E4">
      <w:pPr>
        <w:pStyle w:val="TableofFigures"/>
        <w:tabs>
          <w:tab w:val="right" w:leader="dot" w:pos="9962"/>
        </w:tabs>
        <w:rPr>
          <w:rFonts w:eastAsiaTheme="minorEastAsia"/>
          <w:b w:val="0"/>
          <w:noProof/>
        </w:rPr>
      </w:pPr>
      <w:hyperlink w:anchor="_Toc189845080" w:history="1">
        <w:r w:rsidRPr="0050355B">
          <w:rPr>
            <w:rStyle w:val="Hyperlink"/>
            <w:noProof/>
          </w:rPr>
          <w:t>Observation 22</w:t>
        </w:r>
        <w:r>
          <w:rPr>
            <w:rFonts w:eastAsiaTheme="minorEastAsia"/>
            <w:b w:val="0"/>
            <w:noProof/>
          </w:rPr>
          <w:tab/>
        </w:r>
        <w:r w:rsidRPr="0050355B">
          <w:rPr>
            <w:rStyle w:val="Hyperlink"/>
            <w:noProof/>
          </w:rPr>
          <w:t>The LOS/NLOS indicator in legacy positioning report is a measure of the reliability of the measurement report.</w:t>
        </w:r>
      </w:hyperlink>
    </w:p>
    <w:p w14:paraId="6563863D" w14:textId="6B7EBF2D" w:rsidR="00C713E4" w:rsidRDefault="00C713E4">
      <w:pPr>
        <w:pStyle w:val="TableofFigures"/>
        <w:tabs>
          <w:tab w:val="right" w:leader="dot" w:pos="9962"/>
        </w:tabs>
        <w:rPr>
          <w:rFonts w:eastAsiaTheme="minorEastAsia"/>
          <w:b w:val="0"/>
          <w:noProof/>
        </w:rPr>
      </w:pPr>
      <w:hyperlink w:anchor="_Toc189845081" w:history="1">
        <w:r w:rsidRPr="0050355B">
          <w:rPr>
            <w:rStyle w:val="Hyperlink"/>
            <w:noProof/>
          </w:rPr>
          <w:t>Observation 23</w:t>
        </w:r>
        <w:r>
          <w:rPr>
            <w:rFonts w:eastAsiaTheme="minorEastAsia"/>
            <w:b w:val="0"/>
            <w:noProof/>
          </w:rPr>
          <w:tab/>
        </w:r>
        <w:r w:rsidRPr="0050355B">
          <w:rPr>
            <w:rStyle w:val="Hyperlink"/>
            <w:noProof/>
          </w:rPr>
          <w:t>AI/ML assisted positioning can provide measurement report of the NLOS channel with high confidence.</w:t>
        </w:r>
      </w:hyperlink>
    </w:p>
    <w:p w14:paraId="3621BF42" w14:textId="58F7F342" w:rsidR="00C713E4" w:rsidRDefault="00C713E4">
      <w:pPr>
        <w:pStyle w:val="TableofFigures"/>
        <w:tabs>
          <w:tab w:val="right" w:leader="dot" w:pos="9962"/>
        </w:tabs>
        <w:rPr>
          <w:rFonts w:eastAsiaTheme="minorEastAsia"/>
          <w:b w:val="0"/>
          <w:noProof/>
        </w:rPr>
      </w:pPr>
      <w:hyperlink w:anchor="_Toc189845082" w:history="1">
        <w:r w:rsidRPr="0050355B">
          <w:rPr>
            <w:rStyle w:val="Hyperlink"/>
            <w:noProof/>
          </w:rPr>
          <w:t>Observation 24</w:t>
        </w:r>
        <w:r>
          <w:rPr>
            <w:rFonts w:eastAsiaTheme="minorEastAsia"/>
            <w:b w:val="0"/>
            <w:noProof/>
          </w:rPr>
          <w:tab/>
        </w:r>
        <w:r w:rsidRPr="0050355B">
          <w:rPr>
            <w:rStyle w:val="Hyperlink"/>
            <w:noProof/>
          </w:rPr>
          <w:t>The interpretation of a LOS indicator as reflecting the physical nature of the channel should be the same in Release 19 and legacy.</w:t>
        </w:r>
      </w:hyperlink>
    </w:p>
    <w:p w14:paraId="47B30C6F" w14:textId="09608E4A" w:rsidR="00C713E4" w:rsidRDefault="00C713E4">
      <w:pPr>
        <w:pStyle w:val="TableofFigures"/>
        <w:tabs>
          <w:tab w:val="right" w:leader="dot" w:pos="9962"/>
        </w:tabs>
        <w:rPr>
          <w:rFonts w:eastAsiaTheme="minorEastAsia"/>
          <w:b w:val="0"/>
          <w:noProof/>
        </w:rPr>
      </w:pPr>
      <w:hyperlink w:anchor="_Toc189845083" w:history="1">
        <w:r w:rsidRPr="0050355B">
          <w:rPr>
            <w:rStyle w:val="Hyperlink"/>
            <w:noProof/>
          </w:rPr>
          <w:t>Observation 25</w:t>
        </w:r>
        <w:r>
          <w:rPr>
            <w:rFonts w:eastAsiaTheme="minorEastAsia"/>
            <w:b w:val="0"/>
            <w:noProof/>
          </w:rPr>
          <w:tab/>
        </w:r>
        <w:r w:rsidRPr="0050355B">
          <w:rPr>
            <w:rStyle w:val="Hyperlink"/>
            <w:noProof/>
          </w:rPr>
          <w:t>If the LMF is not involved in the model monitoring of the model generating the LOS indicator, the need for identifying a LOS indicator as generated by a model output is not clear.</w:t>
        </w:r>
      </w:hyperlink>
    </w:p>
    <w:p w14:paraId="3AF0E6C6" w14:textId="13D62A49" w:rsidR="00C713E4" w:rsidRDefault="00C713E4">
      <w:pPr>
        <w:pStyle w:val="TableofFigures"/>
        <w:tabs>
          <w:tab w:val="right" w:leader="dot" w:pos="9962"/>
        </w:tabs>
        <w:rPr>
          <w:rFonts w:eastAsiaTheme="minorEastAsia"/>
          <w:b w:val="0"/>
          <w:noProof/>
        </w:rPr>
      </w:pPr>
      <w:hyperlink w:anchor="_Toc189845084" w:history="1">
        <w:r w:rsidRPr="0050355B">
          <w:rPr>
            <w:rStyle w:val="Hyperlink"/>
            <w:noProof/>
          </w:rPr>
          <w:t>Observation 26</w:t>
        </w:r>
        <w:r>
          <w:rPr>
            <w:rFonts w:eastAsiaTheme="minorEastAsia"/>
            <w:b w:val="0"/>
            <w:noProof/>
          </w:rPr>
          <w:tab/>
        </w:r>
        <w:r w:rsidRPr="0050355B">
          <w:rPr>
            <w:rStyle w:val="Hyperlink"/>
            <w:noProof/>
          </w:rPr>
          <w:t>From the RAN1 perspective, current specification support for Part A data collection in Case 1 is sufficient.</w:t>
        </w:r>
      </w:hyperlink>
    </w:p>
    <w:p w14:paraId="46D21BB6" w14:textId="7B46B7C1" w:rsidR="00C713E4" w:rsidRDefault="00C713E4">
      <w:pPr>
        <w:pStyle w:val="TableofFigures"/>
        <w:tabs>
          <w:tab w:val="right" w:leader="dot" w:pos="9962"/>
        </w:tabs>
        <w:rPr>
          <w:rFonts w:eastAsiaTheme="minorEastAsia"/>
          <w:b w:val="0"/>
          <w:noProof/>
        </w:rPr>
      </w:pPr>
      <w:hyperlink w:anchor="_Toc189845085" w:history="1">
        <w:r w:rsidRPr="0050355B">
          <w:rPr>
            <w:rStyle w:val="Hyperlink"/>
            <w:noProof/>
          </w:rPr>
          <w:t>Observation 27</w:t>
        </w:r>
        <w:r>
          <w:rPr>
            <w:rFonts w:eastAsiaTheme="minorEastAsia"/>
            <w:b w:val="0"/>
            <w:noProof/>
          </w:rPr>
          <w:tab/>
        </w:r>
        <w:r w:rsidRPr="0050355B">
          <w:rPr>
            <w:rStyle w:val="Hyperlink"/>
            <w:noProof/>
          </w:rPr>
          <w:t>From the RAN1 perspective, Part A data collection in Case 2b and 3b is identical to measurement reporting for inference.</w:t>
        </w:r>
      </w:hyperlink>
    </w:p>
    <w:p w14:paraId="057DF089" w14:textId="3941B417" w:rsidR="00C713E4" w:rsidRDefault="00C713E4">
      <w:pPr>
        <w:pStyle w:val="TableofFigures"/>
        <w:tabs>
          <w:tab w:val="right" w:leader="dot" w:pos="9962"/>
        </w:tabs>
        <w:rPr>
          <w:rFonts w:eastAsiaTheme="minorEastAsia"/>
          <w:b w:val="0"/>
          <w:noProof/>
        </w:rPr>
      </w:pPr>
      <w:hyperlink w:anchor="_Toc189845086" w:history="1">
        <w:r w:rsidRPr="0050355B">
          <w:rPr>
            <w:rStyle w:val="Hyperlink"/>
            <w:noProof/>
          </w:rPr>
          <w:t>Observation 28</w:t>
        </w:r>
        <w:r>
          <w:rPr>
            <w:rFonts w:eastAsiaTheme="minorEastAsia"/>
            <w:b w:val="0"/>
            <w:noProof/>
          </w:rPr>
          <w:tab/>
        </w:r>
        <w:r w:rsidRPr="0050355B">
          <w:rPr>
            <w:rStyle w:val="Hyperlink"/>
            <w:noProof/>
          </w:rPr>
          <w:t>From the RAN1 perspective, Part A data collection in Case 3a is either up to the network implementation or identical to measurement reporting for inference.</w:t>
        </w:r>
      </w:hyperlink>
    </w:p>
    <w:p w14:paraId="4B815BF6" w14:textId="1C1BB2D9" w:rsidR="00C713E4" w:rsidRDefault="00C713E4">
      <w:pPr>
        <w:pStyle w:val="TableofFigures"/>
        <w:tabs>
          <w:tab w:val="right" w:leader="dot" w:pos="9962"/>
        </w:tabs>
        <w:rPr>
          <w:rFonts w:eastAsiaTheme="minorEastAsia"/>
          <w:b w:val="0"/>
          <w:noProof/>
        </w:rPr>
      </w:pPr>
      <w:hyperlink w:anchor="_Toc189845087" w:history="1">
        <w:r w:rsidRPr="0050355B">
          <w:rPr>
            <w:rStyle w:val="Hyperlink"/>
            <w:noProof/>
          </w:rPr>
          <w:t>Observation 29</w:t>
        </w:r>
        <w:r>
          <w:rPr>
            <w:rFonts w:eastAsiaTheme="minorEastAsia"/>
            <w:b w:val="0"/>
            <w:noProof/>
          </w:rPr>
          <w:tab/>
        </w:r>
        <w:r w:rsidRPr="0050355B">
          <w:rPr>
            <w:rStyle w:val="Hyperlink"/>
            <w:noProof/>
          </w:rPr>
          <w:t>Time stamp for Part B may span a period of time for which the location of the UE is consistent.</w:t>
        </w:r>
      </w:hyperlink>
    </w:p>
    <w:p w14:paraId="3CB1BBF1" w14:textId="0779AEC6" w:rsidR="00C713E4" w:rsidRDefault="00C713E4">
      <w:pPr>
        <w:pStyle w:val="TableofFigures"/>
        <w:tabs>
          <w:tab w:val="right" w:leader="dot" w:pos="9962"/>
        </w:tabs>
        <w:rPr>
          <w:rFonts w:eastAsiaTheme="minorEastAsia"/>
          <w:b w:val="0"/>
          <w:noProof/>
        </w:rPr>
      </w:pPr>
      <w:hyperlink w:anchor="_Toc189845088" w:history="1">
        <w:r w:rsidRPr="0050355B">
          <w:rPr>
            <w:rStyle w:val="Hyperlink"/>
            <w:noProof/>
          </w:rPr>
          <w:t>Observation 30</w:t>
        </w:r>
        <w:r>
          <w:rPr>
            <w:rFonts w:eastAsiaTheme="minorEastAsia"/>
            <w:b w:val="0"/>
            <w:noProof/>
          </w:rPr>
          <w:tab/>
        </w:r>
        <w:r w:rsidRPr="0050355B">
          <w:rPr>
            <w:rStyle w:val="Hyperlink"/>
            <w:noProof/>
          </w:rPr>
          <w:t>Part A-B pairing is an issue across Case 1, 3a and 3b.</w:t>
        </w:r>
      </w:hyperlink>
    </w:p>
    <w:p w14:paraId="0983E2A6" w14:textId="4A583FEB" w:rsidR="00C713E4" w:rsidRDefault="00C713E4">
      <w:pPr>
        <w:pStyle w:val="TableofFigures"/>
        <w:tabs>
          <w:tab w:val="right" w:leader="dot" w:pos="9962"/>
        </w:tabs>
        <w:rPr>
          <w:rFonts w:eastAsiaTheme="minorEastAsia"/>
          <w:b w:val="0"/>
          <w:noProof/>
        </w:rPr>
      </w:pPr>
      <w:hyperlink w:anchor="_Toc189845089" w:history="1">
        <w:r w:rsidRPr="0050355B">
          <w:rPr>
            <w:rStyle w:val="Hyperlink"/>
            <w:noProof/>
          </w:rPr>
          <w:t>Observation 31</w:t>
        </w:r>
        <w:r>
          <w:rPr>
            <w:rFonts w:eastAsiaTheme="minorEastAsia"/>
            <w:b w:val="0"/>
            <w:noProof/>
          </w:rPr>
          <w:tab/>
        </w:r>
        <w:r w:rsidRPr="0050355B">
          <w:rPr>
            <w:rStyle w:val="Hyperlink"/>
            <w:noProof/>
          </w:rPr>
          <w:t>Part A and Part B must be paired for the same UE, even though Part A and Part B may be reported by different entities.</w:t>
        </w:r>
      </w:hyperlink>
    </w:p>
    <w:p w14:paraId="239AA278" w14:textId="24481404" w:rsidR="00C713E4" w:rsidRDefault="00C713E4">
      <w:pPr>
        <w:pStyle w:val="TableofFigures"/>
        <w:tabs>
          <w:tab w:val="right" w:leader="dot" w:pos="9962"/>
        </w:tabs>
        <w:rPr>
          <w:rFonts w:eastAsiaTheme="minorEastAsia"/>
          <w:b w:val="0"/>
          <w:noProof/>
        </w:rPr>
      </w:pPr>
      <w:hyperlink w:anchor="_Toc189845090" w:history="1">
        <w:r w:rsidRPr="0050355B">
          <w:rPr>
            <w:rStyle w:val="Hyperlink"/>
            <w:noProof/>
          </w:rPr>
          <w:t>Observation 32</w:t>
        </w:r>
        <w:r>
          <w:rPr>
            <w:rFonts w:eastAsiaTheme="minorEastAsia"/>
            <w:b w:val="0"/>
            <w:noProof/>
          </w:rPr>
          <w:tab/>
        </w:r>
        <w:r w:rsidRPr="0050355B">
          <w:rPr>
            <w:rStyle w:val="Hyperlink"/>
            <w:noProof/>
          </w:rPr>
          <w:t>Collecting sufficient data in terms of training dataset size, UE distribution, diversity of UE sources, etc, is up to implementation.</w:t>
        </w:r>
      </w:hyperlink>
    </w:p>
    <w:p w14:paraId="7E5796DA" w14:textId="0AF5E61D" w:rsidR="00C713E4" w:rsidRDefault="00C713E4">
      <w:pPr>
        <w:pStyle w:val="TableofFigures"/>
        <w:tabs>
          <w:tab w:val="right" w:leader="dot" w:pos="9962"/>
        </w:tabs>
        <w:rPr>
          <w:rFonts w:eastAsiaTheme="minorEastAsia"/>
          <w:b w:val="0"/>
          <w:noProof/>
        </w:rPr>
      </w:pPr>
      <w:hyperlink w:anchor="_Toc189845091" w:history="1">
        <w:r w:rsidRPr="0050355B">
          <w:rPr>
            <w:rStyle w:val="Hyperlink"/>
            <w:noProof/>
          </w:rPr>
          <w:t>Observation 33</w:t>
        </w:r>
        <w:r>
          <w:rPr>
            <w:rFonts w:eastAsiaTheme="minorEastAsia"/>
            <w:b w:val="0"/>
            <w:noProof/>
          </w:rPr>
          <w:tab/>
        </w:r>
        <w:r w:rsidRPr="0050355B">
          <w:rPr>
            <w:rStyle w:val="Hyperlink"/>
            <w:noProof/>
          </w:rPr>
          <w:t>Label-free model performance monitoring is up to implementation of model inference entity. The only potential specification impact is to notify other entities of the model monitoring decision, if necessary.</w:t>
        </w:r>
      </w:hyperlink>
    </w:p>
    <w:p w14:paraId="0143316B" w14:textId="3A3C1BDD" w:rsidR="00C713E4" w:rsidRDefault="00C713E4">
      <w:pPr>
        <w:pStyle w:val="TableofFigures"/>
        <w:tabs>
          <w:tab w:val="right" w:leader="dot" w:pos="9962"/>
        </w:tabs>
        <w:rPr>
          <w:rFonts w:eastAsiaTheme="minorEastAsia"/>
          <w:b w:val="0"/>
          <w:noProof/>
        </w:rPr>
      </w:pPr>
      <w:hyperlink w:anchor="_Toc189845092" w:history="1">
        <w:r w:rsidRPr="0050355B">
          <w:rPr>
            <w:rStyle w:val="Hyperlink"/>
            <w:noProof/>
          </w:rPr>
          <w:t>Observation 34</w:t>
        </w:r>
        <w:r>
          <w:rPr>
            <w:rFonts w:eastAsiaTheme="minorEastAsia"/>
            <w:b w:val="0"/>
            <w:noProof/>
          </w:rPr>
          <w:tab/>
        </w:r>
        <w:r w:rsidRPr="0050355B">
          <w:rPr>
            <w:rStyle w:val="Hyperlink"/>
            <w:noProof/>
          </w:rPr>
          <w:t>If certain information on the ground truth label can be generated by the model inference entity, then such label-based model performance monitoring is also self-contained and up to implementation of model inference entity. The only potential specification impact is to notify other entities of the model monitoring decision, if necessary.</w:t>
        </w:r>
      </w:hyperlink>
    </w:p>
    <w:p w14:paraId="09CB920B" w14:textId="09A9BFD6" w:rsidR="00C713E4" w:rsidRDefault="00C713E4">
      <w:pPr>
        <w:pStyle w:val="TableofFigures"/>
        <w:tabs>
          <w:tab w:val="right" w:leader="dot" w:pos="9962"/>
        </w:tabs>
        <w:rPr>
          <w:rFonts w:eastAsiaTheme="minorEastAsia"/>
          <w:b w:val="0"/>
          <w:noProof/>
        </w:rPr>
      </w:pPr>
      <w:hyperlink w:anchor="_Toc189845093" w:history="1">
        <w:r w:rsidRPr="0050355B">
          <w:rPr>
            <w:rStyle w:val="Hyperlink"/>
            <w:noProof/>
          </w:rPr>
          <w:t>Observation 35</w:t>
        </w:r>
        <w:r>
          <w:rPr>
            <w:rFonts w:eastAsiaTheme="minorEastAsia"/>
            <w:b w:val="0"/>
            <w:noProof/>
          </w:rPr>
          <w:tab/>
        </w:r>
        <w:r w:rsidRPr="0050355B">
          <w:rPr>
            <w:rStyle w:val="Hyperlink"/>
            <w:noProof/>
          </w:rPr>
          <w:t>The benefit of associated ID is that the details for the information covered by associated ID do not need to be explicitly signaled, if they are not needed for performing model inference, and only needed for consistency verification.</w:t>
        </w:r>
      </w:hyperlink>
    </w:p>
    <w:p w14:paraId="61AE5E00" w14:textId="0BFA1A53" w:rsidR="00C713E4" w:rsidRDefault="00C713E4">
      <w:pPr>
        <w:pStyle w:val="TableofFigures"/>
        <w:tabs>
          <w:tab w:val="right" w:leader="dot" w:pos="9962"/>
        </w:tabs>
        <w:rPr>
          <w:rFonts w:eastAsiaTheme="minorEastAsia"/>
          <w:b w:val="0"/>
          <w:noProof/>
        </w:rPr>
      </w:pPr>
      <w:hyperlink w:anchor="_Toc189845094" w:history="1">
        <w:r w:rsidRPr="0050355B">
          <w:rPr>
            <w:rStyle w:val="Hyperlink"/>
            <w:noProof/>
          </w:rPr>
          <w:t>Observation 36</w:t>
        </w:r>
        <w:r>
          <w:rPr>
            <w:rFonts w:eastAsiaTheme="minorEastAsia"/>
            <w:b w:val="0"/>
            <w:noProof/>
          </w:rPr>
          <w:tab/>
        </w:r>
        <w:r w:rsidRPr="0050355B">
          <w:rPr>
            <w:rStyle w:val="Hyperlink"/>
            <w:noProof/>
          </w:rPr>
          <w:t>For Cases with LMF-side model (Case 2b/3b), the measurements reported for model input must be consistent with the ones used with training data.</w:t>
        </w:r>
      </w:hyperlink>
    </w:p>
    <w:p w14:paraId="79591F91" w14:textId="22FD3CA9" w:rsidR="00C713E4" w:rsidRDefault="00C713E4">
      <w:pPr>
        <w:pStyle w:val="TableofFigures"/>
        <w:tabs>
          <w:tab w:val="right" w:leader="dot" w:pos="9962"/>
        </w:tabs>
        <w:rPr>
          <w:rFonts w:eastAsiaTheme="minorEastAsia"/>
          <w:b w:val="0"/>
          <w:noProof/>
        </w:rPr>
      </w:pPr>
      <w:hyperlink w:anchor="_Toc189845095" w:history="1">
        <w:r w:rsidRPr="0050355B">
          <w:rPr>
            <w:rStyle w:val="Hyperlink"/>
            <w:noProof/>
          </w:rPr>
          <w:t>Observation 37</w:t>
        </w:r>
        <w:r>
          <w:rPr>
            <w:rFonts w:eastAsiaTheme="minorEastAsia"/>
            <w:b w:val="0"/>
            <w:noProof/>
          </w:rPr>
          <w:tab/>
        </w:r>
        <w:r w:rsidRPr="0050355B">
          <w:rPr>
            <w:rStyle w:val="Hyperlink"/>
            <w:noProof/>
          </w:rPr>
          <w:t>For Case 1, the SI only considered time-based fingerprinting approaches.</w:t>
        </w:r>
      </w:hyperlink>
    </w:p>
    <w:p w14:paraId="6B1D060B" w14:textId="50B77306" w:rsidR="00C713E4" w:rsidRDefault="00C713E4">
      <w:pPr>
        <w:pStyle w:val="TableofFigures"/>
        <w:tabs>
          <w:tab w:val="right" w:leader="dot" w:pos="9962"/>
        </w:tabs>
        <w:rPr>
          <w:rFonts w:eastAsiaTheme="minorEastAsia"/>
          <w:b w:val="0"/>
          <w:noProof/>
        </w:rPr>
      </w:pPr>
      <w:hyperlink w:anchor="_Toc189845096" w:history="1">
        <w:r w:rsidRPr="0050355B">
          <w:rPr>
            <w:rStyle w:val="Hyperlink"/>
            <w:noProof/>
          </w:rPr>
          <w:t>Observation 38</w:t>
        </w:r>
        <w:r>
          <w:rPr>
            <w:rFonts w:eastAsiaTheme="minorEastAsia"/>
            <w:b w:val="0"/>
            <w:noProof/>
          </w:rPr>
          <w:tab/>
        </w:r>
        <w:r w:rsidRPr="0050355B">
          <w:rPr>
            <w:rStyle w:val="Hyperlink"/>
            <w:noProof/>
          </w:rPr>
          <w:t>For Case 1, operators should have the possibility to support Case 1 and without disclosing TRP location.</w:t>
        </w:r>
      </w:hyperlink>
    </w:p>
    <w:p w14:paraId="71B23DC5" w14:textId="537DC450" w:rsidR="006E1C82" w:rsidRDefault="006F6582" w:rsidP="00024894">
      <w:pPr>
        <w:pStyle w:val="BodyText"/>
      </w:pPr>
      <w:r>
        <w:fldChar w:fldCharType="end"/>
      </w:r>
    </w:p>
    <w:p w14:paraId="5DF8B489" w14:textId="77777777" w:rsidR="006E1C82" w:rsidRDefault="008E065E" w:rsidP="0002489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9822F7" w14:textId="5E743DCE" w:rsidR="00C713E4" w:rsidRDefault="006E1C82">
      <w:pPr>
        <w:pStyle w:val="TableofFigures"/>
        <w:tabs>
          <w:tab w:val="right" w:leader="dot" w:pos="9962"/>
        </w:tabs>
        <w:rPr>
          <w:rFonts w:eastAsiaTheme="minorEastAsia"/>
          <w:b w:val="0"/>
          <w:noProof/>
        </w:rPr>
      </w:pPr>
      <w:r>
        <w:rPr>
          <w:bCs/>
        </w:rPr>
        <w:fldChar w:fldCharType="begin"/>
      </w:r>
      <w:r>
        <w:rPr>
          <w:bCs/>
        </w:rPr>
        <w:instrText xml:space="preserve"> TOC \n \h \z \t "Proposal" \c </w:instrText>
      </w:r>
      <w:r>
        <w:rPr>
          <w:bCs/>
        </w:rPr>
        <w:fldChar w:fldCharType="separate"/>
      </w:r>
      <w:hyperlink w:anchor="_Toc189845097" w:history="1">
        <w:r w:rsidR="00C713E4" w:rsidRPr="00601695">
          <w:rPr>
            <w:rStyle w:val="Hyperlink"/>
            <w:noProof/>
          </w:rPr>
          <w:t>Proposal 1</w:t>
        </w:r>
        <w:r w:rsidR="00C713E4">
          <w:rPr>
            <w:rFonts w:eastAsiaTheme="minorEastAsia"/>
            <w:b w:val="0"/>
            <w:noProof/>
          </w:rPr>
          <w:tab/>
        </w:r>
        <w:r w:rsidR="00C713E4" w:rsidRPr="00601695">
          <w:rPr>
            <w:rStyle w:val="Hyperlink"/>
            <w:noProof/>
          </w:rPr>
          <w:t>RAN1 assumes Case 1 is supported using UE based DL-TDOA procedures as a foundation. It is up to RAN2 to decide whether a set of new procedure is to be defined for Case 1, or extension to DL-TDOA suffices. RAN1 confirms the understanding with RAN2.</w:t>
        </w:r>
      </w:hyperlink>
    </w:p>
    <w:p w14:paraId="36822656" w14:textId="793A46C0" w:rsidR="00C713E4" w:rsidRDefault="00C713E4">
      <w:pPr>
        <w:pStyle w:val="TableofFigures"/>
        <w:tabs>
          <w:tab w:val="right" w:leader="dot" w:pos="9962"/>
        </w:tabs>
        <w:rPr>
          <w:rFonts w:eastAsiaTheme="minorEastAsia"/>
          <w:b w:val="0"/>
          <w:noProof/>
        </w:rPr>
      </w:pPr>
      <w:hyperlink w:anchor="_Toc189845098" w:history="1">
        <w:r w:rsidRPr="00601695">
          <w:rPr>
            <w:rStyle w:val="Hyperlink"/>
            <w:noProof/>
          </w:rPr>
          <w:t>Proposal 2</w:t>
        </w:r>
        <w:r>
          <w:rPr>
            <w:rFonts w:eastAsiaTheme="minorEastAsia"/>
            <w:b w:val="0"/>
            <w:noProof/>
          </w:rPr>
          <w:tab/>
        </w:r>
        <w:r w:rsidRPr="00601695">
          <w:rPr>
            <w:rStyle w:val="Hyperlink"/>
            <w:noProof/>
          </w:rPr>
          <w:t>RAN1 assumes Case 3a is supported using UL-TDOA or multi RTT procedure as a foundation. It is up to RAN3 to decide whether a set of new procedure is to be defined for Case 3a, or extension to existing procedure suffices. RAN1 confirms the understanding with RAN2 and RAN3.</w:t>
        </w:r>
      </w:hyperlink>
    </w:p>
    <w:p w14:paraId="3A058B75" w14:textId="1BF69EC9" w:rsidR="00C713E4" w:rsidRDefault="00C713E4">
      <w:pPr>
        <w:pStyle w:val="TableofFigures"/>
        <w:tabs>
          <w:tab w:val="right" w:leader="dot" w:pos="9962"/>
        </w:tabs>
        <w:rPr>
          <w:rFonts w:eastAsiaTheme="minorEastAsia"/>
          <w:b w:val="0"/>
          <w:noProof/>
        </w:rPr>
      </w:pPr>
      <w:hyperlink w:anchor="_Toc189845099" w:history="1">
        <w:r w:rsidRPr="00601695">
          <w:rPr>
            <w:rStyle w:val="Hyperlink"/>
            <w:noProof/>
          </w:rPr>
          <w:t>Proposal 3</w:t>
        </w:r>
        <w:r>
          <w:rPr>
            <w:rFonts w:eastAsiaTheme="minorEastAsia"/>
            <w:b w:val="0"/>
            <w:noProof/>
          </w:rPr>
          <w:tab/>
        </w:r>
        <w:r w:rsidRPr="00601695">
          <w:rPr>
            <w:rStyle w:val="Hyperlink"/>
            <w:noProof/>
          </w:rPr>
          <w:t>RAN1 assumes that for Case 3b with sample-based reporting enhancements, measurement report with sample-based reporting can be differentiated by the involved nodes (LMF, gNB) from the legacy UL RTOA measurement requests / reports. RAN1 confirm the understanding with RAN2 and RAN3.</w:t>
        </w:r>
      </w:hyperlink>
    </w:p>
    <w:p w14:paraId="01C3D5A9" w14:textId="4035F9E2" w:rsidR="00C713E4" w:rsidRDefault="00C713E4">
      <w:pPr>
        <w:pStyle w:val="TableofFigures"/>
        <w:tabs>
          <w:tab w:val="right" w:leader="dot" w:pos="9962"/>
        </w:tabs>
        <w:rPr>
          <w:rFonts w:eastAsiaTheme="minorEastAsia"/>
          <w:b w:val="0"/>
          <w:noProof/>
        </w:rPr>
      </w:pPr>
      <w:hyperlink w:anchor="_Toc189845100" w:history="1">
        <w:r w:rsidRPr="00601695">
          <w:rPr>
            <w:rStyle w:val="Hyperlink"/>
            <w:noProof/>
            <w:lang w:eastAsia="en-GB"/>
          </w:rPr>
          <w:t>Proposal 4</w:t>
        </w:r>
        <w:r>
          <w:rPr>
            <w:rFonts w:eastAsiaTheme="minorEastAsia"/>
            <w:b w:val="0"/>
            <w:noProof/>
          </w:rPr>
          <w:tab/>
        </w:r>
        <w:r w:rsidRPr="00601695">
          <w:rPr>
            <w:rStyle w:val="Hyperlink"/>
            <w:noProof/>
            <w:lang w:eastAsia="en-GB"/>
          </w:rPr>
          <w:t xml:space="preserve">From the candidate values agreed in RAN1#119 for </w:t>
        </w:r>
        <w:r w:rsidRPr="00601695">
          <w:rPr>
            <w:rStyle w:val="Hyperlink"/>
            <w:noProof/>
          </w:rPr>
          <w:t>N</w:t>
        </w:r>
        <w:r w:rsidRPr="00601695">
          <w:rPr>
            <w:rStyle w:val="Hyperlink"/>
            <w:noProof/>
            <w:vertAlign w:val="subscript"/>
          </w:rPr>
          <w:t>t</w:t>
        </w:r>
        <w:r w:rsidRPr="00601695">
          <w:rPr>
            <w:rStyle w:val="Hyperlink"/>
            <w:noProof/>
            <w:lang w:eastAsia="en-GB"/>
          </w:rPr>
          <w:t xml:space="preserve"> (N</w:t>
        </w:r>
        <w:r w:rsidRPr="00601695">
          <w:rPr>
            <w:rStyle w:val="Hyperlink"/>
            <w:noProof/>
            <w:vertAlign w:val="subscript"/>
            <w:lang w:eastAsia="en-GB"/>
          </w:rPr>
          <w:t>t</w:t>
        </w:r>
        <w:r w:rsidRPr="00601695">
          <w:rPr>
            <w:rStyle w:val="Hyperlink"/>
            <w:noProof/>
            <w:lang w:eastAsia="en-GB"/>
          </w:rPr>
          <w:t xml:space="preserve"> = {32, 64, 128} ), support N</w:t>
        </w:r>
        <w:r w:rsidRPr="00601695">
          <w:rPr>
            <w:rStyle w:val="Hyperlink"/>
            <w:noProof/>
            <w:vertAlign w:val="subscript"/>
            <w:lang w:eastAsia="en-GB"/>
          </w:rPr>
          <w:t>t</w:t>
        </w:r>
        <w:r w:rsidRPr="00601695">
          <w:rPr>
            <w:rStyle w:val="Hyperlink"/>
            <w:noProof/>
            <w:lang w:eastAsia="en-GB"/>
          </w:rPr>
          <w:t xml:space="preserve"> = {32, 64}.</w:t>
        </w:r>
      </w:hyperlink>
    </w:p>
    <w:p w14:paraId="50E852D1" w14:textId="75328397" w:rsidR="00C713E4" w:rsidRDefault="00C713E4">
      <w:pPr>
        <w:pStyle w:val="TableofFigures"/>
        <w:tabs>
          <w:tab w:val="right" w:leader="dot" w:pos="9962"/>
        </w:tabs>
        <w:rPr>
          <w:rFonts w:eastAsiaTheme="minorEastAsia"/>
          <w:b w:val="0"/>
          <w:noProof/>
        </w:rPr>
      </w:pPr>
      <w:hyperlink w:anchor="_Toc189845101" w:history="1">
        <w:r w:rsidRPr="00601695">
          <w:rPr>
            <w:rStyle w:val="Hyperlink"/>
            <w:noProof/>
            <w:lang w:eastAsia="en-GB"/>
          </w:rPr>
          <w:t>Proposal 5</w:t>
        </w:r>
        <w:r>
          <w:rPr>
            <w:rFonts w:eastAsiaTheme="minorEastAsia"/>
            <w:b w:val="0"/>
            <w:noProof/>
          </w:rPr>
          <w:tab/>
        </w:r>
        <w:r w:rsidRPr="00601695">
          <w:rPr>
            <w:rStyle w:val="Hyperlink"/>
            <w:noProof/>
            <w:lang w:eastAsia="en-GB"/>
          </w:rPr>
          <w:t xml:space="preserve">From the candidate values agreed in RAN1#119 for </w:t>
        </w:r>
        <w:r w:rsidRPr="00601695">
          <w:rPr>
            <w:rStyle w:val="Hyperlink"/>
            <w:noProof/>
          </w:rPr>
          <w:t>N</w:t>
        </w:r>
        <w:r w:rsidRPr="00601695">
          <w:rPr>
            <w:rStyle w:val="Hyperlink"/>
            <w:noProof/>
            <w:vertAlign w:val="subscript"/>
          </w:rPr>
          <w:t>t</w:t>
        </w:r>
        <w:r w:rsidRPr="00601695">
          <w:rPr>
            <w:rStyle w:val="Hyperlink"/>
            <w:noProof/>
          </w:rPr>
          <w:t>'</w:t>
        </w:r>
        <w:r w:rsidRPr="00601695">
          <w:rPr>
            <w:rStyle w:val="Hyperlink"/>
            <w:noProof/>
            <w:lang w:eastAsia="en-GB"/>
          </w:rPr>
          <w:t xml:space="preserve"> (</w:t>
        </w:r>
        <w:r w:rsidRPr="00601695">
          <w:rPr>
            <w:rStyle w:val="Hyperlink"/>
            <w:noProof/>
          </w:rPr>
          <w:t>N</w:t>
        </w:r>
        <w:r w:rsidRPr="00601695">
          <w:rPr>
            <w:rStyle w:val="Hyperlink"/>
            <w:noProof/>
            <w:vertAlign w:val="subscript"/>
          </w:rPr>
          <w:t>t</w:t>
        </w:r>
        <w:r w:rsidRPr="00601695">
          <w:rPr>
            <w:rStyle w:val="Hyperlink"/>
            <w:noProof/>
          </w:rPr>
          <w:t>'</w:t>
        </w:r>
        <w:r w:rsidRPr="00601695">
          <w:rPr>
            <w:rStyle w:val="Hyperlink"/>
            <w:noProof/>
            <w:lang w:eastAsia="en-GB"/>
          </w:rPr>
          <w:t xml:space="preserve"> &lt;=24), </w:t>
        </w:r>
        <w:r w:rsidRPr="00601695">
          <w:rPr>
            <w:rStyle w:val="Hyperlink"/>
            <w:noProof/>
          </w:rPr>
          <w:t>N</w:t>
        </w:r>
        <w:r w:rsidRPr="00601695">
          <w:rPr>
            <w:rStyle w:val="Hyperlink"/>
            <w:noProof/>
            <w:vertAlign w:val="subscript"/>
          </w:rPr>
          <w:t>t</w:t>
        </w:r>
        <w:r w:rsidRPr="00601695">
          <w:rPr>
            <w:rStyle w:val="Hyperlink"/>
            <w:noProof/>
          </w:rPr>
          <w:t xml:space="preserve">' </w:t>
        </w:r>
        <w:r w:rsidRPr="00601695">
          <w:rPr>
            <w:rStyle w:val="Hyperlink"/>
            <w:noProof/>
            <w:lang w:eastAsia="en-GB"/>
          </w:rPr>
          <w:t>values {9, 16, 24} are supported.</w:t>
        </w:r>
      </w:hyperlink>
    </w:p>
    <w:p w14:paraId="7BBDEC06" w14:textId="4B46C037" w:rsidR="00C713E4" w:rsidRDefault="00C713E4">
      <w:pPr>
        <w:pStyle w:val="TableofFigures"/>
        <w:tabs>
          <w:tab w:val="right" w:leader="dot" w:pos="9962"/>
        </w:tabs>
        <w:rPr>
          <w:rFonts w:eastAsiaTheme="minorEastAsia"/>
          <w:b w:val="0"/>
          <w:noProof/>
        </w:rPr>
      </w:pPr>
      <w:hyperlink w:anchor="_Toc189845102" w:history="1">
        <w:r w:rsidRPr="00601695">
          <w:rPr>
            <w:rStyle w:val="Hyperlink"/>
            <w:noProof/>
            <w:lang w:eastAsia="en-GB"/>
          </w:rPr>
          <w:t>Proposal 6</w:t>
        </w:r>
        <w:r>
          <w:rPr>
            <w:rFonts w:eastAsiaTheme="minorEastAsia"/>
            <w:b w:val="0"/>
            <w:noProof/>
          </w:rPr>
          <w:tab/>
        </w:r>
        <w:r w:rsidRPr="00601695">
          <w:rPr>
            <w:rStyle w:val="Hyperlink"/>
            <w:noProof/>
            <w:lang w:eastAsia="en-GB"/>
          </w:rPr>
          <w:t xml:space="preserve">For </w:t>
        </w:r>
        <w:r w:rsidRPr="00601695">
          <w:rPr>
            <w:rStyle w:val="Hyperlink"/>
            <w:noProof/>
          </w:rPr>
          <w:t>{N</w:t>
        </w:r>
        <w:r w:rsidRPr="00601695">
          <w:rPr>
            <w:rStyle w:val="Hyperlink"/>
            <w:noProof/>
            <w:vertAlign w:val="subscript"/>
          </w:rPr>
          <w:t>t</w:t>
        </w:r>
        <w:r w:rsidRPr="00601695">
          <w:rPr>
            <w:rStyle w:val="Hyperlink"/>
            <w:noProof/>
          </w:rPr>
          <w:t>, N</w:t>
        </w:r>
        <w:r w:rsidRPr="00601695">
          <w:rPr>
            <w:rStyle w:val="Hyperlink"/>
            <w:noProof/>
            <w:vertAlign w:val="subscript"/>
          </w:rPr>
          <w:t>t</w:t>
        </w:r>
        <w:r w:rsidRPr="00601695">
          <w:rPr>
            <w:rStyle w:val="Hyperlink"/>
            <w:noProof/>
          </w:rPr>
          <w:t>'}, support these combinations: {32, 24}, {32, 9}; {64, 24}, {64, 16}, {64, 9}.</w:t>
        </w:r>
      </w:hyperlink>
    </w:p>
    <w:p w14:paraId="401499B1" w14:textId="2B38B1B1" w:rsidR="00C713E4" w:rsidRDefault="00C713E4">
      <w:pPr>
        <w:pStyle w:val="TableofFigures"/>
        <w:tabs>
          <w:tab w:val="right" w:leader="dot" w:pos="9962"/>
        </w:tabs>
        <w:rPr>
          <w:rFonts w:eastAsiaTheme="minorEastAsia"/>
          <w:b w:val="0"/>
          <w:noProof/>
        </w:rPr>
      </w:pPr>
      <w:hyperlink w:anchor="_Toc189845103" w:history="1">
        <w:r w:rsidRPr="00601695">
          <w:rPr>
            <w:rStyle w:val="Hyperlink"/>
            <w:noProof/>
          </w:rPr>
          <w:t>Proposal 7</w:t>
        </w:r>
        <w:r>
          <w:rPr>
            <w:rFonts w:eastAsiaTheme="minorEastAsia"/>
            <w:b w:val="0"/>
            <w:noProof/>
          </w:rPr>
          <w:tab/>
        </w:r>
        <w:r w:rsidRPr="00601695">
          <w:rPr>
            <w:rStyle w:val="Hyperlink"/>
            <w:noProof/>
          </w:rPr>
          <w:t xml:space="preserve">For Case 3b (and 3a if needed), a small number of </w:t>
        </w:r>
        <w:r w:rsidRPr="00601695">
          <w:rPr>
            <w:rStyle w:val="Hyperlink"/>
            <w:noProof/>
            <w:snapToGrid w:val="0"/>
          </w:rPr>
          <w:t>k</w:t>
        </w:r>
        <w:r w:rsidRPr="00601695">
          <w:rPr>
            <w:rStyle w:val="Hyperlink"/>
            <w:noProof/>
          </w:rPr>
          <w:t xml:space="preserve"> values, e.g., </w:t>
        </w:r>
        <w:r w:rsidRPr="00601695">
          <w:rPr>
            <w:rStyle w:val="Hyperlink"/>
            <w:noProof/>
            <w:snapToGrid w:val="0"/>
          </w:rPr>
          <w:t>k={4}, k={3,4}, or k={2,3,4,5}, is supported for timing reporting granularity factor in Rel-19.</w:t>
        </w:r>
      </w:hyperlink>
    </w:p>
    <w:p w14:paraId="7158EA59" w14:textId="29B910C9" w:rsidR="00C713E4" w:rsidRDefault="00C713E4">
      <w:pPr>
        <w:pStyle w:val="TableofFigures"/>
        <w:tabs>
          <w:tab w:val="right" w:leader="dot" w:pos="9962"/>
        </w:tabs>
        <w:rPr>
          <w:rFonts w:eastAsiaTheme="minorEastAsia"/>
          <w:b w:val="0"/>
          <w:noProof/>
        </w:rPr>
      </w:pPr>
      <w:hyperlink w:anchor="_Toc189845104" w:history="1">
        <w:r w:rsidRPr="00601695">
          <w:rPr>
            <w:rStyle w:val="Hyperlink"/>
            <w:noProof/>
          </w:rPr>
          <w:t>Proposal 8</w:t>
        </w:r>
        <w:r>
          <w:rPr>
            <w:rFonts w:eastAsiaTheme="minorEastAsia"/>
            <w:b w:val="0"/>
            <w:noProof/>
          </w:rPr>
          <w:tab/>
        </w:r>
        <w:r w:rsidRPr="00601695">
          <w:rPr>
            <w:rStyle w:val="Hyperlink"/>
            <w:noProof/>
          </w:rPr>
          <w:t>For Case 3b (and 3a if needed), when enhanced measurement are reported (i.e., sample-based reports) from the gNB to the LMF:</w:t>
        </w:r>
      </w:hyperlink>
    </w:p>
    <w:p w14:paraId="7B234A5F" w14:textId="2CD73BAF" w:rsidR="00C713E4" w:rsidRDefault="00C713E4">
      <w:pPr>
        <w:pStyle w:val="TableofFigures"/>
        <w:tabs>
          <w:tab w:val="right" w:leader="dot" w:pos="9962"/>
        </w:tabs>
        <w:rPr>
          <w:rFonts w:eastAsiaTheme="minorEastAsia"/>
          <w:b w:val="0"/>
          <w:noProof/>
        </w:rPr>
      </w:pPr>
      <w:hyperlink w:anchor="_Toc189845105" w:history="1">
        <w:r w:rsidRPr="00601695">
          <w:rPr>
            <w:rStyle w:val="Hyperlink"/>
            <w:rFonts w:ascii="Symbol" w:hAnsi="Symbol"/>
            <w:noProof/>
          </w:rPr>
          <w:t></w:t>
        </w:r>
        <w:r>
          <w:rPr>
            <w:rFonts w:eastAsiaTheme="minorEastAsia"/>
            <w:b w:val="0"/>
            <w:noProof/>
          </w:rPr>
          <w:tab/>
        </w:r>
        <w:r w:rsidRPr="00601695">
          <w:rPr>
            <w:rStyle w:val="Hyperlink"/>
            <w:noProof/>
          </w:rPr>
          <w:t xml:space="preserve">When the </w:t>
        </w:r>
        <w:r w:rsidRPr="00601695">
          <w:rPr>
            <w:rStyle w:val="Hyperlink"/>
            <w:noProof/>
            <w:lang w:val="en-GB"/>
          </w:rPr>
          <w:t>N</w:t>
        </w:r>
        <w:r w:rsidRPr="00601695">
          <w:rPr>
            <w:rStyle w:val="Hyperlink"/>
            <w:noProof/>
            <w:vertAlign w:val="subscript"/>
            <w:lang w:val="en-GB"/>
          </w:rPr>
          <w:t>t</w:t>
        </w:r>
        <w:r w:rsidRPr="00601695">
          <w:rPr>
            <w:rStyle w:val="Hyperlink"/>
            <w:noProof/>
            <w:lang w:val="en-GB"/>
          </w:rPr>
          <w:t>, N</w:t>
        </w:r>
        <w:r w:rsidRPr="00601695">
          <w:rPr>
            <w:rStyle w:val="Hyperlink"/>
            <w:noProof/>
            <w:vertAlign w:val="subscript"/>
            <w:lang w:val="en-GB"/>
          </w:rPr>
          <w:t>t</w:t>
        </w:r>
        <w:r w:rsidRPr="00601695">
          <w:rPr>
            <w:rStyle w:val="Hyperlink"/>
            <w:noProof/>
            <w:lang w:val="en-GB"/>
          </w:rPr>
          <w:t>', k values used to produce the report are different from the ones provided by the LMF in the measurement request, gNB provides in the measurement report to the LMF the N</w:t>
        </w:r>
        <w:r w:rsidRPr="00601695">
          <w:rPr>
            <w:rStyle w:val="Hyperlink"/>
            <w:noProof/>
            <w:vertAlign w:val="subscript"/>
            <w:lang w:val="en-GB"/>
          </w:rPr>
          <w:t>t</w:t>
        </w:r>
        <w:r w:rsidRPr="00601695">
          <w:rPr>
            <w:rStyle w:val="Hyperlink"/>
            <w:noProof/>
            <w:lang w:val="en-GB"/>
          </w:rPr>
          <w:t xml:space="preserve"> value used for the measurement.</w:t>
        </w:r>
      </w:hyperlink>
    </w:p>
    <w:p w14:paraId="13E90A09" w14:textId="62099814" w:rsidR="00C713E4" w:rsidRDefault="00C713E4">
      <w:pPr>
        <w:pStyle w:val="TableofFigures"/>
        <w:tabs>
          <w:tab w:val="right" w:leader="dot" w:pos="9962"/>
        </w:tabs>
        <w:rPr>
          <w:rFonts w:eastAsiaTheme="minorEastAsia"/>
          <w:b w:val="0"/>
          <w:noProof/>
        </w:rPr>
      </w:pPr>
      <w:hyperlink w:anchor="_Toc189845106" w:history="1">
        <w:r w:rsidRPr="00601695">
          <w:rPr>
            <w:rStyle w:val="Hyperlink"/>
            <w:rFonts w:ascii="Symbol" w:hAnsi="Symbol"/>
            <w:noProof/>
          </w:rPr>
          <w:t></w:t>
        </w:r>
        <w:r>
          <w:rPr>
            <w:rFonts w:eastAsiaTheme="minorEastAsia"/>
            <w:b w:val="0"/>
            <w:noProof/>
          </w:rPr>
          <w:tab/>
        </w:r>
        <w:r w:rsidRPr="00601695">
          <w:rPr>
            <w:rStyle w:val="Hyperlink"/>
            <w:noProof/>
            <w:lang w:val="en-GB"/>
          </w:rPr>
          <w:t>Note: k value is already supported in the measurement report, and N</w:t>
        </w:r>
        <w:r w:rsidRPr="00601695">
          <w:rPr>
            <w:rStyle w:val="Hyperlink"/>
            <w:noProof/>
            <w:vertAlign w:val="subscript"/>
            <w:lang w:val="en-GB"/>
          </w:rPr>
          <w:t>t</w:t>
        </w:r>
        <w:r w:rsidRPr="00601695">
          <w:rPr>
            <w:rStyle w:val="Hyperlink"/>
            <w:noProof/>
            <w:lang w:val="en-GB"/>
          </w:rPr>
          <w:t>’ can be inferred by the report size.</w:t>
        </w:r>
      </w:hyperlink>
    </w:p>
    <w:p w14:paraId="6E32C7EB" w14:textId="455815F9" w:rsidR="00C713E4" w:rsidRDefault="00C713E4">
      <w:pPr>
        <w:pStyle w:val="TableofFigures"/>
        <w:tabs>
          <w:tab w:val="right" w:leader="dot" w:pos="9962"/>
        </w:tabs>
        <w:rPr>
          <w:rFonts w:eastAsiaTheme="minorEastAsia"/>
          <w:b w:val="0"/>
          <w:noProof/>
        </w:rPr>
      </w:pPr>
      <w:hyperlink w:anchor="_Toc189845107" w:history="1">
        <w:r w:rsidRPr="00601695">
          <w:rPr>
            <w:rStyle w:val="Hyperlink"/>
            <w:noProof/>
          </w:rPr>
          <w:t>Proposal 9</w:t>
        </w:r>
        <w:r>
          <w:rPr>
            <w:rFonts w:eastAsiaTheme="minorEastAsia"/>
            <w:b w:val="0"/>
            <w:noProof/>
          </w:rPr>
          <w:tab/>
        </w:r>
        <w:r w:rsidRPr="00601695">
          <w:rPr>
            <w:rStyle w:val="Hyperlink"/>
            <w:noProof/>
          </w:rPr>
          <w:t>For Rel-19 AI/ML based positioning Case 3b, LMF includes an indicator in the measurement request to gNB, where the indicator is on the LMF preferred measurement report: either (a) sample-based measurement, or (b) legacy path-based measurement.</w:t>
        </w:r>
      </w:hyperlink>
    </w:p>
    <w:p w14:paraId="2D2C7B9B" w14:textId="155EDB74" w:rsidR="00C713E4" w:rsidRDefault="00C713E4">
      <w:pPr>
        <w:pStyle w:val="TableofFigures"/>
        <w:tabs>
          <w:tab w:val="right" w:leader="dot" w:pos="9962"/>
        </w:tabs>
        <w:rPr>
          <w:rFonts w:eastAsiaTheme="minorEastAsia"/>
          <w:b w:val="0"/>
          <w:noProof/>
        </w:rPr>
      </w:pPr>
      <w:hyperlink w:anchor="_Toc189845108" w:history="1">
        <w:r w:rsidRPr="00601695">
          <w:rPr>
            <w:rStyle w:val="Hyperlink"/>
            <w:noProof/>
          </w:rPr>
          <w:t>Proposal 10</w:t>
        </w:r>
        <w:r>
          <w:rPr>
            <w:rFonts w:eastAsiaTheme="minorEastAsia"/>
            <w:b w:val="0"/>
            <w:noProof/>
          </w:rPr>
          <w:tab/>
        </w:r>
        <w:r w:rsidRPr="00601695">
          <w:rPr>
            <w:rStyle w:val="Hyperlink"/>
            <w:noProof/>
          </w:rPr>
          <w:t>For Rel-19 AI/ML based positioning, legacy path-based measurement (if needed) is used without enhancement.</w:t>
        </w:r>
      </w:hyperlink>
    </w:p>
    <w:p w14:paraId="1E8EBF41" w14:textId="226FBB05" w:rsidR="00C713E4" w:rsidRDefault="00C713E4">
      <w:pPr>
        <w:pStyle w:val="TableofFigures"/>
        <w:tabs>
          <w:tab w:val="right" w:leader="dot" w:pos="9962"/>
        </w:tabs>
        <w:rPr>
          <w:rFonts w:eastAsiaTheme="minorEastAsia"/>
          <w:b w:val="0"/>
          <w:noProof/>
        </w:rPr>
      </w:pPr>
      <w:hyperlink w:anchor="_Toc189845109" w:history="1">
        <w:r w:rsidRPr="00601695">
          <w:rPr>
            <w:rStyle w:val="Hyperlink"/>
            <w:noProof/>
            <w:lang w:val="en-GB"/>
          </w:rPr>
          <w:t>Proposal 11</w:t>
        </w:r>
        <w:r>
          <w:rPr>
            <w:rFonts w:eastAsiaTheme="minorEastAsia"/>
            <w:b w:val="0"/>
            <w:noProof/>
          </w:rPr>
          <w:tab/>
        </w:r>
        <w:r w:rsidRPr="00601695">
          <w:rPr>
            <w:rStyle w:val="Hyperlink"/>
            <w:noProof/>
            <w:lang w:val="en-GB"/>
          </w:rPr>
          <w:t>For Case 3b, do not specify signalling enhancements for fallback between sample-based and path-based measurement.</w:t>
        </w:r>
      </w:hyperlink>
    </w:p>
    <w:p w14:paraId="654BE133" w14:textId="79E12866" w:rsidR="00C713E4" w:rsidRDefault="00C713E4">
      <w:pPr>
        <w:pStyle w:val="TableofFigures"/>
        <w:tabs>
          <w:tab w:val="right" w:leader="dot" w:pos="9962"/>
        </w:tabs>
        <w:rPr>
          <w:rFonts w:eastAsiaTheme="minorEastAsia"/>
          <w:b w:val="0"/>
          <w:noProof/>
        </w:rPr>
      </w:pPr>
      <w:hyperlink w:anchor="_Toc189845110" w:history="1">
        <w:r w:rsidRPr="00601695">
          <w:rPr>
            <w:rStyle w:val="Hyperlink"/>
            <w:rFonts w:ascii="Symbol" w:hAnsi="Symbol"/>
            <w:noProof/>
            <w:lang w:val="en-GB"/>
          </w:rPr>
          <w:t></w:t>
        </w:r>
        <w:r>
          <w:rPr>
            <w:rFonts w:eastAsiaTheme="minorEastAsia"/>
            <w:b w:val="0"/>
            <w:noProof/>
          </w:rPr>
          <w:tab/>
        </w:r>
        <w:r w:rsidRPr="00601695">
          <w:rPr>
            <w:rStyle w:val="Hyperlink"/>
            <w:noProof/>
            <w:lang w:val="en-GB"/>
          </w:rPr>
          <w:t>Note: fallback can be supported by existing procedure using cause values.</w:t>
        </w:r>
      </w:hyperlink>
    </w:p>
    <w:p w14:paraId="2B0B5166" w14:textId="68F9FFF3" w:rsidR="00C713E4" w:rsidRDefault="00C713E4">
      <w:pPr>
        <w:pStyle w:val="TableofFigures"/>
        <w:tabs>
          <w:tab w:val="right" w:leader="dot" w:pos="9962"/>
        </w:tabs>
        <w:rPr>
          <w:rFonts w:eastAsiaTheme="minorEastAsia"/>
          <w:b w:val="0"/>
          <w:noProof/>
        </w:rPr>
      </w:pPr>
      <w:hyperlink w:anchor="_Toc189845111" w:history="1">
        <w:r w:rsidRPr="00601695">
          <w:rPr>
            <w:rStyle w:val="Hyperlink"/>
            <w:noProof/>
          </w:rPr>
          <w:t>Proposal 12</w:t>
        </w:r>
        <w:r>
          <w:rPr>
            <w:rFonts w:eastAsiaTheme="minorEastAsia"/>
            <w:b w:val="0"/>
            <w:noProof/>
          </w:rPr>
          <w:tab/>
        </w:r>
        <w:r w:rsidRPr="00601695">
          <w:rPr>
            <w:rStyle w:val="Hyperlink"/>
            <w:noProof/>
          </w:rPr>
          <w:t>Regarding PDP for model input, update the DL PRS-RSRPP and UL SRS-RSPP definitions where the path or sample powers are summed over all receive antenna ports, i.e., using total-power PDP.</w:t>
        </w:r>
      </w:hyperlink>
    </w:p>
    <w:p w14:paraId="6C3E70CC" w14:textId="0D2D7DF5" w:rsidR="00C713E4" w:rsidRDefault="00C713E4">
      <w:pPr>
        <w:pStyle w:val="TableofFigures"/>
        <w:tabs>
          <w:tab w:val="right" w:leader="dot" w:pos="9962"/>
        </w:tabs>
        <w:rPr>
          <w:rFonts w:eastAsiaTheme="minorEastAsia"/>
          <w:b w:val="0"/>
          <w:noProof/>
        </w:rPr>
      </w:pPr>
      <w:hyperlink w:anchor="_Toc189845112" w:history="1">
        <w:r w:rsidRPr="00601695">
          <w:rPr>
            <w:rStyle w:val="Hyperlink"/>
            <w:noProof/>
          </w:rPr>
          <w:t>Proposal 13</w:t>
        </w:r>
        <w:r>
          <w:rPr>
            <w:rFonts w:eastAsiaTheme="minorEastAsia"/>
            <w:b w:val="0"/>
            <w:noProof/>
          </w:rPr>
          <w:tab/>
        </w:r>
        <w:r w:rsidRPr="00601695">
          <w:rPr>
            <w:rStyle w:val="Hyperlink"/>
            <w:noProof/>
          </w:rPr>
          <w:t>Do not support phase information for determining model input, including CIR and single phase value for first path/sample.</w:t>
        </w:r>
      </w:hyperlink>
    </w:p>
    <w:p w14:paraId="327A2B89" w14:textId="050AEDA0" w:rsidR="00C713E4" w:rsidRDefault="00C713E4">
      <w:pPr>
        <w:pStyle w:val="TableofFigures"/>
        <w:tabs>
          <w:tab w:val="right" w:leader="dot" w:pos="9962"/>
        </w:tabs>
        <w:rPr>
          <w:rFonts w:eastAsiaTheme="minorEastAsia"/>
          <w:b w:val="0"/>
          <w:noProof/>
        </w:rPr>
      </w:pPr>
      <w:hyperlink w:anchor="_Toc189845113" w:history="1">
        <w:r w:rsidRPr="00601695">
          <w:rPr>
            <w:rStyle w:val="Hyperlink"/>
            <w:noProof/>
          </w:rPr>
          <w:t>Proposal 14</w:t>
        </w:r>
        <w:r>
          <w:rPr>
            <w:rFonts w:eastAsiaTheme="minorEastAsia"/>
            <w:b w:val="0"/>
            <w:noProof/>
          </w:rPr>
          <w:tab/>
        </w:r>
        <w:r w:rsidRPr="00601695">
          <w:rPr>
            <w:rStyle w:val="Hyperlink"/>
            <w:noProof/>
          </w:rPr>
          <w:t>Before CIR can be adopted as model input, RAN1 need to investigate whether fingerprinting ML models can handle CIR phase measurements, which vary not only with the radio channel environment but also with the transmitter/receiver circuits.</w:t>
        </w:r>
      </w:hyperlink>
    </w:p>
    <w:p w14:paraId="13E4F021" w14:textId="4075CD5A" w:rsidR="00C713E4" w:rsidRDefault="00C713E4">
      <w:pPr>
        <w:pStyle w:val="TableofFigures"/>
        <w:tabs>
          <w:tab w:val="right" w:leader="dot" w:pos="9962"/>
        </w:tabs>
        <w:rPr>
          <w:rFonts w:eastAsiaTheme="minorEastAsia"/>
          <w:b w:val="0"/>
          <w:noProof/>
        </w:rPr>
      </w:pPr>
      <w:hyperlink w:anchor="_Toc189845114" w:history="1">
        <w:r w:rsidRPr="00601695">
          <w:rPr>
            <w:rStyle w:val="Hyperlink"/>
            <w:noProof/>
          </w:rPr>
          <w:t>Proposal 15</w:t>
        </w:r>
        <w:r>
          <w:rPr>
            <w:rFonts w:eastAsiaTheme="minorEastAsia"/>
            <w:b w:val="0"/>
            <w:noProof/>
          </w:rPr>
          <w:tab/>
        </w:r>
        <w:r w:rsidRPr="00601695">
          <w:rPr>
            <w:rStyle w:val="Hyperlink"/>
            <w:noProof/>
          </w:rPr>
          <w:t>To decide whether to support phase information to enable CIR as model input, RAN1 should weigh the small positioning accuracy improvement against the standardization effort, the signaling overhead, and the difficulty to align phase information between training and inference.</w:t>
        </w:r>
      </w:hyperlink>
    </w:p>
    <w:p w14:paraId="50DCCECB" w14:textId="66671441" w:rsidR="00C713E4" w:rsidRDefault="00C713E4">
      <w:pPr>
        <w:pStyle w:val="TableofFigures"/>
        <w:tabs>
          <w:tab w:val="right" w:leader="dot" w:pos="9962"/>
        </w:tabs>
        <w:rPr>
          <w:rFonts w:eastAsiaTheme="minorEastAsia"/>
          <w:b w:val="0"/>
          <w:noProof/>
        </w:rPr>
      </w:pPr>
      <w:hyperlink w:anchor="_Toc189845115" w:history="1">
        <w:r w:rsidRPr="00601695">
          <w:rPr>
            <w:rStyle w:val="Hyperlink"/>
            <w:noProof/>
          </w:rPr>
          <w:t>Proposal 16</w:t>
        </w:r>
        <w:r>
          <w:rPr>
            <w:rFonts w:eastAsiaTheme="minorEastAsia"/>
            <w:b w:val="0"/>
            <w:noProof/>
          </w:rPr>
          <w:tab/>
        </w:r>
        <w:r w:rsidRPr="00601695">
          <w:rPr>
            <w:rStyle w:val="Hyperlink"/>
            <w:noProof/>
          </w:rPr>
          <w:t>If phase information is supported to enable CIR as model input, the phase values are reported in the format of relative phase.</w:t>
        </w:r>
      </w:hyperlink>
    </w:p>
    <w:p w14:paraId="41F6336A" w14:textId="3E9CFE32" w:rsidR="00C713E4" w:rsidRDefault="00C713E4">
      <w:pPr>
        <w:pStyle w:val="TableofFigures"/>
        <w:tabs>
          <w:tab w:val="right" w:leader="dot" w:pos="9962"/>
        </w:tabs>
        <w:rPr>
          <w:rFonts w:eastAsiaTheme="minorEastAsia"/>
          <w:b w:val="0"/>
          <w:noProof/>
        </w:rPr>
      </w:pPr>
      <w:hyperlink w:anchor="_Toc189845116" w:history="1">
        <w:r w:rsidRPr="00601695">
          <w:rPr>
            <w:rStyle w:val="Hyperlink"/>
            <w:noProof/>
          </w:rPr>
          <w:t>Proposal 17</w:t>
        </w:r>
        <w:r>
          <w:rPr>
            <w:rFonts w:eastAsiaTheme="minorEastAsia"/>
            <w:b w:val="0"/>
            <w:noProof/>
          </w:rPr>
          <w:tab/>
        </w:r>
        <w:r w:rsidRPr="00601695">
          <w:rPr>
            <w:rStyle w:val="Hyperlink"/>
            <w:noProof/>
          </w:rPr>
          <w:t>RAN1 to down-prioritize the signaling approach(es) and/or measurement definitions to support CIR model input types for Case 3b (1</w:t>
        </w:r>
        <w:r w:rsidRPr="00601695">
          <w:rPr>
            <w:rStyle w:val="Hyperlink"/>
            <w:noProof/>
            <w:vertAlign w:val="superscript"/>
          </w:rPr>
          <w:t>st</w:t>
        </w:r>
        <w:r w:rsidRPr="00601695">
          <w:rPr>
            <w:rStyle w:val="Hyperlink"/>
            <w:noProof/>
          </w:rPr>
          <w:t xml:space="preserve"> priority) and Case 2b (2</w:t>
        </w:r>
        <w:r w:rsidRPr="00601695">
          <w:rPr>
            <w:rStyle w:val="Hyperlink"/>
            <w:noProof/>
            <w:vertAlign w:val="superscript"/>
          </w:rPr>
          <w:t>nd</w:t>
        </w:r>
        <w:r w:rsidRPr="00601695">
          <w:rPr>
            <w:rStyle w:val="Hyperlink"/>
            <w:noProof/>
          </w:rPr>
          <w:t xml:space="preserve"> priority).</w:t>
        </w:r>
      </w:hyperlink>
    </w:p>
    <w:p w14:paraId="1D1F320A" w14:textId="0A9D8EC7" w:rsidR="00C713E4" w:rsidRDefault="00C713E4">
      <w:pPr>
        <w:pStyle w:val="TableofFigures"/>
        <w:tabs>
          <w:tab w:val="right" w:leader="dot" w:pos="9962"/>
        </w:tabs>
        <w:rPr>
          <w:rFonts w:eastAsiaTheme="minorEastAsia"/>
          <w:b w:val="0"/>
          <w:noProof/>
        </w:rPr>
      </w:pPr>
      <w:hyperlink w:anchor="_Toc189845117" w:history="1">
        <w:r w:rsidRPr="00601695">
          <w:rPr>
            <w:rStyle w:val="Hyperlink"/>
            <w:noProof/>
          </w:rPr>
          <w:t>Proposal 18</w:t>
        </w:r>
        <w:r>
          <w:rPr>
            <w:rFonts w:eastAsiaTheme="minorEastAsia"/>
            <w:b w:val="0"/>
            <w:noProof/>
          </w:rPr>
          <w:tab/>
        </w:r>
        <w:r w:rsidRPr="00601695">
          <w:rPr>
            <w:rStyle w:val="Hyperlink"/>
            <w:noProof/>
          </w:rPr>
          <w:t>Send an LS to RAN3 to request feedback on whether the input to the AI/ML model for case 3a need to be specified.</w:t>
        </w:r>
      </w:hyperlink>
    </w:p>
    <w:p w14:paraId="50CF7CE1" w14:textId="64B1118B" w:rsidR="00C713E4" w:rsidRDefault="00C713E4">
      <w:pPr>
        <w:pStyle w:val="TableofFigures"/>
        <w:tabs>
          <w:tab w:val="right" w:leader="dot" w:pos="9962"/>
        </w:tabs>
        <w:rPr>
          <w:rFonts w:eastAsiaTheme="minorEastAsia"/>
          <w:b w:val="0"/>
          <w:noProof/>
        </w:rPr>
      </w:pPr>
      <w:hyperlink w:anchor="_Toc189845118" w:history="1">
        <w:r w:rsidRPr="00601695">
          <w:rPr>
            <w:rStyle w:val="Hyperlink"/>
            <w:noProof/>
          </w:rPr>
          <w:t>Proposal 19</w:t>
        </w:r>
        <w:r>
          <w:rPr>
            <w:rFonts w:eastAsiaTheme="minorEastAsia"/>
            <w:b w:val="0"/>
            <w:noProof/>
          </w:rPr>
          <w:tab/>
        </w:r>
        <w:r w:rsidRPr="00601695">
          <w:rPr>
            <w:rStyle w:val="Hyperlink"/>
            <w:noProof/>
          </w:rPr>
          <w:t>For measurement report of AI/ML assisted positioning Case 3a, when timing information is reported from gNB to LMF, the timing information is for virtual LOS link if carried in a new Rel-19 measurement report, and the timing information is for physical LOS link if carried in a legacy measurement report (Rel-18 or prior).</w:t>
        </w:r>
      </w:hyperlink>
    </w:p>
    <w:p w14:paraId="42F69602" w14:textId="7257CEE3" w:rsidR="00C713E4" w:rsidRDefault="00C713E4">
      <w:pPr>
        <w:pStyle w:val="TableofFigures"/>
        <w:tabs>
          <w:tab w:val="right" w:leader="dot" w:pos="9962"/>
        </w:tabs>
        <w:rPr>
          <w:rFonts w:eastAsiaTheme="minorEastAsia"/>
          <w:b w:val="0"/>
          <w:noProof/>
        </w:rPr>
      </w:pPr>
      <w:hyperlink w:anchor="_Toc189845119" w:history="1">
        <w:r w:rsidRPr="00601695">
          <w:rPr>
            <w:rStyle w:val="Hyperlink"/>
            <w:noProof/>
          </w:rPr>
          <w:t>Proposal 20</w:t>
        </w:r>
        <w:r>
          <w:rPr>
            <w:rFonts w:eastAsiaTheme="minorEastAsia"/>
            <w:b w:val="0"/>
            <w:noProof/>
          </w:rPr>
          <w:tab/>
        </w:r>
        <w:r w:rsidRPr="00601695">
          <w:rPr>
            <w:rStyle w:val="Hyperlink"/>
            <w:noProof/>
          </w:rPr>
          <w:t>For Rel-19 measurement report, the LOS/NLOS indicator (for physical LOS link) is decoupled from the timing information reporting (for virtual LOS link).</w:t>
        </w:r>
      </w:hyperlink>
    </w:p>
    <w:p w14:paraId="08E5B581" w14:textId="4189277D" w:rsidR="00C713E4" w:rsidRDefault="00C713E4">
      <w:pPr>
        <w:pStyle w:val="TableofFigures"/>
        <w:tabs>
          <w:tab w:val="right" w:leader="dot" w:pos="9962"/>
        </w:tabs>
        <w:rPr>
          <w:rFonts w:eastAsiaTheme="minorEastAsia"/>
          <w:b w:val="0"/>
          <w:noProof/>
        </w:rPr>
      </w:pPr>
      <w:hyperlink w:anchor="_Toc189845120" w:history="1">
        <w:r w:rsidRPr="00601695">
          <w:rPr>
            <w:rStyle w:val="Hyperlink"/>
            <w:noProof/>
          </w:rPr>
          <w:t>Proposal 21</w:t>
        </w:r>
        <w:r>
          <w:rPr>
            <w:rFonts w:eastAsiaTheme="minorEastAsia"/>
            <w:b w:val="0"/>
            <w:noProof/>
          </w:rPr>
          <w:tab/>
        </w:r>
        <w:r w:rsidRPr="00601695">
          <w:rPr>
            <w:rStyle w:val="Hyperlink"/>
            <w:noProof/>
          </w:rPr>
          <w:t>Support reporting (optionally) a LOS/NLOS indicator when timing information is reported for Rel-19</w:t>
        </w:r>
        <w:r w:rsidRPr="00601695">
          <w:rPr>
            <w:rStyle w:val="Hyperlink"/>
            <w:rFonts w:eastAsia="DengXian"/>
            <w:noProof/>
            <w:lang w:eastAsia="zh-CN"/>
          </w:rPr>
          <w:t xml:space="preserve"> </w:t>
        </w:r>
        <w:r w:rsidRPr="00601695">
          <w:rPr>
            <w:rStyle w:val="Hyperlink"/>
            <w:noProof/>
          </w:rPr>
          <w:t>AI/ML positioning Case 3a.</w:t>
        </w:r>
      </w:hyperlink>
    </w:p>
    <w:p w14:paraId="6F70C31E" w14:textId="762DBD26" w:rsidR="00C713E4" w:rsidRDefault="00C713E4">
      <w:pPr>
        <w:pStyle w:val="TableofFigures"/>
        <w:tabs>
          <w:tab w:val="right" w:leader="dot" w:pos="9962"/>
        </w:tabs>
        <w:rPr>
          <w:rFonts w:eastAsiaTheme="minorEastAsia"/>
          <w:b w:val="0"/>
          <w:noProof/>
        </w:rPr>
      </w:pPr>
      <w:hyperlink w:anchor="_Toc189845121" w:history="1">
        <w:r w:rsidRPr="00601695">
          <w:rPr>
            <w:rStyle w:val="Hyperlink"/>
            <w:noProof/>
          </w:rPr>
          <w:t>Proposal 22</w:t>
        </w:r>
        <w:r>
          <w:rPr>
            <w:rFonts w:eastAsiaTheme="minorEastAsia"/>
            <w:b w:val="0"/>
            <w:noProof/>
          </w:rPr>
          <w:tab/>
        </w:r>
        <w:r w:rsidRPr="00601695">
          <w:rPr>
            <w:rStyle w:val="Hyperlink"/>
            <w:noProof/>
          </w:rPr>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hyperlink>
    </w:p>
    <w:p w14:paraId="53FA4B03" w14:textId="49EF7F4D" w:rsidR="00C713E4" w:rsidRDefault="00C713E4">
      <w:pPr>
        <w:pStyle w:val="TableofFigures"/>
        <w:tabs>
          <w:tab w:val="right" w:leader="dot" w:pos="9962"/>
        </w:tabs>
        <w:rPr>
          <w:rFonts w:eastAsiaTheme="minorEastAsia"/>
          <w:b w:val="0"/>
          <w:noProof/>
        </w:rPr>
      </w:pPr>
      <w:hyperlink w:anchor="_Toc189845122" w:history="1">
        <w:r w:rsidRPr="00601695">
          <w:rPr>
            <w:rStyle w:val="Hyperlink"/>
            <w:noProof/>
          </w:rPr>
          <w:t>Proposal 23</w:t>
        </w:r>
        <w:r>
          <w:rPr>
            <w:rFonts w:eastAsiaTheme="minorEastAsia"/>
            <w:b w:val="0"/>
            <w:noProof/>
          </w:rPr>
          <w:tab/>
        </w:r>
        <w:r w:rsidRPr="00601695">
          <w:rPr>
            <w:rStyle w:val="Hyperlink"/>
            <w:noProof/>
          </w:rPr>
          <w:t>(for conclusion) For AI/ML assisted positioning, when the LOS/NLOS indicator is reported for Rel-19 Case 3a, do not support an indication of whether the LOS/NLOS indicator is obtained via a model output or via legacy method.</w:t>
        </w:r>
      </w:hyperlink>
    </w:p>
    <w:p w14:paraId="441C8855" w14:textId="3222B8BE" w:rsidR="00C713E4" w:rsidRDefault="00C713E4">
      <w:pPr>
        <w:pStyle w:val="TableofFigures"/>
        <w:tabs>
          <w:tab w:val="right" w:leader="dot" w:pos="9962"/>
        </w:tabs>
        <w:rPr>
          <w:rFonts w:eastAsiaTheme="minorEastAsia"/>
          <w:b w:val="0"/>
          <w:noProof/>
        </w:rPr>
      </w:pPr>
      <w:hyperlink w:anchor="_Toc189845123" w:history="1">
        <w:r w:rsidRPr="00601695">
          <w:rPr>
            <w:rStyle w:val="Hyperlink"/>
            <w:noProof/>
          </w:rPr>
          <w:t>Proposal 24</w:t>
        </w:r>
        <w:r>
          <w:rPr>
            <w:rFonts w:eastAsiaTheme="minorEastAsia"/>
            <w:b w:val="0"/>
            <w:noProof/>
          </w:rPr>
          <w:tab/>
        </w:r>
        <w:r w:rsidRPr="00601695">
          <w:rPr>
            <w:rStyle w:val="Hyperlink"/>
            <w:noProof/>
            <w:lang w:val="en-GB"/>
          </w:rPr>
          <w:t xml:space="preserve">From RAN1 perspective, when timing information is reported for Rel-19 AI/ML positioning Case 3a, </w:t>
        </w:r>
        <w:r w:rsidRPr="00601695">
          <w:rPr>
            <w:rStyle w:val="Hyperlink"/>
            <w:noProof/>
          </w:rPr>
          <w:t xml:space="preserve">one LOS/NLOS indicator is optionally reported per TRP </w:t>
        </w:r>
        <w:r w:rsidRPr="00601695">
          <w:rPr>
            <w:rStyle w:val="Hyperlink"/>
            <w:noProof/>
            <w:lang w:val="en-GB"/>
          </w:rPr>
          <w:t xml:space="preserve">in a measurement report from gNB to LMF, </w:t>
        </w:r>
        <w:r w:rsidRPr="00601695">
          <w:rPr>
            <w:rStyle w:val="Hyperlink"/>
            <w:noProof/>
          </w:rPr>
          <w:t>as in the existing specification</w:t>
        </w:r>
        <w:r w:rsidRPr="00601695">
          <w:rPr>
            <w:rStyle w:val="Hyperlink"/>
            <w:noProof/>
            <w:lang w:val="en-GB"/>
          </w:rPr>
          <w:t>.</w:t>
        </w:r>
      </w:hyperlink>
    </w:p>
    <w:p w14:paraId="15A70158" w14:textId="60522AA8" w:rsidR="00C713E4" w:rsidRDefault="00C713E4">
      <w:pPr>
        <w:pStyle w:val="TableofFigures"/>
        <w:tabs>
          <w:tab w:val="right" w:leader="dot" w:pos="9962"/>
        </w:tabs>
        <w:rPr>
          <w:rFonts w:eastAsiaTheme="minorEastAsia"/>
          <w:b w:val="0"/>
          <w:noProof/>
        </w:rPr>
      </w:pPr>
      <w:hyperlink w:anchor="_Toc189845124" w:history="1">
        <w:r w:rsidRPr="00601695">
          <w:rPr>
            <w:rStyle w:val="Hyperlink"/>
            <w:noProof/>
          </w:rPr>
          <w:t>Proposal 25</w:t>
        </w:r>
        <w:r>
          <w:rPr>
            <w:rFonts w:eastAsiaTheme="minorEastAsia"/>
            <w:b w:val="0"/>
            <w:noProof/>
          </w:rPr>
          <w:tab/>
        </w:r>
        <w:r w:rsidRPr="00601695">
          <w:rPr>
            <w:rStyle w:val="Hyperlink"/>
            <w:noProof/>
          </w:rPr>
          <w:t>For measurement report of AI/ML assisted positioning Case 3a, when timing information is reported from gNB to LMF, LMF shall be able to distinguish whether the timing information is obtained for Rel-19 measurement report (virtual LOS link) or for legacy measurement report (physical LOS link).</w:t>
        </w:r>
      </w:hyperlink>
    </w:p>
    <w:p w14:paraId="42EB45FD" w14:textId="3F52C30F" w:rsidR="00C713E4" w:rsidRDefault="00C713E4">
      <w:pPr>
        <w:pStyle w:val="TableofFigures"/>
        <w:tabs>
          <w:tab w:val="right" w:leader="dot" w:pos="9962"/>
        </w:tabs>
        <w:rPr>
          <w:rFonts w:eastAsiaTheme="minorEastAsia"/>
          <w:b w:val="0"/>
          <w:noProof/>
        </w:rPr>
      </w:pPr>
      <w:hyperlink w:anchor="_Toc189845125" w:history="1">
        <w:r w:rsidRPr="00601695">
          <w:rPr>
            <w:rStyle w:val="Hyperlink"/>
            <w:rFonts w:ascii="Symbol" w:hAnsi="Symbol"/>
            <w:noProof/>
          </w:rPr>
          <w:t></w:t>
        </w:r>
        <w:r>
          <w:rPr>
            <w:rFonts w:eastAsiaTheme="minorEastAsia"/>
            <w:b w:val="0"/>
            <w:noProof/>
          </w:rPr>
          <w:tab/>
        </w:r>
        <w:r w:rsidRPr="00601695">
          <w:rPr>
            <w:rStyle w:val="Hyperlink"/>
            <w:noProof/>
          </w:rPr>
          <w:t>For timing information obtained for Rel-19 measurement report, If a timing measurement is reported together with the LOS/NLOS indicator, the indicator status (for physical LOS/NLOS) is decoupled from the reported timing measurement (for virtual LOS)</w:t>
        </w:r>
      </w:hyperlink>
    </w:p>
    <w:p w14:paraId="56E8DD84" w14:textId="7C9254AC" w:rsidR="00C713E4" w:rsidRDefault="00C713E4">
      <w:pPr>
        <w:pStyle w:val="TableofFigures"/>
        <w:tabs>
          <w:tab w:val="right" w:leader="dot" w:pos="9962"/>
        </w:tabs>
        <w:rPr>
          <w:rFonts w:eastAsiaTheme="minorEastAsia"/>
          <w:b w:val="0"/>
          <w:noProof/>
        </w:rPr>
      </w:pPr>
      <w:hyperlink w:anchor="_Toc189845126" w:history="1">
        <w:r w:rsidRPr="00601695">
          <w:rPr>
            <w:rStyle w:val="Hyperlink"/>
            <w:rFonts w:ascii="Symbol" w:hAnsi="Symbol"/>
            <w:noProof/>
          </w:rPr>
          <w:t></w:t>
        </w:r>
        <w:r>
          <w:rPr>
            <w:rFonts w:eastAsiaTheme="minorEastAsia"/>
            <w:b w:val="0"/>
            <w:noProof/>
          </w:rPr>
          <w:tab/>
        </w:r>
        <w:r w:rsidRPr="00601695">
          <w:rPr>
            <w:rStyle w:val="Hyperlink"/>
            <w:noProof/>
          </w:rPr>
          <w:t>Note: when the TRP-UE radio link is LOS, the virtual LOS coincides with the physical LOS.</w:t>
        </w:r>
      </w:hyperlink>
    </w:p>
    <w:p w14:paraId="3E86EC4B" w14:textId="3B302334" w:rsidR="00C713E4" w:rsidRDefault="00C713E4">
      <w:pPr>
        <w:pStyle w:val="TableofFigures"/>
        <w:tabs>
          <w:tab w:val="right" w:leader="dot" w:pos="9962"/>
        </w:tabs>
        <w:rPr>
          <w:rFonts w:eastAsiaTheme="minorEastAsia"/>
          <w:b w:val="0"/>
          <w:noProof/>
        </w:rPr>
      </w:pPr>
      <w:hyperlink w:anchor="_Toc189845127" w:history="1">
        <w:r w:rsidRPr="00601695">
          <w:rPr>
            <w:rStyle w:val="Hyperlink"/>
            <w:rFonts w:ascii="Symbol" w:eastAsia="DengXian" w:hAnsi="Symbol"/>
            <w:noProof/>
          </w:rPr>
          <w:t></w:t>
        </w:r>
        <w:r>
          <w:rPr>
            <w:rFonts w:eastAsiaTheme="minorEastAsia"/>
            <w:b w:val="0"/>
            <w:noProof/>
          </w:rPr>
          <w:tab/>
        </w:r>
        <w:r w:rsidRPr="00601695">
          <w:rPr>
            <w:rStyle w:val="Hyperlink"/>
            <w:noProof/>
          </w:rPr>
          <w:t>Details of how to associate the Rel-19 timing information with virtual LOS is up to RAN2/3, e.g. indication in measurement report, or configuration in measurement request.</w:t>
        </w:r>
      </w:hyperlink>
    </w:p>
    <w:p w14:paraId="5923BCD5" w14:textId="21FC0299" w:rsidR="00C713E4" w:rsidRDefault="00C713E4">
      <w:pPr>
        <w:pStyle w:val="TableofFigures"/>
        <w:tabs>
          <w:tab w:val="right" w:leader="dot" w:pos="9962"/>
        </w:tabs>
        <w:rPr>
          <w:rFonts w:eastAsiaTheme="minorEastAsia"/>
          <w:b w:val="0"/>
          <w:noProof/>
        </w:rPr>
      </w:pPr>
      <w:hyperlink w:anchor="_Toc189845128" w:history="1">
        <w:r w:rsidRPr="00601695">
          <w:rPr>
            <w:rStyle w:val="Hyperlink"/>
            <w:noProof/>
          </w:rPr>
          <w:t>Proposal 26</w:t>
        </w:r>
        <w:r>
          <w:rPr>
            <w:rFonts w:eastAsiaTheme="minorEastAsia"/>
            <w:b w:val="0"/>
            <w:noProof/>
          </w:rPr>
          <w:tab/>
        </w:r>
        <w:r w:rsidRPr="00601695">
          <w:rPr>
            <w:rStyle w:val="Hyperlink"/>
            <w:noProof/>
          </w:rPr>
          <w:t>Reuse the existing measurement reporting in LPP and NRPPa to report timing information for the model output of AI/ML assisted positioning.</w:t>
        </w:r>
      </w:hyperlink>
    </w:p>
    <w:p w14:paraId="4B100B13" w14:textId="7F06D489" w:rsidR="00C713E4" w:rsidRDefault="00C713E4">
      <w:pPr>
        <w:pStyle w:val="TableofFigures"/>
        <w:tabs>
          <w:tab w:val="right" w:leader="dot" w:pos="9962"/>
        </w:tabs>
        <w:rPr>
          <w:rFonts w:eastAsiaTheme="minorEastAsia"/>
          <w:b w:val="0"/>
          <w:noProof/>
        </w:rPr>
      </w:pPr>
      <w:hyperlink w:anchor="_Toc189845129" w:history="1">
        <w:r w:rsidRPr="00601695">
          <w:rPr>
            <w:rStyle w:val="Hyperlink"/>
            <w:noProof/>
          </w:rPr>
          <w:t>Proposal 27</w:t>
        </w:r>
        <w:r>
          <w:rPr>
            <w:rFonts w:eastAsiaTheme="minorEastAsia"/>
            <w:b w:val="0"/>
            <w:noProof/>
          </w:rPr>
          <w:tab/>
        </w:r>
        <w:r w:rsidRPr="00601695">
          <w:rPr>
            <w:rStyle w:val="Hyperlink"/>
            <w:noProof/>
          </w:rPr>
          <w:t>For AI/ML assisted positioning at gNB (Case 3a), the model output is uplink relative time of arrival (</w:t>
        </w:r>
        <w:r w:rsidRPr="00601695">
          <w:rPr>
            <w:rStyle w:val="Hyperlink"/>
            <w:rFonts w:cs="Arial"/>
            <w:noProof/>
            <w:lang w:eastAsia="en-GB"/>
          </w:rPr>
          <w:t>T</w:t>
        </w:r>
        <w:r w:rsidRPr="00601695">
          <w:rPr>
            <w:rStyle w:val="Hyperlink"/>
            <w:rFonts w:cs="Arial"/>
            <w:noProof/>
            <w:vertAlign w:val="subscript"/>
            <w:lang w:eastAsia="en-GB"/>
          </w:rPr>
          <w:t>UL-RTOA</w:t>
        </w:r>
        <w:r w:rsidRPr="00601695">
          <w:rPr>
            <w:rStyle w:val="Hyperlink"/>
            <w:noProof/>
          </w:rPr>
          <w:t>).</w:t>
        </w:r>
      </w:hyperlink>
    </w:p>
    <w:p w14:paraId="4185AD9F" w14:textId="62114F60" w:rsidR="00C713E4" w:rsidRDefault="00C713E4">
      <w:pPr>
        <w:pStyle w:val="TableofFigures"/>
        <w:tabs>
          <w:tab w:val="right" w:leader="dot" w:pos="9962"/>
        </w:tabs>
        <w:rPr>
          <w:rFonts w:eastAsiaTheme="minorEastAsia"/>
          <w:b w:val="0"/>
          <w:noProof/>
        </w:rPr>
      </w:pPr>
      <w:hyperlink w:anchor="_Toc189845130" w:history="1">
        <w:r w:rsidRPr="00601695">
          <w:rPr>
            <w:rStyle w:val="Hyperlink"/>
            <w:rFonts w:ascii="Calibri" w:hAnsi="Calibri"/>
            <w:noProof/>
          </w:rPr>
          <w:t>Proposal 28</w:t>
        </w:r>
        <w:r>
          <w:rPr>
            <w:rFonts w:eastAsiaTheme="minorEastAsia"/>
            <w:b w:val="0"/>
            <w:noProof/>
          </w:rPr>
          <w:tab/>
        </w:r>
        <w:r w:rsidRPr="00601695">
          <w:rPr>
            <w:rStyle w:val="Hyperlink"/>
            <w:noProof/>
          </w:rPr>
          <w:t>For AI/ML assisted positioning at gNB (Case 3a), postprocessing is applied to generate gNB RxTxTimeDiff for measurement reporting of multi-RTT method.</w:t>
        </w:r>
      </w:hyperlink>
    </w:p>
    <w:p w14:paraId="40627ECF" w14:textId="37382D25" w:rsidR="00C713E4" w:rsidRDefault="00C713E4">
      <w:pPr>
        <w:pStyle w:val="TableofFigures"/>
        <w:tabs>
          <w:tab w:val="right" w:leader="dot" w:pos="9962"/>
        </w:tabs>
        <w:rPr>
          <w:rFonts w:eastAsiaTheme="minorEastAsia"/>
          <w:b w:val="0"/>
          <w:noProof/>
        </w:rPr>
      </w:pPr>
      <w:hyperlink w:anchor="_Toc189845131" w:history="1">
        <w:r w:rsidRPr="00601695">
          <w:rPr>
            <w:rStyle w:val="Hyperlink"/>
            <w:noProof/>
          </w:rPr>
          <w:t>Proposal 29</w:t>
        </w:r>
        <w:r>
          <w:rPr>
            <w:rFonts w:eastAsiaTheme="minorEastAsia"/>
            <w:b w:val="0"/>
            <w:noProof/>
          </w:rPr>
          <w:tab/>
        </w:r>
        <w:r w:rsidRPr="00601695">
          <w:rPr>
            <w:rStyle w:val="Hyperlink"/>
            <w:noProof/>
          </w:rPr>
          <w:t>For AI/ML assisted positioning at gNB (Case 3a) and UE (Case 2a), the measurement report contains an indicator that AI/ML is used to produce the measurements. The signaling details are up to RAN3/RAN2.</w:t>
        </w:r>
      </w:hyperlink>
    </w:p>
    <w:p w14:paraId="1DA7A112" w14:textId="11219877" w:rsidR="00C713E4" w:rsidRDefault="00C713E4">
      <w:pPr>
        <w:pStyle w:val="TableofFigures"/>
        <w:tabs>
          <w:tab w:val="right" w:leader="dot" w:pos="9962"/>
        </w:tabs>
        <w:rPr>
          <w:rFonts w:eastAsiaTheme="minorEastAsia"/>
          <w:b w:val="0"/>
          <w:noProof/>
        </w:rPr>
      </w:pPr>
      <w:hyperlink w:anchor="_Toc189845132" w:history="1">
        <w:r w:rsidRPr="00601695">
          <w:rPr>
            <w:rStyle w:val="Hyperlink"/>
            <w:noProof/>
          </w:rPr>
          <w:t>Proposal 30</w:t>
        </w:r>
        <w:r>
          <w:rPr>
            <w:rFonts w:eastAsiaTheme="minorEastAsia"/>
            <w:b w:val="0"/>
            <w:noProof/>
          </w:rPr>
          <w:tab/>
        </w:r>
        <w:r w:rsidRPr="00601695">
          <w:rPr>
            <w:rStyle w:val="Hyperlink"/>
            <w:noProof/>
          </w:rPr>
          <w:t>For Rel-19 AI/ML based positioning, support collecting labelled and optionally un-labelled training data samples.</w:t>
        </w:r>
      </w:hyperlink>
    </w:p>
    <w:p w14:paraId="42DAE929" w14:textId="24CE6B07" w:rsidR="00C713E4" w:rsidRDefault="00C713E4">
      <w:pPr>
        <w:pStyle w:val="TableofFigures"/>
        <w:tabs>
          <w:tab w:val="right" w:leader="dot" w:pos="9962"/>
        </w:tabs>
        <w:rPr>
          <w:rFonts w:eastAsiaTheme="minorEastAsia"/>
          <w:b w:val="0"/>
          <w:noProof/>
        </w:rPr>
      </w:pPr>
      <w:hyperlink w:anchor="_Toc189845133" w:history="1">
        <w:r w:rsidRPr="00601695">
          <w:rPr>
            <w:rStyle w:val="Hyperlink"/>
            <w:noProof/>
          </w:rPr>
          <w:t>Proposal 31</w:t>
        </w:r>
        <w:r>
          <w:rPr>
            <w:rFonts w:eastAsiaTheme="minorEastAsia"/>
            <w:b w:val="0"/>
            <w:noProof/>
          </w:rPr>
          <w:tab/>
        </w:r>
        <w:r w:rsidRPr="00601695">
          <w:rPr>
            <w:rStyle w:val="Hyperlink"/>
            <w:noProof/>
          </w:rPr>
          <w:t>For training data collection of AI/ML based positioning, for both Part A and Part B, time stamp is mandatorily provided by the training data generation entity.</w:t>
        </w:r>
      </w:hyperlink>
    </w:p>
    <w:p w14:paraId="632F9785" w14:textId="1A132F30" w:rsidR="00C713E4" w:rsidRDefault="00C713E4">
      <w:pPr>
        <w:pStyle w:val="TableofFigures"/>
        <w:tabs>
          <w:tab w:val="right" w:leader="dot" w:pos="9962"/>
        </w:tabs>
        <w:rPr>
          <w:rFonts w:eastAsiaTheme="minorEastAsia"/>
          <w:b w:val="0"/>
          <w:noProof/>
        </w:rPr>
      </w:pPr>
      <w:hyperlink w:anchor="_Toc189845134" w:history="1">
        <w:r w:rsidRPr="00601695">
          <w:rPr>
            <w:rStyle w:val="Hyperlink"/>
            <w:noProof/>
          </w:rPr>
          <w:t>Proposal 32</w:t>
        </w:r>
        <w:r>
          <w:rPr>
            <w:rFonts w:eastAsiaTheme="minorEastAsia"/>
            <w:b w:val="0"/>
            <w:noProof/>
          </w:rPr>
          <w:tab/>
        </w:r>
        <w:r w:rsidRPr="00601695">
          <w:rPr>
            <w:rStyle w:val="Hyperlink"/>
            <w:noProof/>
          </w:rPr>
          <w:t>For training data collection of AI/ML based positioning, the time stamp should allow unambiguous mapping between Part A and Part B.</w:t>
        </w:r>
      </w:hyperlink>
    </w:p>
    <w:p w14:paraId="33D4AA0D" w14:textId="1C601704" w:rsidR="00C713E4" w:rsidRDefault="00C713E4">
      <w:pPr>
        <w:pStyle w:val="TableofFigures"/>
        <w:tabs>
          <w:tab w:val="right" w:leader="dot" w:pos="9962"/>
        </w:tabs>
        <w:rPr>
          <w:rFonts w:eastAsiaTheme="minorEastAsia"/>
          <w:b w:val="0"/>
          <w:noProof/>
        </w:rPr>
      </w:pPr>
      <w:hyperlink w:anchor="_Toc189845135" w:history="1">
        <w:r w:rsidRPr="00601695">
          <w:rPr>
            <w:rStyle w:val="Hyperlink"/>
            <w:rFonts w:ascii="Symbol" w:hAnsi="Symbol"/>
            <w:noProof/>
          </w:rPr>
          <w:t></w:t>
        </w:r>
        <w:r>
          <w:rPr>
            <w:rFonts w:eastAsiaTheme="minorEastAsia"/>
            <w:b w:val="0"/>
            <w:noProof/>
          </w:rPr>
          <w:tab/>
        </w:r>
        <w:r w:rsidRPr="00601695">
          <w:rPr>
            <w:rStyle w:val="Hyperlink"/>
            <w:noProof/>
          </w:rPr>
          <w:t>For channel measurement generated by TRP/gNB, at least when measurement periodicity exceeds the SFN/slot wrap around time (10.24 sec), field “Measurement time” is included in the time stamp.</w:t>
        </w:r>
      </w:hyperlink>
    </w:p>
    <w:p w14:paraId="008C7B4F" w14:textId="48FC6FAB" w:rsidR="00C713E4" w:rsidRDefault="00C713E4">
      <w:pPr>
        <w:pStyle w:val="TableofFigures"/>
        <w:tabs>
          <w:tab w:val="right" w:leader="dot" w:pos="9962"/>
        </w:tabs>
        <w:rPr>
          <w:rFonts w:eastAsiaTheme="minorEastAsia"/>
          <w:b w:val="0"/>
          <w:noProof/>
        </w:rPr>
      </w:pPr>
      <w:hyperlink w:anchor="_Toc189845136" w:history="1">
        <w:r w:rsidRPr="00601695">
          <w:rPr>
            <w:rStyle w:val="Hyperlink"/>
            <w:rFonts w:ascii="Symbol" w:hAnsi="Symbol"/>
            <w:noProof/>
            <w:lang w:eastAsia="zh-CN"/>
          </w:rPr>
          <w:t></w:t>
        </w:r>
        <w:r>
          <w:rPr>
            <w:rFonts w:eastAsiaTheme="minorEastAsia"/>
            <w:b w:val="0"/>
            <w:noProof/>
          </w:rPr>
          <w:tab/>
        </w:r>
        <w:r w:rsidRPr="00601695">
          <w:rPr>
            <w:rStyle w:val="Hyperlink"/>
            <w:noProof/>
            <w:lang w:eastAsia="zh-CN"/>
          </w:rPr>
          <w:t xml:space="preserve">For </w:t>
        </w:r>
        <w:r w:rsidRPr="00601695">
          <w:rPr>
            <w:rStyle w:val="Hyperlink"/>
            <w:noProof/>
          </w:rPr>
          <w:t xml:space="preserve">channel measurement and </w:t>
        </w:r>
        <w:r w:rsidRPr="00601695">
          <w:rPr>
            <w:rStyle w:val="Hyperlink"/>
            <w:noProof/>
            <w:lang w:eastAsia="zh-CN"/>
          </w:rPr>
          <w:t>label generated by PRU or non-PRU UE, UTC Time (e.g., for utc-time-r16) is included in the time stamp.</w:t>
        </w:r>
      </w:hyperlink>
    </w:p>
    <w:p w14:paraId="28633D39" w14:textId="2BBAC5DE" w:rsidR="00C713E4" w:rsidRDefault="00C713E4">
      <w:pPr>
        <w:pStyle w:val="TableofFigures"/>
        <w:tabs>
          <w:tab w:val="right" w:leader="dot" w:pos="9962"/>
        </w:tabs>
        <w:rPr>
          <w:rFonts w:eastAsiaTheme="minorEastAsia"/>
          <w:b w:val="0"/>
          <w:noProof/>
        </w:rPr>
      </w:pPr>
      <w:hyperlink w:anchor="_Toc189845137" w:history="1">
        <w:r w:rsidRPr="00601695">
          <w:rPr>
            <w:rStyle w:val="Hyperlink"/>
            <w:rFonts w:ascii="Symbol" w:hAnsi="Symbol"/>
            <w:noProof/>
          </w:rPr>
          <w:t></w:t>
        </w:r>
        <w:r>
          <w:rPr>
            <w:rFonts w:eastAsiaTheme="minorEastAsia"/>
            <w:b w:val="0"/>
            <w:noProof/>
          </w:rPr>
          <w:tab/>
        </w:r>
        <w:r w:rsidRPr="00601695">
          <w:rPr>
            <w:rStyle w:val="Hyperlink"/>
            <w:noProof/>
          </w:rPr>
          <w:t>Exactly how to specify time stamp for Part A and Part B is up to RAN2/RAN3.</w:t>
        </w:r>
      </w:hyperlink>
    </w:p>
    <w:p w14:paraId="02307E0B" w14:textId="05A3F485" w:rsidR="00C713E4" w:rsidRDefault="00C713E4">
      <w:pPr>
        <w:pStyle w:val="TableofFigures"/>
        <w:tabs>
          <w:tab w:val="right" w:leader="dot" w:pos="9962"/>
        </w:tabs>
        <w:rPr>
          <w:rFonts w:eastAsiaTheme="minorEastAsia"/>
          <w:b w:val="0"/>
          <w:noProof/>
        </w:rPr>
      </w:pPr>
      <w:hyperlink w:anchor="_Toc189845138" w:history="1">
        <w:r w:rsidRPr="00601695">
          <w:rPr>
            <w:rStyle w:val="Hyperlink"/>
            <w:noProof/>
          </w:rPr>
          <w:t>Proposal 33</w:t>
        </w:r>
        <w:r>
          <w:rPr>
            <w:rFonts w:eastAsiaTheme="minorEastAsia"/>
            <w:b w:val="0"/>
            <w:noProof/>
          </w:rPr>
          <w:tab/>
        </w:r>
        <w:r w:rsidRPr="00601695">
          <w:rPr>
            <w:rStyle w:val="Hyperlink"/>
            <w:noProof/>
          </w:rPr>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hyperlink>
    </w:p>
    <w:p w14:paraId="19600BCE" w14:textId="5290D101" w:rsidR="00C713E4" w:rsidRDefault="00C713E4">
      <w:pPr>
        <w:pStyle w:val="TableofFigures"/>
        <w:tabs>
          <w:tab w:val="right" w:leader="dot" w:pos="9962"/>
        </w:tabs>
        <w:rPr>
          <w:rFonts w:eastAsiaTheme="minorEastAsia"/>
          <w:b w:val="0"/>
          <w:noProof/>
        </w:rPr>
      </w:pPr>
      <w:hyperlink w:anchor="_Toc189845139" w:history="1">
        <w:r w:rsidRPr="00601695">
          <w:rPr>
            <w:rStyle w:val="Hyperlink"/>
            <w:noProof/>
          </w:rPr>
          <w:t>Proposal 34</w:t>
        </w:r>
        <w:r>
          <w:rPr>
            <w:rFonts w:eastAsiaTheme="minorEastAsia"/>
            <w:b w:val="0"/>
            <w:noProof/>
          </w:rPr>
          <w:tab/>
        </w:r>
        <w:r w:rsidRPr="00601695">
          <w:rPr>
            <w:rStyle w:val="Hyperlink"/>
            <w:noProof/>
          </w:rPr>
          <w:t>RAN1 does not need to discuss further signalling to enable Part A data collection.  Measurement reporting is jointly discussed for training data collection and inference.</w:t>
        </w:r>
      </w:hyperlink>
    </w:p>
    <w:p w14:paraId="14B1A895" w14:textId="0A9DAC41" w:rsidR="00C713E4" w:rsidRDefault="00C713E4">
      <w:pPr>
        <w:pStyle w:val="TableofFigures"/>
        <w:tabs>
          <w:tab w:val="right" w:leader="dot" w:pos="9962"/>
        </w:tabs>
        <w:rPr>
          <w:rFonts w:eastAsiaTheme="minorEastAsia"/>
          <w:b w:val="0"/>
          <w:noProof/>
        </w:rPr>
      </w:pPr>
      <w:hyperlink w:anchor="_Toc189845140" w:history="1">
        <w:r w:rsidRPr="00601695">
          <w:rPr>
            <w:rStyle w:val="Hyperlink"/>
            <w:noProof/>
          </w:rPr>
          <w:t>Proposal 35</w:t>
        </w:r>
        <w:r>
          <w:rPr>
            <w:rFonts w:eastAsiaTheme="minorEastAsia"/>
            <w:b w:val="0"/>
            <w:noProof/>
          </w:rPr>
          <w:tab/>
        </w:r>
        <w:r w:rsidRPr="00601695">
          <w:rPr>
            <w:rStyle w:val="Hyperlink"/>
            <w:noProof/>
          </w:rPr>
          <w:t>For training data collection in all cases, a power quality is provided for the entire PDP measurement in Part A in units of dB. The candidate resolution includes 0.1 dB and 1 dB.</w:t>
        </w:r>
      </w:hyperlink>
    </w:p>
    <w:p w14:paraId="7E9D1A94" w14:textId="5A3B0C37" w:rsidR="00C713E4" w:rsidRDefault="00C713E4">
      <w:pPr>
        <w:pStyle w:val="TableofFigures"/>
        <w:tabs>
          <w:tab w:val="right" w:leader="dot" w:pos="9962"/>
        </w:tabs>
        <w:rPr>
          <w:rFonts w:eastAsiaTheme="minorEastAsia"/>
          <w:b w:val="0"/>
          <w:noProof/>
        </w:rPr>
      </w:pPr>
      <w:hyperlink w:anchor="_Toc189845141" w:history="1">
        <w:r w:rsidRPr="00601695">
          <w:rPr>
            <w:rStyle w:val="Hyperlink"/>
            <w:noProof/>
          </w:rPr>
          <w:t>Proposal 36</w:t>
        </w:r>
        <w:r>
          <w:rPr>
            <w:rFonts w:eastAsiaTheme="minorEastAsia"/>
            <w:b w:val="0"/>
            <w:noProof/>
          </w:rPr>
          <w:tab/>
        </w:r>
        <w:r w:rsidRPr="00601695">
          <w:rPr>
            <w:rStyle w:val="Hyperlink"/>
            <w:noProof/>
          </w:rPr>
          <w:t>Confirm the existing WAs on label generation for all cases and send the agreements to RAN2.</w:t>
        </w:r>
      </w:hyperlink>
    </w:p>
    <w:p w14:paraId="6C119C08" w14:textId="779A8F68" w:rsidR="00C713E4" w:rsidRDefault="00C713E4">
      <w:pPr>
        <w:pStyle w:val="TableofFigures"/>
        <w:tabs>
          <w:tab w:val="right" w:leader="dot" w:pos="9962"/>
        </w:tabs>
        <w:rPr>
          <w:rFonts w:eastAsiaTheme="minorEastAsia"/>
          <w:b w:val="0"/>
          <w:noProof/>
        </w:rPr>
      </w:pPr>
      <w:hyperlink w:anchor="_Toc189845142" w:history="1">
        <w:r w:rsidRPr="00601695">
          <w:rPr>
            <w:rStyle w:val="Hyperlink"/>
            <w:noProof/>
          </w:rPr>
          <w:t>Proposal 37</w:t>
        </w:r>
        <w:r>
          <w:rPr>
            <w:rFonts w:eastAsiaTheme="minorEastAsia"/>
            <w:b w:val="0"/>
            <w:noProof/>
          </w:rPr>
          <w:tab/>
        </w:r>
        <w:r w:rsidRPr="00601695">
          <w:rPr>
            <w:rStyle w:val="Hyperlink"/>
            <w:noProof/>
          </w:rPr>
          <w:t>For training data collection Part B, support only ground truth labels in the format of UE location coordinates (x, y, z).</w:t>
        </w:r>
      </w:hyperlink>
    </w:p>
    <w:p w14:paraId="7A9BD5AA" w14:textId="65E55135" w:rsidR="00C713E4" w:rsidRDefault="00C713E4">
      <w:pPr>
        <w:pStyle w:val="TableofFigures"/>
        <w:tabs>
          <w:tab w:val="right" w:leader="dot" w:pos="9962"/>
        </w:tabs>
        <w:rPr>
          <w:rFonts w:eastAsiaTheme="minorEastAsia"/>
          <w:b w:val="0"/>
          <w:noProof/>
        </w:rPr>
      </w:pPr>
      <w:hyperlink w:anchor="_Toc189845143" w:history="1">
        <w:r w:rsidRPr="00601695">
          <w:rPr>
            <w:rStyle w:val="Hyperlink"/>
            <w:noProof/>
          </w:rPr>
          <w:t>Proposal 38</w:t>
        </w:r>
        <w:r>
          <w:rPr>
            <w:rFonts w:eastAsiaTheme="minorEastAsia"/>
            <w:b w:val="0"/>
            <w:noProof/>
          </w:rPr>
          <w:tab/>
        </w:r>
        <w:r w:rsidRPr="00601695">
          <w:rPr>
            <w:rStyle w:val="Hyperlink"/>
            <w:noProof/>
          </w:rPr>
          <w:t>From RAN1 perspective, the same label (UE location) and label quality (UE location uncertainty) are collected, irrespective of the type of model architecture (e.g., assisted or direct positioning) that may be selected by the model training entity.</w:t>
        </w:r>
      </w:hyperlink>
    </w:p>
    <w:p w14:paraId="4760D737" w14:textId="48B5D30F" w:rsidR="00C713E4" w:rsidRDefault="00C713E4">
      <w:pPr>
        <w:pStyle w:val="TableofFigures"/>
        <w:tabs>
          <w:tab w:val="right" w:leader="dot" w:pos="9962"/>
        </w:tabs>
        <w:rPr>
          <w:rFonts w:eastAsiaTheme="minorEastAsia"/>
          <w:b w:val="0"/>
          <w:noProof/>
        </w:rPr>
      </w:pPr>
      <w:hyperlink w:anchor="_Toc189845144" w:history="1">
        <w:r w:rsidRPr="00601695">
          <w:rPr>
            <w:rStyle w:val="Hyperlink"/>
            <w:noProof/>
          </w:rPr>
          <w:t>Proposal 39</w:t>
        </w:r>
        <w:r>
          <w:rPr>
            <w:rFonts w:eastAsiaTheme="minorEastAsia"/>
            <w:b w:val="0"/>
            <w:noProof/>
          </w:rPr>
          <w:tab/>
        </w:r>
        <w:r w:rsidRPr="00601695">
          <w:rPr>
            <w:rStyle w:val="Hyperlink"/>
            <w:noProof/>
          </w:rPr>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hyperlink>
    </w:p>
    <w:p w14:paraId="692D2794" w14:textId="6BF0BE47" w:rsidR="00C713E4" w:rsidRDefault="00C713E4">
      <w:pPr>
        <w:pStyle w:val="TableofFigures"/>
        <w:tabs>
          <w:tab w:val="right" w:leader="dot" w:pos="9962"/>
        </w:tabs>
        <w:rPr>
          <w:rFonts w:eastAsiaTheme="minorEastAsia"/>
          <w:b w:val="0"/>
          <w:noProof/>
        </w:rPr>
      </w:pPr>
      <w:hyperlink w:anchor="_Toc189845145" w:history="1">
        <w:r w:rsidRPr="00601695">
          <w:rPr>
            <w:rStyle w:val="Hyperlink"/>
            <w:noProof/>
          </w:rPr>
          <w:t>Proposal 40</w:t>
        </w:r>
        <w:r>
          <w:rPr>
            <w:rFonts w:eastAsiaTheme="minorEastAsia"/>
            <w:b w:val="0"/>
            <w:noProof/>
          </w:rPr>
          <w:tab/>
        </w:r>
        <w:r w:rsidRPr="00601695">
          <w:rPr>
            <w:rStyle w:val="Hyperlink"/>
            <w:noProof/>
          </w:rPr>
          <w:t>A label provided by a LMF, PRU, or non-PRU UE can be attached with one or more time stamp, or a span of time stamps, for which the label is valid.</w:t>
        </w:r>
      </w:hyperlink>
    </w:p>
    <w:p w14:paraId="0454475D" w14:textId="337A41FC" w:rsidR="00C713E4" w:rsidRDefault="00C713E4">
      <w:pPr>
        <w:pStyle w:val="TableofFigures"/>
        <w:tabs>
          <w:tab w:val="right" w:leader="dot" w:pos="9962"/>
        </w:tabs>
        <w:rPr>
          <w:rFonts w:eastAsiaTheme="minorEastAsia"/>
          <w:b w:val="0"/>
          <w:noProof/>
        </w:rPr>
      </w:pPr>
      <w:hyperlink w:anchor="_Toc189845146" w:history="1">
        <w:r w:rsidRPr="00601695">
          <w:rPr>
            <w:rStyle w:val="Hyperlink"/>
            <w:noProof/>
          </w:rPr>
          <w:t>Proposal 41</w:t>
        </w:r>
        <w:r>
          <w:rPr>
            <w:rFonts w:eastAsiaTheme="minorEastAsia"/>
            <w:b w:val="0"/>
            <w:noProof/>
          </w:rPr>
          <w:tab/>
        </w:r>
        <w:r w:rsidRPr="00601695">
          <w:rPr>
            <w:rStyle w:val="Hyperlink"/>
            <w:noProof/>
          </w:rPr>
          <w:t>Send an LS to RAN2 and RAN3 requesting to investigate how Part A and Part B can be matched to the same UE for Case 1/3a/3b.</w:t>
        </w:r>
      </w:hyperlink>
    </w:p>
    <w:p w14:paraId="30427229" w14:textId="2ABB65AA" w:rsidR="00C713E4" w:rsidRDefault="00C713E4">
      <w:pPr>
        <w:pStyle w:val="TableofFigures"/>
        <w:tabs>
          <w:tab w:val="right" w:leader="dot" w:pos="9962"/>
        </w:tabs>
        <w:rPr>
          <w:rFonts w:eastAsiaTheme="minorEastAsia"/>
          <w:b w:val="0"/>
          <w:noProof/>
        </w:rPr>
      </w:pPr>
      <w:hyperlink w:anchor="_Toc189845147" w:history="1">
        <w:r w:rsidRPr="00601695">
          <w:rPr>
            <w:rStyle w:val="Hyperlink"/>
            <w:noProof/>
          </w:rPr>
          <w:t>Proposal 42</w:t>
        </w:r>
        <w:r>
          <w:rPr>
            <w:rFonts w:eastAsiaTheme="minorEastAsia"/>
            <w:b w:val="0"/>
            <w:noProof/>
          </w:rPr>
          <w:tab/>
        </w:r>
        <w:r w:rsidRPr="00601695">
          <w:rPr>
            <w:rStyle w:val="Hyperlink"/>
            <w:noProof/>
          </w:rPr>
          <w:t>The training dataset is attached with metadata which describes the context information on the set of collected training data samples.</w:t>
        </w:r>
      </w:hyperlink>
    </w:p>
    <w:p w14:paraId="00224B4A" w14:textId="69F8748B" w:rsidR="00C713E4" w:rsidRDefault="00C713E4">
      <w:pPr>
        <w:pStyle w:val="TableofFigures"/>
        <w:tabs>
          <w:tab w:val="right" w:leader="dot" w:pos="9962"/>
        </w:tabs>
        <w:rPr>
          <w:rFonts w:eastAsiaTheme="minorEastAsia"/>
          <w:b w:val="0"/>
          <w:noProof/>
        </w:rPr>
      </w:pPr>
      <w:hyperlink w:anchor="_Toc189845148" w:history="1">
        <w:r w:rsidRPr="00601695">
          <w:rPr>
            <w:rStyle w:val="Hyperlink"/>
            <w:noProof/>
          </w:rPr>
          <w:t>Proposal 43</w:t>
        </w:r>
        <w:r>
          <w:rPr>
            <w:rFonts w:eastAsiaTheme="minorEastAsia"/>
            <w:b w:val="0"/>
            <w:noProof/>
          </w:rPr>
          <w:tab/>
        </w:r>
        <w:r w:rsidRPr="00601695">
          <w:rPr>
            <w:rStyle w:val="Hyperlink"/>
            <w:noProof/>
          </w:rPr>
          <w:t>For training data collection of Part A, the metadata includes: Group 1 for assistance data, Group 2 for signal measurement configuration, and Group 3 for measurement environment condition and quality.</w:t>
        </w:r>
      </w:hyperlink>
    </w:p>
    <w:p w14:paraId="3EAF18CB" w14:textId="29FCB890" w:rsidR="00C713E4" w:rsidRDefault="00C713E4">
      <w:pPr>
        <w:pStyle w:val="TableofFigures"/>
        <w:tabs>
          <w:tab w:val="right" w:leader="dot" w:pos="9962"/>
        </w:tabs>
        <w:rPr>
          <w:rFonts w:eastAsiaTheme="minorEastAsia"/>
          <w:b w:val="0"/>
          <w:noProof/>
        </w:rPr>
      </w:pPr>
      <w:hyperlink w:anchor="_Toc189845149" w:history="1">
        <w:r w:rsidRPr="00601695">
          <w:rPr>
            <w:rStyle w:val="Hyperlink"/>
            <w:noProof/>
          </w:rPr>
          <w:t>Proposal 44</w:t>
        </w:r>
        <w:r>
          <w:rPr>
            <w:rFonts w:eastAsiaTheme="minorEastAsia"/>
            <w:b w:val="0"/>
            <w:noProof/>
          </w:rPr>
          <w:tab/>
        </w:r>
        <w:r w:rsidRPr="00601695">
          <w:rPr>
            <w:rStyle w:val="Hyperlink"/>
            <w:noProof/>
          </w:rPr>
          <w:t>RAN1 to study the details of Group 3 metadata to attach to training dataset, including:</w:t>
        </w:r>
      </w:hyperlink>
    </w:p>
    <w:p w14:paraId="5E570574" w14:textId="639DB553" w:rsidR="00C713E4" w:rsidRDefault="00C713E4">
      <w:pPr>
        <w:pStyle w:val="TableofFigures"/>
        <w:tabs>
          <w:tab w:val="right" w:leader="dot" w:pos="9962"/>
        </w:tabs>
        <w:rPr>
          <w:rFonts w:eastAsiaTheme="minorEastAsia"/>
          <w:b w:val="0"/>
          <w:noProof/>
        </w:rPr>
      </w:pPr>
      <w:hyperlink w:anchor="_Toc189845150" w:history="1">
        <w:r w:rsidRPr="00601695">
          <w:rPr>
            <w:rStyle w:val="Hyperlink"/>
            <w:rFonts w:ascii="Symbol" w:hAnsi="Symbol"/>
            <w:noProof/>
          </w:rPr>
          <w:t></w:t>
        </w:r>
        <w:r>
          <w:rPr>
            <w:rFonts w:eastAsiaTheme="minorEastAsia"/>
            <w:b w:val="0"/>
            <w:noProof/>
          </w:rPr>
          <w:tab/>
        </w:r>
        <w:r w:rsidRPr="00601695">
          <w:rPr>
            <w:rStyle w:val="Hyperlink"/>
            <w:noProof/>
          </w:rPr>
          <w:t>Range of SNR/SINR</w:t>
        </w:r>
      </w:hyperlink>
    </w:p>
    <w:p w14:paraId="4B7915F8" w14:textId="676FA421" w:rsidR="00C713E4" w:rsidRDefault="00C713E4">
      <w:pPr>
        <w:pStyle w:val="TableofFigures"/>
        <w:tabs>
          <w:tab w:val="right" w:leader="dot" w:pos="9962"/>
        </w:tabs>
        <w:rPr>
          <w:rFonts w:eastAsiaTheme="minorEastAsia"/>
          <w:b w:val="0"/>
          <w:noProof/>
        </w:rPr>
      </w:pPr>
      <w:hyperlink w:anchor="_Toc189845151" w:history="1">
        <w:r w:rsidRPr="00601695">
          <w:rPr>
            <w:rStyle w:val="Hyperlink"/>
            <w:rFonts w:ascii="Symbol" w:hAnsi="Symbol"/>
            <w:noProof/>
          </w:rPr>
          <w:t></w:t>
        </w:r>
        <w:r>
          <w:rPr>
            <w:rFonts w:eastAsiaTheme="minorEastAsia"/>
            <w:b w:val="0"/>
            <w:noProof/>
          </w:rPr>
          <w:tab/>
        </w:r>
        <w:r w:rsidRPr="00601695">
          <w:rPr>
            <w:rStyle w:val="Hyperlink"/>
            <w:noProof/>
          </w:rPr>
          <w:t>Range of Channel estimation error</w:t>
        </w:r>
      </w:hyperlink>
    </w:p>
    <w:p w14:paraId="7F4CBB55" w14:textId="16BCF472" w:rsidR="00C713E4" w:rsidRDefault="00C713E4">
      <w:pPr>
        <w:pStyle w:val="TableofFigures"/>
        <w:tabs>
          <w:tab w:val="right" w:leader="dot" w:pos="9962"/>
        </w:tabs>
        <w:rPr>
          <w:rFonts w:eastAsiaTheme="minorEastAsia"/>
          <w:b w:val="0"/>
          <w:noProof/>
        </w:rPr>
      </w:pPr>
      <w:hyperlink w:anchor="_Toc189845152" w:history="1">
        <w:r w:rsidRPr="00601695">
          <w:rPr>
            <w:rStyle w:val="Hyperlink"/>
            <w:rFonts w:ascii="Symbol" w:hAnsi="Symbol"/>
            <w:noProof/>
          </w:rPr>
          <w:t></w:t>
        </w:r>
        <w:r>
          <w:rPr>
            <w:rFonts w:eastAsiaTheme="minorEastAsia"/>
            <w:b w:val="0"/>
            <w:noProof/>
          </w:rPr>
          <w:tab/>
        </w:r>
        <w:r w:rsidRPr="00601695">
          <w:rPr>
            <w:rStyle w:val="Hyperlink"/>
            <w:noProof/>
          </w:rPr>
          <w:t>Range of NW synchronization error</w:t>
        </w:r>
      </w:hyperlink>
    </w:p>
    <w:p w14:paraId="3DBBAFD4" w14:textId="477AF523" w:rsidR="00C713E4" w:rsidRDefault="00C713E4">
      <w:pPr>
        <w:pStyle w:val="TableofFigures"/>
        <w:tabs>
          <w:tab w:val="right" w:leader="dot" w:pos="9962"/>
        </w:tabs>
        <w:rPr>
          <w:rFonts w:eastAsiaTheme="minorEastAsia"/>
          <w:b w:val="0"/>
          <w:noProof/>
        </w:rPr>
      </w:pPr>
      <w:hyperlink w:anchor="_Toc189845153" w:history="1">
        <w:r w:rsidRPr="00601695">
          <w:rPr>
            <w:rStyle w:val="Hyperlink"/>
            <w:rFonts w:ascii="Symbol" w:hAnsi="Symbol"/>
            <w:noProof/>
          </w:rPr>
          <w:t></w:t>
        </w:r>
        <w:r>
          <w:rPr>
            <w:rFonts w:eastAsiaTheme="minorEastAsia"/>
            <w:b w:val="0"/>
            <w:noProof/>
          </w:rPr>
          <w:tab/>
        </w:r>
        <w:r w:rsidRPr="00601695">
          <w:rPr>
            <w:rStyle w:val="Hyperlink"/>
            <w:noProof/>
          </w:rPr>
          <w:t>Range of UE/gNB RX and TX timing error</w:t>
        </w:r>
      </w:hyperlink>
    </w:p>
    <w:p w14:paraId="64552CE8" w14:textId="52CFA153" w:rsidR="00C713E4" w:rsidRDefault="00C713E4">
      <w:pPr>
        <w:pStyle w:val="TableofFigures"/>
        <w:tabs>
          <w:tab w:val="right" w:leader="dot" w:pos="9962"/>
        </w:tabs>
        <w:rPr>
          <w:rFonts w:eastAsiaTheme="minorEastAsia"/>
          <w:b w:val="0"/>
          <w:noProof/>
        </w:rPr>
      </w:pPr>
      <w:hyperlink w:anchor="_Toc189845154" w:history="1">
        <w:r w:rsidRPr="00601695">
          <w:rPr>
            <w:rStyle w:val="Hyperlink"/>
            <w:noProof/>
          </w:rPr>
          <w:t>Proposal 45</w:t>
        </w:r>
        <w:r>
          <w:rPr>
            <w:rFonts w:eastAsiaTheme="minorEastAsia"/>
            <w:b w:val="0"/>
            <w:noProof/>
          </w:rPr>
          <w:tab/>
        </w:r>
        <w:r w:rsidRPr="00601695">
          <w:rPr>
            <w:rStyle w:val="Hyperlink"/>
            <w:noProof/>
          </w:rPr>
          <w:t>The training dataset validity area is recorded as a part of metadata of the training dataset. The validity area is defined as a list of TRPs where data is collected.</w:t>
        </w:r>
      </w:hyperlink>
    </w:p>
    <w:p w14:paraId="32A8B8C4" w14:textId="2384FFA7" w:rsidR="00C713E4" w:rsidRDefault="00C713E4">
      <w:pPr>
        <w:pStyle w:val="TableofFigures"/>
        <w:tabs>
          <w:tab w:val="right" w:leader="dot" w:pos="9962"/>
        </w:tabs>
        <w:rPr>
          <w:rFonts w:eastAsiaTheme="minorEastAsia"/>
          <w:b w:val="0"/>
          <w:noProof/>
        </w:rPr>
      </w:pPr>
      <w:hyperlink w:anchor="_Toc189845155" w:history="1">
        <w:r w:rsidRPr="00601695">
          <w:rPr>
            <w:rStyle w:val="Hyperlink"/>
            <w:noProof/>
          </w:rPr>
          <w:t>Proposal 46</w:t>
        </w:r>
        <w:r>
          <w:rPr>
            <w:rFonts w:eastAsiaTheme="minorEastAsia"/>
            <w:b w:val="0"/>
            <w:noProof/>
          </w:rPr>
          <w:tab/>
        </w:r>
        <w:r w:rsidRPr="00601695">
          <w:rPr>
            <w:rStyle w:val="Hyperlink"/>
            <w:noProof/>
          </w:rPr>
          <w:t>Training data provided to UE/gNB is organized with the same hierarchy as for legacy assistance data, i.e. per TRP/frequency layers for the UE, and per TRP for the gNB assistance data.</w:t>
        </w:r>
      </w:hyperlink>
    </w:p>
    <w:p w14:paraId="0DC5140B" w14:textId="68AD1F1C" w:rsidR="00C713E4" w:rsidRDefault="00C713E4">
      <w:pPr>
        <w:pStyle w:val="TableofFigures"/>
        <w:tabs>
          <w:tab w:val="right" w:leader="dot" w:pos="9962"/>
        </w:tabs>
        <w:rPr>
          <w:rFonts w:eastAsiaTheme="minorEastAsia"/>
          <w:b w:val="0"/>
          <w:noProof/>
        </w:rPr>
      </w:pPr>
      <w:hyperlink w:anchor="_Toc189845156" w:history="1">
        <w:r w:rsidRPr="00601695">
          <w:rPr>
            <w:rStyle w:val="Hyperlink"/>
            <w:noProof/>
          </w:rPr>
          <w:t>Proposal 47</w:t>
        </w:r>
        <w:r>
          <w:rPr>
            <w:rFonts w:eastAsiaTheme="minorEastAsia"/>
            <w:b w:val="0"/>
            <w:noProof/>
          </w:rPr>
          <w:tab/>
        </w:r>
        <w:r w:rsidRPr="00601695">
          <w:rPr>
            <w:rStyle w:val="Hyperlink"/>
            <w:noProof/>
          </w:rPr>
          <w:t>For Part A training data collection of Case 1/2a, the assistance data include: training dataset validity area, assistance data necessary for PRS reception, and associated ID for additional network conditions. Corresponding assistance data is sent during model inference as well for consistency checking.</w:t>
        </w:r>
      </w:hyperlink>
    </w:p>
    <w:p w14:paraId="5C9E9F7E" w14:textId="1D9CA0CD" w:rsidR="00C713E4" w:rsidRDefault="00C713E4">
      <w:pPr>
        <w:pStyle w:val="TableofFigures"/>
        <w:tabs>
          <w:tab w:val="right" w:leader="dot" w:pos="9962"/>
        </w:tabs>
        <w:rPr>
          <w:rFonts w:eastAsiaTheme="minorEastAsia"/>
          <w:b w:val="0"/>
          <w:noProof/>
        </w:rPr>
      </w:pPr>
      <w:hyperlink w:anchor="_Toc189845157" w:history="1">
        <w:r w:rsidRPr="00601695">
          <w:rPr>
            <w:rStyle w:val="Hyperlink"/>
            <w:noProof/>
          </w:rPr>
          <w:t>Proposal 48</w:t>
        </w:r>
        <w:r>
          <w:rPr>
            <w:rFonts w:eastAsiaTheme="minorEastAsia"/>
            <w:b w:val="0"/>
            <w:noProof/>
          </w:rPr>
          <w:tab/>
        </w:r>
        <w:r w:rsidRPr="00601695">
          <w:rPr>
            <w:rStyle w:val="Hyperlink"/>
            <w:noProof/>
          </w:rPr>
          <w:t>The assistance data required for PRS/SRS reception is the same across all use cases for both direct and AI/ML assisted positioning.</w:t>
        </w:r>
      </w:hyperlink>
    </w:p>
    <w:p w14:paraId="4C599923" w14:textId="2FDE44D6" w:rsidR="00C713E4" w:rsidRDefault="00C713E4">
      <w:pPr>
        <w:pStyle w:val="TableofFigures"/>
        <w:tabs>
          <w:tab w:val="right" w:leader="dot" w:pos="9962"/>
        </w:tabs>
        <w:rPr>
          <w:rFonts w:eastAsiaTheme="minorEastAsia"/>
          <w:b w:val="0"/>
          <w:noProof/>
        </w:rPr>
      </w:pPr>
      <w:hyperlink w:anchor="_Toc189845158" w:history="1">
        <w:r w:rsidRPr="00601695">
          <w:rPr>
            <w:rStyle w:val="Hyperlink"/>
            <w:noProof/>
          </w:rPr>
          <w:t>Proposal 49</w:t>
        </w:r>
        <w:r>
          <w:rPr>
            <w:rFonts w:eastAsiaTheme="minorEastAsia"/>
            <w:b w:val="0"/>
            <w:noProof/>
          </w:rPr>
          <w:tab/>
        </w:r>
        <w:r w:rsidRPr="00601695">
          <w:rPr>
            <w:rStyle w:val="Hyperlink"/>
            <w:noProof/>
          </w:rPr>
          <w:t>The model inference entity is responsible for model-level performance monitoring and management, including calculation of model monitoring metrics. The detailed algorithm and procedure are up to implementation.</w:t>
        </w:r>
      </w:hyperlink>
    </w:p>
    <w:p w14:paraId="2454B0ED" w14:textId="0CDD6206" w:rsidR="00C713E4" w:rsidRDefault="00C713E4">
      <w:pPr>
        <w:pStyle w:val="TableofFigures"/>
        <w:tabs>
          <w:tab w:val="right" w:leader="dot" w:pos="9962"/>
        </w:tabs>
        <w:rPr>
          <w:rFonts w:eastAsiaTheme="minorEastAsia"/>
          <w:b w:val="0"/>
          <w:noProof/>
        </w:rPr>
      </w:pPr>
      <w:hyperlink w:anchor="_Toc189845159" w:history="1">
        <w:r w:rsidRPr="00601695">
          <w:rPr>
            <w:rStyle w:val="Hyperlink"/>
            <w:noProof/>
          </w:rPr>
          <w:t>Proposal 50</w:t>
        </w:r>
        <w:r>
          <w:rPr>
            <w:rFonts w:eastAsiaTheme="minorEastAsia"/>
            <w:b w:val="0"/>
            <w:noProof/>
          </w:rPr>
          <w:tab/>
        </w:r>
        <w:r w:rsidRPr="00601695">
          <w:rPr>
            <w:rStyle w:val="Hyperlink"/>
            <w:noProof/>
          </w:rPr>
          <w:t>For AI/ML based positioning, LMF is responsible for functionality-level performance monitoring and management.</w:t>
        </w:r>
      </w:hyperlink>
    </w:p>
    <w:p w14:paraId="60144C70" w14:textId="1C9C89D8" w:rsidR="00C713E4" w:rsidRDefault="00C713E4">
      <w:pPr>
        <w:pStyle w:val="TableofFigures"/>
        <w:tabs>
          <w:tab w:val="right" w:leader="dot" w:pos="9962"/>
        </w:tabs>
        <w:rPr>
          <w:rFonts w:eastAsiaTheme="minorEastAsia"/>
          <w:b w:val="0"/>
          <w:noProof/>
        </w:rPr>
      </w:pPr>
      <w:hyperlink w:anchor="_Toc189845160" w:history="1">
        <w:r w:rsidRPr="00601695">
          <w:rPr>
            <w:rStyle w:val="Hyperlink"/>
            <w:noProof/>
          </w:rPr>
          <w:t>Proposal 51</w:t>
        </w:r>
        <w:r>
          <w:rPr>
            <w:rFonts w:eastAsiaTheme="minorEastAsia"/>
            <w:b w:val="0"/>
            <w:noProof/>
          </w:rPr>
          <w:tab/>
        </w:r>
        <w:r w:rsidRPr="00601695">
          <w:rPr>
            <w:rStyle w:val="Hyperlink"/>
            <w:noProof/>
          </w:rPr>
          <w:t>For AI/ML based positioning, LMF can decide on a fallback method based on performance monitoring reports from the UE/gNB</w:t>
        </w:r>
      </w:hyperlink>
    </w:p>
    <w:p w14:paraId="05C54473" w14:textId="6C957764" w:rsidR="00C713E4" w:rsidRDefault="00C713E4">
      <w:pPr>
        <w:pStyle w:val="TableofFigures"/>
        <w:tabs>
          <w:tab w:val="right" w:leader="dot" w:pos="9962"/>
        </w:tabs>
        <w:rPr>
          <w:rFonts w:eastAsiaTheme="minorEastAsia"/>
          <w:b w:val="0"/>
          <w:noProof/>
        </w:rPr>
      </w:pPr>
      <w:hyperlink w:anchor="_Toc189845161" w:history="1">
        <w:r w:rsidRPr="00601695">
          <w:rPr>
            <w:rStyle w:val="Hyperlink"/>
            <w:rFonts w:ascii="Symbol" w:hAnsi="Symbol"/>
            <w:noProof/>
          </w:rPr>
          <w:t></w:t>
        </w:r>
        <w:r>
          <w:rPr>
            <w:rFonts w:eastAsiaTheme="minorEastAsia"/>
            <w:b w:val="0"/>
            <w:noProof/>
          </w:rPr>
          <w:tab/>
        </w:r>
        <w:r w:rsidRPr="00601695">
          <w:rPr>
            <w:rStyle w:val="Hyperlink"/>
            <w:noProof/>
          </w:rPr>
          <w:t>Note: there is no specification impact needed to enable a fallback mechanism.</w:t>
        </w:r>
      </w:hyperlink>
    </w:p>
    <w:p w14:paraId="7BDFA87F" w14:textId="7C70CA9A" w:rsidR="00C713E4" w:rsidRDefault="00C713E4">
      <w:pPr>
        <w:pStyle w:val="TableofFigures"/>
        <w:tabs>
          <w:tab w:val="right" w:leader="dot" w:pos="9962"/>
        </w:tabs>
        <w:rPr>
          <w:rFonts w:eastAsiaTheme="minorEastAsia"/>
          <w:b w:val="0"/>
          <w:noProof/>
        </w:rPr>
      </w:pPr>
      <w:hyperlink w:anchor="_Toc189845162" w:history="1">
        <w:r w:rsidRPr="00601695">
          <w:rPr>
            <w:rStyle w:val="Hyperlink"/>
            <w:noProof/>
          </w:rPr>
          <w:t>Proposal 52</w:t>
        </w:r>
        <w:r>
          <w:rPr>
            <w:rFonts w:eastAsiaTheme="minorEastAsia"/>
            <w:b w:val="0"/>
            <w:noProof/>
          </w:rPr>
          <w:tab/>
        </w:r>
        <w:r w:rsidRPr="00601695">
          <w:rPr>
            <w:rStyle w:val="Hyperlink"/>
            <w:noProof/>
          </w:rPr>
          <w:t>For AI/ML positioning Cases, LMF based functionality management using label-free monitoring methods are supported, where the model inference entity performs self-monitoring without external information on the ground truth label.</w:t>
        </w:r>
      </w:hyperlink>
    </w:p>
    <w:p w14:paraId="4E4FFD3B" w14:textId="00B40EB1" w:rsidR="00C713E4" w:rsidRDefault="00C713E4">
      <w:pPr>
        <w:pStyle w:val="TableofFigures"/>
        <w:tabs>
          <w:tab w:val="right" w:leader="dot" w:pos="9962"/>
        </w:tabs>
        <w:rPr>
          <w:rFonts w:eastAsiaTheme="minorEastAsia"/>
          <w:b w:val="0"/>
          <w:noProof/>
        </w:rPr>
      </w:pPr>
      <w:hyperlink w:anchor="_Toc189845163" w:history="1">
        <w:r w:rsidRPr="00601695">
          <w:rPr>
            <w:rStyle w:val="Hyperlink"/>
            <w:noProof/>
          </w:rPr>
          <w:t>Proposal 53</w:t>
        </w:r>
        <w:r>
          <w:rPr>
            <w:rFonts w:eastAsiaTheme="minorEastAsia"/>
            <w:b w:val="0"/>
            <w:noProof/>
          </w:rPr>
          <w:tab/>
        </w:r>
        <w:r w:rsidRPr="00601695">
          <w:rPr>
            <w:rStyle w:val="Hyperlink"/>
            <w:noProof/>
          </w:rPr>
          <w:t>For AI/ML positioning Cases, self-monitoring is the baseline,  where the model inference entity performs self-monitoring with or without external information on the ground truth label (i.e., label-free or label-based).</w:t>
        </w:r>
      </w:hyperlink>
    </w:p>
    <w:p w14:paraId="6DB2AC41" w14:textId="39BD69A5" w:rsidR="00C713E4" w:rsidRDefault="00C713E4">
      <w:pPr>
        <w:pStyle w:val="TableofFigures"/>
        <w:tabs>
          <w:tab w:val="right" w:leader="dot" w:pos="9962"/>
        </w:tabs>
        <w:rPr>
          <w:rFonts w:eastAsiaTheme="minorEastAsia"/>
          <w:b w:val="0"/>
          <w:noProof/>
        </w:rPr>
      </w:pPr>
      <w:hyperlink w:anchor="_Toc189845164" w:history="1">
        <w:r w:rsidRPr="00601695">
          <w:rPr>
            <w:rStyle w:val="Hyperlink"/>
            <w:rFonts w:ascii="Symbol" w:hAnsi="Symbol"/>
            <w:noProof/>
          </w:rPr>
          <w:t></w:t>
        </w:r>
        <w:r>
          <w:rPr>
            <w:rFonts w:eastAsiaTheme="minorEastAsia"/>
            <w:b w:val="0"/>
            <w:noProof/>
          </w:rPr>
          <w:tab/>
        </w:r>
        <w:r w:rsidRPr="00601695">
          <w:rPr>
            <w:rStyle w:val="Hyperlink"/>
            <w:noProof/>
          </w:rPr>
          <w:t>The detailed self-monitoring method and decision-making are up to the implementation of the model inference entity (gNB or UE or LMF).</w:t>
        </w:r>
      </w:hyperlink>
    </w:p>
    <w:p w14:paraId="7A87220F" w14:textId="1028C37C" w:rsidR="00C713E4" w:rsidRDefault="00C713E4">
      <w:pPr>
        <w:pStyle w:val="TableofFigures"/>
        <w:tabs>
          <w:tab w:val="right" w:leader="dot" w:pos="9962"/>
        </w:tabs>
        <w:rPr>
          <w:rFonts w:eastAsiaTheme="minorEastAsia"/>
          <w:b w:val="0"/>
          <w:noProof/>
        </w:rPr>
      </w:pPr>
      <w:hyperlink w:anchor="_Toc189845165" w:history="1">
        <w:r w:rsidRPr="00601695">
          <w:rPr>
            <w:rStyle w:val="Hyperlink"/>
            <w:rFonts w:ascii="Symbol" w:hAnsi="Symbol"/>
            <w:noProof/>
          </w:rPr>
          <w:t></w:t>
        </w:r>
        <w:r>
          <w:rPr>
            <w:rFonts w:eastAsiaTheme="minorEastAsia"/>
            <w:b w:val="0"/>
            <w:noProof/>
          </w:rPr>
          <w:tab/>
        </w:r>
        <w:r w:rsidRPr="00601695">
          <w:rPr>
            <w:rStyle w:val="Hyperlink"/>
            <w:noProof/>
          </w:rPr>
          <w:t>The LMF can request / configure the reporting of monitoring outcome by the model inference entity when it’s gNB or UE.</w:t>
        </w:r>
      </w:hyperlink>
    </w:p>
    <w:p w14:paraId="2D32A1BF" w14:textId="6295C1C7" w:rsidR="00C713E4" w:rsidRDefault="00C713E4">
      <w:pPr>
        <w:pStyle w:val="TableofFigures"/>
        <w:tabs>
          <w:tab w:val="right" w:leader="dot" w:pos="9962"/>
        </w:tabs>
        <w:rPr>
          <w:rFonts w:eastAsiaTheme="minorEastAsia"/>
          <w:b w:val="0"/>
          <w:noProof/>
        </w:rPr>
      </w:pPr>
      <w:hyperlink w:anchor="_Toc189845166" w:history="1">
        <w:r w:rsidRPr="00601695">
          <w:rPr>
            <w:rStyle w:val="Hyperlink"/>
            <w:rFonts w:ascii="Symbol" w:hAnsi="Symbol"/>
            <w:noProof/>
          </w:rPr>
          <w:t></w:t>
        </w:r>
        <w:r>
          <w:rPr>
            <w:rFonts w:eastAsiaTheme="minorEastAsia"/>
            <w:b w:val="0"/>
            <w:noProof/>
          </w:rPr>
          <w:tab/>
        </w:r>
        <w:r w:rsidRPr="00601695">
          <w:rPr>
            <w:rStyle w:val="Hyperlink"/>
            <w:noProof/>
          </w:rPr>
          <w:t>For Case 1 and Case 3a, the UE (Case 1) and gNB (Case 3a) sends the monitoring decision to LMF, at least when the monitoring decision indicates that the model becomes inappropriate for inference.</w:t>
        </w:r>
      </w:hyperlink>
    </w:p>
    <w:p w14:paraId="0A73DF73" w14:textId="45D86744" w:rsidR="00C713E4" w:rsidRDefault="00C713E4">
      <w:pPr>
        <w:pStyle w:val="TableofFigures"/>
        <w:tabs>
          <w:tab w:val="right" w:leader="dot" w:pos="9962"/>
        </w:tabs>
        <w:rPr>
          <w:rFonts w:eastAsiaTheme="minorEastAsia"/>
          <w:b w:val="0"/>
          <w:noProof/>
        </w:rPr>
      </w:pPr>
      <w:hyperlink w:anchor="_Toc189845167" w:history="1">
        <w:r w:rsidRPr="00601695">
          <w:rPr>
            <w:rStyle w:val="Hyperlink"/>
            <w:rFonts w:ascii="Symbol" w:hAnsi="Symbol"/>
            <w:noProof/>
          </w:rPr>
          <w:t></w:t>
        </w:r>
        <w:r>
          <w:rPr>
            <w:rFonts w:eastAsiaTheme="minorEastAsia"/>
            <w:b w:val="0"/>
            <w:noProof/>
          </w:rPr>
          <w:tab/>
        </w:r>
        <w:r w:rsidRPr="00601695">
          <w:rPr>
            <w:rStyle w:val="Hyperlink"/>
            <w:noProof/>
          </w:rPr>
          <w:t>For model inference at UE (Case 1, 2a) or gNB (Case 3a), the LMF can provide assistance information to support the calculation of model monitoring metrics. FFS: what assistance data may be provided.</w:t>
        </w:r>
      </w:hyperlink>
    </w:p>
    <w:p w14:paraId="1A50080F" w14:textId="4F4F856E" w:rsidR="00C713E4" w:rsidRDefault="00C713E4">
      <w:pPr>
        <w:pStyle w:val="TableofFigures"/>
        <w:tabs>
          <w:tab w:val="right" w:leader="dot" w:pos="9962"/>
        </w:tabs>
        <w:rPr>
          <w:rFonts w:eastAsiaTheme="minorEastAsia"/>
          <w:b w:val="0"/>
          <w:noProof/>
        </w:rPr>
      </w:pPr>
      <w:hyperlink w:anchor="_Toc189845168" w:history="1">
        <w:r w:rsidRPr="00601695">
          <w:rPr>
            <w:rStyle w:val="Hyperlink"/>
            <w:noProof/>
          </w:rPr>
          <w:t>Proposal 54</w:t>
        </w:r>
        <w:r>
          <w:rPr>
            <w:rFonts w:eastAsiaTheme="minorEastAsia"/>
            <w:b w:val="0"/>
            <w:noProof/>
          </w:rPr>
          <w:tab/>
        </w:r>
        <w:r w:rsidRPr="00601695">
          <w:rPr>
            <w:rStyle w:val="Hyperlink"/>
            <w:noProof/>
          </w:rPr>
          <w:t>For model performance monitoring of AI/ML positioning Case 1, support Option A-1 and/or A-2 for model performance monitoring metric calculation, if estimated label is considered necessary to be provided by an external entity (which is LMF for Case 1).</w:t>
        </w:r>
      </w:hyperlink>
    </w:p>
    <w:p w14:paraId="0B51F3A8" w14:textId="05C9CFDF" w:rsidR="00C713E4" w:rsidRDefault="00C713E4">
      <w:pPr>
        <w:pStyle w:val="TableofFigures"/>
        <w:tabs>
          <w:tab w:val="right" w:leader="dot" w:pos="9962"/>
        </w:tabs>
        <w:rPr>
          <w:rFonts w:eastAsiaTheme="minorEastAsia"/>
          <w:b w:val="0"/>
          <w:noProof/>
        </w:rPr>
      </w:pPr>
      <w:hyperlink w:anchor="_Toc189845169" w:history="1">
        <w:r w:rsidRPr="00601695">
          <w:rPr>
            <w:rStyle w:val="Hyperlink"/>
            <w:noProof/>
          </w:rPr>
          <w:t>Proposal 55</w:t>
        </w:r>
        <w:r>
          <w:rPr>
            <w:rFonts w:eastAsiaTheme="minorEastAsia"/>
            <w:b w:val="0"/>
            <w:noProof/>
          </w:rPr>
          <w:tab/>
        </w:r>
        <w:r w:rsidRPr="00601695">
          <w:rPr>
            <w:rStyle w:val="Hyperlink"/>
            <w:noProof/>
          </w:rPr>
          <w:t>For model performance monitoring of AI/ML positioning Case 1, do not support Option A-3, B-1 or B-2.</w:t>
        </w:r>
      </w:hyperlink>
    </w:p>
    <w:p w14:paraId="61FD1D17" w14:textId="4E41B295" w:rsidR="00C713E4" w:rsidRDefault="00C713E4">
      <w:pPr>
        <w:pStyle w:val="TableofFigures"/>
        <w:tabs>
          <w:tab w:val="right" w:leader="dot" w:pos="9962"/>
        </w:tabs>
        <w:rPr>
          <w:rFonts w:eastAsiaTheme="minorEastAsia"/>
          <w:b w:val="0"/>
          <w:noProof/>
        </w:rPr>
      </w:pPr>
      <w:hyperlink w:anchor="_Toc189845170" w:history="1">
        <w:r w:rsidRPr="00601695">
          <w:rPr>
            <w:rStyle w:val="Hyperlink"/>
            <w:noProof/>
          </w:rPr>
          <w:t>Proposal 56</w:t>
        </w:r>
        <w:r>
          <w:rPr>
            <w:rFonts w:eastAsiaTheme="minorEastAsia"/>
            <w:b w:val="0"/>
            <w:noProof/>
          </w:rPr>
          <w:tab/>
        </w:r>
        <w:r w:rsidRPr="00601695">
          <w:rPr>
            <w:rStyle w:val="Hyperlink"/>
            <w:noProof/>
          </w:rPr>
          <w:t>For AI/ML positioning Cases, if label-based monitoring is supported:</w:t>
        </w:r>
      </w:hyperlink>
    </w:p>
    <w:p w14:paraId="4651E9E0" w14:textId="6E41A6CD" w:rsidR="00C713E4" w:rsidRDefault="00C713E4">
      <w:pPr>
        <w:pStyle w:val="TableofFigures"/>
        <w:tabs>
          <w:tab w:val="right" w:leader="dot" w:pos="9962"/>
        </w:tabs>
        <w:rPr>
          <w:rFonts w:eastAsiaTheme="minorEastAsia"/>
          <w:b w:val="0"/>
          <w:noProof/>
        </w:rPr>
      </w:pPr>
      <w:hyperlink w:anchor="_Toc189845171" w:history="1">
        <w:r w:rsidRPr="00601695">
          <w:rPr>
            <w:rStyle w:val="Hyperlink"/>
            <w:rFonts w:ascii="Symbol" w:hAnsi="Symbol"/>
            <w:noProof/>
          </w:rPr>
          <w:t></w:t>
        </w:r>
        <w:r>
          <w:rPr>
            <w:rFonts w:eastAsiaTheme="minorEastAsia"/>
            <w:b w:val="0"/>
            <w:noProof/>
          </w:rPr>
          <w:tab/>
        </w:r>
        <w:r w:rsidRPr="00601695">
          <w:rPr>
            <w:rStyle w:val="Hyperlink"/>
            <w:noProof/>
          </w:rPr>
          <w:t>The model inference entity performs self-monitoring.</w:t>
        </w:r>
      </w:hyperlink>
    </w:p>
    <w:p w14:paraId="4F860D24" w14:textId="56785A60" w:rsidR="00C713E4" w:rsidRDefault="00C713E4">
      <w:pPr>
        <w:pStyle w:val="TableofFigures"/>
        <w:tabs>
          <w:tab w:val="right" w:leader="dot" w:pos="9962"/>
        </w:tabs>
        <w:rPr>
          <w:rFonts w:eastAsiaTheme="minorEastAsia"/>
          <w:b w:val="0"/>
          <w:noProof/>
        </w:rPr>
      </w:pPr>
      <w:hyperlink w:anchor="_Toc189845172" w:history="1">
        <w:r w:rsidRPr="00601695">
          <w:rPr>
            <w:rStyle w:val="Hyperlink"/>
            <w:rFonts w:ascii="Symbol" w:hAnsi="Symbol"/>
            <w:noProof/>
          </w:rPr>
          <w:t></w:t>
        </w:r>
        <w:r>
          <w:rPr>
            <w:rFonts w:eastAsiaTheme="minorEastAsia"/>
            <w:b w:val="0"/>
            <w:noProof/>
          </w:rPr>
          <w:tab/>
        </w:r>
        <w:r w:rsidRPr="00601695">
          <w:rPr>
            <w:rStyle w:val="Hyperlink"/>
            <w:noProof/>
          </w:rPr>
          <w:t>The LMF can request / configure the reporting of monitoring outcome by the gNB/UE.</w:t>
        </w:r>
      </w:hyperlink>
    </w:p>
    <w:p w14:paraId="64B304F4" w14:textId="65080717" w:rsidR="00C713E4" w:rsidRDefault="00C713E4">
      <w:pPr>
        <w:pStyle w:val="TableofFigures"/>
        <w:tabs>
          <w:tab w:val="right" w:leader="dot" w:pos="9962"/>
        </w:tabs>
        <w:rPr>
          <w:rFonts w:eastAsiaTheme="minorEastAsia"/>
          <w:b w:val="0"/>
          <w:noProof/>
        </w:rPr>
      </w:pPr>
      <w:hyperlink w:anchor="_Toc189845173" w:history="1">
        <w:r w:rsidRPr="00601695">
          <w:rPr>
            <w:rStyle w:val="Hyperlink"/>
            <w:rFonts w:ascii="Symbol" w:hAnsi="Symbol"/>
            <w:noProof/>
          </w:rPr>
          <w:t></w:t>
        </w:r>
        <w:r>
          <w:rPr>
            <w:rFonts w:eastAsiaTheme="minorEastAsia"/>
            <w:b w:val="0"/>
            <w:noProof/>
          </w:rPr>
          <w:tab/>
        </w:r>
        <w:r w:rsidRPr="00601695">
          <w:rPr>
            <w:rStyle w:val="Hyperlink"/>
            <w:noProof/>
          </w:rPr>
          <w:t>For Case 1 and Case 3a, the UE (Case 1) and gNB (Case 3a) sends the monitoring decision to LMF, at least when the monitoring decision indicates that the model becomes inappropriate for inference.</w:t>
        </w:r>
      </w:hyperlink>
    </w:p>
    <w:p w14:paraId="42D1ED8A" w14:textId="558C81A7" w:rsidR="00C713E4" w:rsidRDefault="00C713E4">
      <w:pPr>
        <w:pStyle w:val="TableofFigures"/>
        <w:tabs>
          <w:tab w:val="right" w:leader="dot" w:pos="9962"/>
        </w:tabs>
        <w:rPr>
          <w:rFonts w:eastAsiaTheme="minorEastAsia"/>
          <w:b w:val="0"/>
          <w:noProof/>
        </w:rPr>
      </w:pPr>
      <w:hyperlink w:anchor="_Toc189845174" w:history="1">
        <w:r w:rsidRPr="00601695">
          <w:rPr>
            <w:rStyle w:val="Hyperlink"/>
            <w:noProof/>
          </w:rPr>
          <w:t>Proposal 57</w:t>
        </w:r>
        <w:r>
          <w:rPr>
            <w:rFonts w:eastAsiaTheme="minorEastAsia"/>
            <w:b w:val="0"/>
            <w:noProof/>
          </w:rPr>
          <w:tab/>
        </w:r>
        <w:r w:rsidRPr="00601695">
          <w:rPr>
            <w:rStyle w:val="Hyperlink"/>
            <w:noProof/>
          </w:rPr>
          <w:t>The model training entity records the model inference validity area as a part of metadata for the trained model.</w:t>
        </w:r>
      </w:hyperlink>
    </w:p>
    <w:p w14:paraId="0A92AC5D" w14:textId="3EC4CBD6" w:rsidR="00C713E4" w:rsidRDefault="00C713E4">
      <w:pPr>
        <w:pStyle w:val="TableofFigures"/>
        <w:tabs>
          <w:tab w:val="right" w:leader="dot" w:pos="9962"/>
        </w:tabs>
        <w:rPr>
          <w:rFonts w:eastAsiaTheme="minorEastAsia"/>
          <w:b w:val="0"/>
          <w:noProof/>
        </w:rPr>
      </w:pPr>
      <w:hyperlink w:anchor="_Toc189845175" w:history="1">
        <w:r w:rsidRPr="00601695">
          <w:rPr>
            <w:rStyle w:val="Hyperlink"/>
            <w:noProof/>
          </w:rPr>
          <w:t>Proposal 58</w:t>
        </w:r>
        <w:r>
          <w:rPr>
            <w:rFonts w:eastAsiaTheme="minorEastAsia"/>
            <w:b w:val="0"/>
            <w:noProof/>
          </w:rPr>
          <w:tab/>
        </w:r>
        <w:r w:rsidRPr="00601695">
          <w:rPr>
            <w:rStyle w:val="Hyperlink"/>
            <w:noProof/>
          </w:rPr>
          <w:t>When preparing for model inference, the model inference validity area is checked for compatibility with the deployment area.</w:t>
        </w:r>
      </w:hyperlink>
    </w:p>
    <w:p w14:paraId="37EB2E79" w14:textId="2B1AFA6D" w:rsidR="00C713E4" w:rsidRDefault="00C713E4">
      <w:pPr>
        <w:pStyle w:val="TableofFigures"/>
        <w:tabs>
          <w:tab w:val="right" w:leader="dot" w:pos="9962"/>
        </w:tabs>
        <w:rPr>
          <w:rFonts w:eastAsiaTheme="minorEastAsia"/>
          <w:b w:val="0"/>
          <w:noProof/>
        </w:rPr>
      </w:pPr>
      <w:hyperlink w:anchor="_Toc189845176" w:history="1">
        <w:r w:rsidRPr="00601695">
          <w:rPr>
            <w:rStyle w:val="Hyperlink"/>
            <w:noProof/>
          </w:rPr>
          <w:t>Proposal 59</w:t>
        </w:r>
        <w:r>
          <w:rPr>
            <w:rFonts w:eastAsiaTheme="minorEastAsia"/>
            <w:b w:val="0"/>
            <w:noProof/>
          </w:rPr>
          <w:tab/>
        </w:r>
        <w:r w:rsidRPr="00601695">
          <w:rPr>
            <w:rStyle w:val="Hyperlink"/>
            <w:noProof/>
          </w:rPr>
          <w:t>When preparing for model inference, configurations of reference signal transmission and measurement are checked for compatibility between the trained model and the deployment environment.</w:t>
        </w:r>
      </w:hyperlink>
    </w:p>
    <w:p w14:paraId="5462A4C2" w14:textId="0F52DB51" w:rsidR="00C713E4" w:rsidRDefault="00C713E4">
      <w:pPr>
        <w:pStyle w:val="TableofFigures"/>
        <w:tabs>
          <w:tab w:val="right" w:leader="dot" w:pos="9962"/>
        </w:tabs>
        <w:rPr>
          <w:rFonts w:eastAsiaTheme="minorEastAsia"/>
          <w:b w:val="0"/>
          <w:noProof/>
        </w:rPr>
      </w:pPr>
      <w:hyperlink w:anchor="_Toc189845177" w:history="1">
        <w:r w:rsidRPr="00601695">
          <w:rPr>
            <w:rStyle w:val="Hyperlink"/>
            <w:noProof/>
          </w:rPr>
          <w:t>Proposal 60</w:t>
        </w:r>
        <w:r>
          <w:rPr>
            <w:rFonts w:eastAsiaTheme="minorEastAsia"/>
            <w:b w:val="0"/>
            <w:noProof/>
          </w:rPr>
          <w:tab/>
        </w:r>
        <w:r w:rsidRPr="00601695">
          <w:rPr>
            <w:rStyle w:val="Hyperlink"/>
            <w:noProof/>
          </w:rPr>
          <w:t>For Case 2a/3a, support UE/gNB to send an indication to the LMF when the AI/ML model is ready for reporting measurements based on model inference. It is up to RAN2/3 to decide which procedure to use to convey the information.</w:t>
        </w:r>
      </w:hyperlink>
    </w:p>
    <w:p w14:paraId="67578748" w14:textId="3ADBAA6B" w:rsidR="00C713E4" w:rsidRDefault="00C713E4">
      <w:pPr>
        <w:pStyle w:val="TableofFigures"/>
        <w:tabs>
          <w:tab w:val="right" w:leader="dot" w:pos="9962"/>
        </w:tabs>
        <w:rPr>
          <w:rFonts w:eastAsiaTheme="minorEastAsia"/>
          <w:b w:val="0"/>
          <w:noProof/>
        </w:rPr>
      </w:pPr>
      <w:hyperlink w:anchor="_Toc189845178" w:history="1">
        <w:r w:rsidRPr="00601695">
          <w:rPr>
            <w:rStyle w:val="Hyperlink"/>
            <w:noProof/>
          </w:rPr>
          <w:t>Proposal 61</w:t>
        </w:r>
        <w:r>
          <w:rPr>
            <w:rFonts w:eastAsiaTheme="minorEastAsia"/>
            <w:b w:val="0"/>
            <w:noProof/>
          </w:rPr>
          <w:tab/>
        </w:r>
        <w:r w:rsidRPr="00601695">
          <w:rPr>
            <w:rStyle w:val="Hyperlink"/>
            <w:noProof/>
          </w:rPr>
          <w:t>For UE-side model (Case 1/2a), to ensure the consistency of NW-side additional condition across training and inference, support associated ID for indicating NW conditions/configurations.</w:t>
        </w:r>
      </w:hyperlink>
    </w:p>
    <w:p w14:paraId="23EDC913" w14:textId="7812A171" w:rsidR="00C713E4" w:rsidRDefault="00C713E4">
      <w:pPr>
        <w:pStyle w:val="TableofFigures"/>
        <w:tabs>
          <w:tab w:val="right" w:leader="dot" w:pos="9962"/>
        </w:tabs>
        <w:rPr>
          <w:rFonts w:eastAsiaTheme="minorEastAsia"/>
          <w:b w:val="0"/>
          <w:noProof/>
        </w:rPr>
      </w:pPr>
      <w:hyperlink w:anchor="_Toc189845179" w:history="1">
        <w:r w:rsidRPr="00601695">
          <w:rPr>
            <w:rStyle w:val="Hyperlink"/>
            <w:noProof/>
          </w:rPr>
          <w:t>Proposal 62</w:t>
        </w:r>
        <w:r>
          <w:rPr>
            <w:rFonts w:eastAsiaTheme="minorEastAsia"/>
            <w:b w:val="0"/>
            <w:noProof/>
          </w:rPr>
          <w:tab/>
        </w:r>
        <w:r w:rsidRPr="00601695">
          <w:rPr>
            <w:rStyle w:val="Hyperlink"/>
            <w:noProof/>
          </w:rPr>
          <w:t>For AI/ML based positioning, the consistency between training and inference is checked for each TRP separately.</w:t>
        </w:r>
      </w:hyperlink>
    </w:p>
    <w:p w14:paraId="7447914D" w14:textId="0972B374" w:rsidR="00C713E4" w:rsidRDefault="00C713E4">
      <w:pPr>
        <w:pStyle w:val="TableofFigures"/>
        <w:tabs>
          <w:tab w:val="right" w:leader="dot" w:pos="9962"/>
        </w:tabs>
        <w:rPr>
          <w:rFonts w:eastAsiaTheme="minorEastAsia"/>
          <w:b w:val="0"/>
          <w:noProof/>
        </w:rPr>
      </w:pPr>
      <w:hyperlink w:anchor="_Toc189845180" w:history="1">
        <w:r w:rsidRPr="00601695">
          <w:rPr>
            <w:rStyle w:val="Hyperlink"/>
            <w:noProof/>
          </w:rPr>
          <w:t>Proposal 63</w:t>
        </w:r>
        <w:r>
          <w:rPr>
            <w:rFonts w:eastAsiaTheme="minorEastAsia"/>
            <w:b w:val="0"/>
            <w:noProof/>
          </w:rPr>
          <w:tab/>
        </w:r>
        <w:r w:rsidRPr="00601695">
          <w:rPr>
            <w:rStyle w:val="Hyperlink"/>
            <w:noProof/>
          </w:rPr>
          <w:t>For a given TRP j, the UE assumes that the NW-side additional conditions with the same associated ID are consistent within the TRP j.</w:t>
        </w:r>
      </w:hyperlink>
    </w:p>
    <w:p w14:paraId="789E2809" w14:textId="151D4BC7" w:rsidR="00C713E4" w:rsidRDefault="00C713E4">
      <w:pPr>
        <w:pStyle w:val="TableofFigures"/>
        <w:tabs>
          <w:tab w:val="right" w:leader="dot" w:pos="9962"/>
        </w:tabs>
        <w:rPr>
          <w:rFonts w:eastAsiaTheme="minorEastAsia"/>
          <w:b w:val="0"/>
          <w:noProof/>
        </w:rPr>
      </w:pPr>
      <w:hyperlink w:anchor="_Toc189845181" w:history="1">
        <w:r w:rsidRPr="00601695">
          <w:rPr>
            <w:rStyle w:val="Hyperlink"/>
            <w:noProof/>
          </w:rPr>
          <w:t>Proposal 64</w:t>
        </w:r>
        <w:r>
          <w:rPr>
            <w:rFonts w:eastAsiaTheme="minorEastAsia"/>
            <w:b w:val="0"/>
            <w:noProof/>
          </w:rPr>
          <w:tab/>
        </w:r>
        <w:r w:rsidRPr="00601695">
          <w:rPr>
            <w:rStyle w:val="Hyperlink"/>
            <w:noProof/>
          </w:rPr>
          <w:t>For measurements reported to the LMF in case 2b/3b, support the LMF to indicate the PRS/SRS measurement bandwidth.</w:t>
        </w:r>
      </w:hyperlink>
    </w:p>
    <w:p w14:paraId="6672E537" w14:textId="72AE0BC1" w:rsidR="00C713E4" w:rsidRDefault="00C713E4">
      <w:pPr>
        <w:pStyle w:val="TableofFigures"/>
        <w:tabs>
          <w:tab w:val="right" w:leader="dot" w:pos="9962"/>
        </w:tabs>
        <w:rPr>
          <w:rFonts w:eastAsiaTheme="minorEastAsia"/>
          <w:b w:val="0"/>
          <w:noProof/>
        </w:rPr>
      </w:pPr>
      <w:hyperlink w:anchor="_Toc189845182" w:history="1">
        <w:r w:rsidRPr="00601695">
          <w:rPr>
            <w:rStyle w:val="Hyperlink"/>
            <w:noProof/>
          </w:rPr>
          <w:t>Proposal 65</w:t>
        </w:r>
        <w:r>
          <w:rPr>
            <w:rFonts w:eastAsiaTheme="minorEastAsia"/>
            <w:b w:val="0"/>
            <w:noProof/>
          </w:rPr>
          <w:tab/>
        </w:r>
        <w:r w:rsidRPr="00601695">
          <w:rPr>
            <w:rStyle w:val="Hyperlink"/>
            <w:noProof/>
          </w:rPr>
          <w:t>Do not support provision of assistance data (info #16-18) dedicated to UE-based DL-AoD, but not needed for DL-TDOA.</w:t>
        </w:r>
      </w:hyperlink>
    </w:p>
    <w:p w14:paraId="60D06A3C" w14:textId="6CC8BAB6" w:rsidR="00C713E4" w:rsidRDefault="00C713E4">
      <w:pPr>
        <w:pStyle w:val="TableofFigures"/>
        <w:tabs>
          <w:tab w:val="right" w:leader="dot" w:pos="9962"/>
        </w:tabs>
        <w:rPr>
          <w:rFonts w:eastAsiaTheme="minorEastAsia"/>
          <w:b w:val="0"/>
          <w:noProof/>
        </w:rPr>
      </w:pPr>
      <w:hyperlink w:anchor="_Toc189845183" w:history="1">
        <w:r w:rsidRPr="00601695">
          <w:rPr>
            <w:rStyle w:val="Hyperlink"/>
            <w:noProof/>
          </w:rPr>
          <w:t>Proposal 66</w:t>
        </w:r>
        <w:r>
          <w:rPr>
            <w:rFonts w:eastAsiaTheme="minorEastAsia"/>
            <w:b w:val="0"/>
            <w:noProof/>
          </w:rPr>
          <w:tab/>
        </w:r>
        <w:r w:rsidRPr="00601695">
          <w:rPr>
            <w:rStyle w:val="Hyperlink"/>
            <w:noProof/>
          </w:rPr>
          <w:t>For case 1, regarding info#7 in the assistance data from DL-TDOA, support Alternative 2</w:t>
        </w:r>
      </w:hyperlink>
    </w:p>
    <w:p w14:paraId="36887848" w14:textId="4F5629A6" w:rsidR="00C713E4" w:rsidRDefault="00C713E4">
      <w:pPr>
        <w:pStyle w:val="TableofFigures"/>
        <w:tabs>
          <w:tab w:val="right" w:leader="dot" w:pos="9962"/>
        </w:tabs>
        <w:rPr>
          <w:rFonts w:eastAsiaTheme="minorEastAsia"/>
          <w:b w:val="0"/>
          <w:noProof/>
        </w:rPr>
      </w:pPr>
      <w:hyperlink w:anchor="_Toc189845184" w:history="1">
        <w:r w:rsidRPr="00601695">
          <w:rPr>
            <w:rStyle w:val="Hyperlink"/>
            <w:rFonts w:ascii="Symbol" w:hAnsi="Symbol"/>
            <w:noProof/>
          </w:rPr>
          <w:t></w:t>
        </w:r>
        <w:r>
          <w:rPr>
            <w:rFonts w:eastAsiaTheme="minorEastAsia"/>
            <w:b w:val="0"/>
            <w:noProof/>
          </w:rPr>
          <w:tab/>
        </w:r>
        <w:r w:rsidRPr="00601695">
          <w:rPr>
            <w:rStyle w:val="Hyperlink"/>
            <w:noProof/>
          </w:rPr>
          <w:t>Info #7 can be provided either implicitly or explicitly by LMF. Note: no UE capability is introduced on whether info #7 is provided implicitly or explicitly, and the UE can request info #7 to be provided explicitly or implicitly.</w:t>
        </w:r>
      </w:hyperlink>
    </w:p>
    <w:p w14:paraId="2C7B3EFE" w14:textId="0F4E201E" w:rsidR="00C713E4" w:rsidRDefault="00C713E4">
      <w:pPr>
        <w:pStyle w:val="TableofFigures"/>
        <w:tabs>
          <w:tab w:val="right" w:leader="dot" w:pos="9962"/>
        </w:tabs>
        <w:rPr>
          <w:rFonts w:eastAsiaTheme="minorEastAsia"/>
          <w:b w:val="0"/>
          <w:noProof/>
        </w:rPr>
      </w:pPr>
      <w:hyperlink w:anchor="_Toc189845185" w:history="1">
        <w:r w:rsidRPr="00601695">
          <w:rPr>
            <w:rStyle w:val="Hyperlink"/>
            <w:noProof/>
          </w:rPr>
          <w:t>i.</w:t>
        </w:r>
        <w:r>
          <w:rPr>
            <w:rFonts w:eastAsiaTheme="minorEastAsia"/>
            <w:b w:val="0"/>
            <w:noProof/>
          </w:rPr>
          <w:tab/>
        </w:r>
        <w:r w:rsidRPr="00601695">
          <w:rPr>
            <w:rStyle w:val="Hyperlink"/>
            <w:noProof/>
          </w:rPr>
          <w:t>Note: if explicit signaling is not supported by the network, legacy behavior can be used to exclude the TRPs without provided location from provided AD.</w:t>
        </w:r>
      </w:hyperlink>
    </w:p>
    <w:p w14:paraId="0F2C7224" w14:textId="0FAC3F53" w:rsidR="00C713E4" w:rsidRDefault="00C713E4">
      <w:pPr>
        <w:pStyle w:val="TableofFigures"/>
        <w:tabs>
          <w:tab w:val="right" w:leader="dot" w:pos="9962"/>
        </w:tabs>
        <w:rPr>
          <w:rFonts w:eastAsiaTheme="minorEastAsia"/>
          <w:b w:val="0"/>
          <w:noProof/>
        </w:rPr>
      </w:pPr>
      <w:hyperlink w:anchor="_Toc189845186" w:history="1">
        <w:r w:rsidRPr="00601695">
          <w:rPr>
            <w:rStyle w:val="Hyperlink"/>
            <w:rFonts w:ascii="Symbol" w:hAnsi="Symbol"/>
            <w:noProof/>
          </w:rPr>
          <w:t></w:t>
        </w:r>
        <w:r>
          <w:rPr>
            <w:rFonts w:eastAsiaTheme="minorEastAsia"/>
            <w:b w:val="0"/>
            <w:noProof/>
          </w:rPr>
          <w:tab/>
        </w:r>
        <w:r w:rsidRPr="00601695">
          <w:rPr>
            <w:rStyle w:val="Hyperlink"/>
            <w:noProof/>
          </w:rPr>
          <w:t xml:space="preserve">If provided implicitly, </w:t>
        </w:r>
        <w:r w:rsidRPr="00601695">
          <w:rPr>
            <w:rStyle w:val="Hyperlink"/>
            <w:rFonts w:eastAsia="Yu Mincho"/>
            <w:noProof/>
          </w:rPr>
          <w:t>a</w:t>
        </w:r>
        <w:r w:rsidRPr="00601695">
          <w:rPr>
            <w:rStyle w:val="Hyperlink"/>
            <w:noProof/>
          </w:rPr>
          <w:t>ssociated ID is signaled by LMF to indicate whether info #7 is consistent between training and inference.</w:t>
        </w:r>
      </w:hyperlink>
    </w:p>
    <w:p w14:paraId="3AE5AD10" w14:textId="372376B7" w:rsidR="008E065E" w:rsidRPr="00CE0424" w:rsidRDefault="006E1C82" w:rsidP="00836728">
      <w:pPr>
        <w:pStyle w:val="BodyText"/>
      </w:pPr>
      <w:r>
        <w:fldChar w:fldCharType="end"/>
      </w:r>
      <w:r w:rsidRPr="00CE0424">
        <w:t xml:space="preserve"> </w:t>
      </w:r>
    </w:p>
    <w:p w14:paraId="4C5504C0" w14:textId="77777777" w:rsidR="00F507D1" w:rsidRPr="00E215F0" w:rsidRDefault="00F507D1" w:rsidP="00CE0424">
      <w:pPr>
        <w:pStyle w:val="Heading1"/>
        <w:rPr>
          <w:lang w:val="en-US"/>
        </w:rPr>
      </w:pPr>
      <w:bookmarkStart w:id="2513" w:name="_In-sequence_SDU_delivery"/>
      <w:bookmarkStart w:id="2514" w:name="_Toc165991024"/>
      <w:bookmarkStart w:id="2515" w:name="_Toc189845053"/>
      <w:bookmarkEnd w:id="2513"/>
      <w:r w:rsidRPr="00E215F0">
        <w:rPr>
          <w:lang w:val="en-US"/>
        </w:rPr>
        <w:t>References</w:t>
      </w:r>
      <w:bookmarkEnd w:id="2514"/>
      <w:bookmarkEnd w:id="2515"/>
    </w:p>
    <w:p w14:paraId="07A92C03" w14:textId="77777777" w:rsidR="00E24EB1" w:rsidRPr="00796F6C" w:rsidRDefault="00E24EB1" w:rsidP="00E24EB1">
      <w:pPr>
        <w:pStyle w:val="Reference"/>
      </w:pPr>
      <w:bookmarkStart w:id="2516" w:name="_Ref155373154"/>
      <w:bookmarkStart w:id="2517" w:name="_Ref174151459"/>
      <w:bookmarkStart w:id="2518" w:name="_Ref189809556"/>
      <w:r>
        <w:t>3GPP TS 38.305</w:t>
      </w:r>
      <w:r>
        <w:rPr>
          <w:rFonts w:hint="eastAsia"/>
        </w:rPr>
        <w:t xml:space="preserve">, </w:t>
      </w:r>
      <w:r>
        <w:t>Stage 2 functional specification of</w:t>
      </w:r>
      <w:r>
        <w:rPr>
          <w:rFonts w:hint="eastAsia"/>
        </w:rPr>
        <w:t xml:space="preserve"> </w:t>
      </w:r>
      <w:r>
        <w:t>User Equipment (UE) positioning in NG-RAN</w:t>
      </w:r>
      <w:r w:rsidRPr="00796F6C">
        <w:rPr>
          <w:rFonts w:hint="eastAsia"/>
        </w:rPr>
        <w:t>.</w:t>
      </w:r>
    </w:p>
    <w:p w14:paraId="000A298A" w14:textId="77777777" w:rsidR="00E24EB1" w:rsidRPr="00796F6C" w:rsidRDefault="00E24EB1" w:rsidP="00E24EB1">
      <w:pPr>
        <w:pStyle w:val="Reference"/>
      </w:pPr>
      <w:r>
        <w:t>3GPP TS 37.355</w:t>
      </w:r>
      <w:r>
        <w:rPr>
          <w:rFonts w:hint="eastAsia"/>
        </w:rPr>
        <w:t xml:space="preserve">, </w:t>
      </w:r>
      <w:r>
        <w:t>LTE Positioning Protocol (LPP)</w:t>
      </w:r>
      <w:r w:rsidRPr="00796F6C">
        <w:rPr>
          <w:rFonts w:hint="eastAsia"/>
        </w:rPr>
        <w:t>.</w:t>
      </w:r>
    </w:p>
    <w:p w14:paraId="20E83A53" w14:textId="77777777" w:rsidR="00E24EB1" w:rsidRDefault="00E24EB1" w:rsidP="00E24EB1">
      <w:pPr>
        <w:pStyle w:val="Reference"/>
      </w:pPr>
      <w:r>
        <w:t>3GPP TS 38.455</w:t>
      </w:r>
      <w:r>
        <w:rPr>
          <w:rFonts w:hint="eastAsia"/>
        </w:rPr>
        <w:t>, NR Positioning Protocol A (</w:t>
      </w:r>
      <w:proofErr w:type="spellStart"/>
      <w:r>
        <w:rPr>
          <w:rFonts w:hint="eastAsia"/>
        </w:rPr>
        <w:t>NRPPa</w:t>
      </w:r>
      <w:proofErr w:type="spellEnd"/>
      <w:r>
        <w:rPr>
          <w:rFonts w:hint="eastAsia"/>
        </w:rPr>
        <w:t>)</w:t>
      </w:r>
      <w:r w:rsidRPr="00796F6C">
        <w:rPr>
          <w:rFonts w:hint="eastAsia"/>
        </w:rPr>
        <w:t>.</w:t>
      </w:r>
    </w:p>
    <w:p w14:paraId="6770E5DC" w14:textId="6445335E" w:rsidR="00E24EB1" w:rsidRDefault="00F26AC7" w:rsidP="00F26AC7">
      <w:pPr>
        <w:pStyle w:val="Reference"/>
      </w:pPr>
      <w:bookmarkStart w:id="2519" w:name="_Ref156223556"/>
      <w:r>
        <w:t>3GPP TR 38.843 V2.0.1 (2023-12), Study on Artificial Intelligence (AI)/Machine Learning (ML) for NR air interface (Release 18).</w:t>
      </w:r>
      <w:bookmarkEnd w:id="2519"/>
    </w:p>
    <w:p w14:paraId="1EF269F2" w14:textId="2BECD2F7" w:rsidR="005D0D1E" w:rsidRDefault="0017215B" w:rsidP="005D0D1E">
      <w:pPr>
        <w:pStyle w:val="Reference"/>
      </w:pPr>
      <w:bookmarkStart w:id="2520" w:name="_Ref155559231"/>
      <w:r w:rsidRPr="0017215B">
        <w:t>RP-243244</w:t>
      </w:r>
      <w:r w:rsidR="005D0D1E">
        <w:t>, "</w:t>
      </w:r>
      <w:r w:rsidR="001A4E4B" w:rsidRPr="001A4E4B">
        <w:t>Revised WID on Artificial Intelligence (AI)/Machine Learning (ML) for NR Air Interface</w:t>
      </w:r>
      <w:r w:rsidR="005D0D1E">
        <w:t>,"</w:t>
      </w:r>
      <w:r w:rsidR="005D0D1E" w:rsidRPr="00F45E17">
        <w:t xml:space="preserve"> Qualcomm</w:t>
      </w:r>
      <w:r w:rsidR="005D0D1E">
        <w:t xml:space="preserve">, </w:t>
      </w:r>
      <w:r w:rsidR="005D0D1E" w:rsidRPr="00F45E17">
        <w:t>3GPP TSG RAN Meeting #</w:t>
      </w:r>
      <w:r w:rsidRPr="00F45E17">
        <w:t>10</w:t>
      </w:r>
      <w:r>
        <w:t>6</w:t>
      </w:r>
      <w:r w:rsidR="005D0D1E">
        <w:t xml:space="preserve">, </w:t>
      </w:r>
      <w:r>
        <w:t>Madrid</w:t>
      </w:r>
      <w:r w:rsidR="001A4E4B" w:rsidRPr="001A4E4B">
        <w:t xml:space="preserve">, </w:t>
      </w:r>
      <w:r>
        <w:t>Spain</w:t>
      </w:r>
      <w:r w:rsidR="001A4E4B" w:rsidRPr="001A4E4B">
        <w:t xml:space="preserve">, </w:t>
      </w:r>
      <w:r>
        <w:t>December</w:t>
      </w:r>
      <w:r w:rsidRPr="001A4E4B">
        <w:t xml:space="preserve"> </w:t>
      </w:r>
      <w:r w:rsidR="001A4E4B" w:rsidRPr="001A4E4B">
        <w:t>9-12, 2024</w:t>
      </w:r>
      <w:r w:rsidR="005D0D1E">
        <w:t>.</w:t>
      </w:r>
      <w:bookmarkEnd w:id="2516"/>
      <w:bookmarkEnd w:id="2520"/>
    </w:p>
    <w:p w14:paraId="0EC86090" w14:textId="373381FB" w:rsidR="003A2D9E" w:rsidRDefault="00F52E9D" w:rsidP="00024894">
      <w:pPr>
        <w:pStyle w:val="Reference"/>
      </w:pPr>
      <w:bookmarkStart w:id="2521" w:name="_Ref158730650"/>
      <w:bookmarkStart w:id="2522" w:name="_Ref172113551"/>
      <w:bookmarkEnd w:id="2517"/>
      <w:bookmarkEnd w:id="2518"/>
      <w:r w:rsidRPr="00E215F0">
        <w:t>R1-2306454</w:t>
      </w:r>
      <w:r w:rsidR="00AA37E8">
        <w:t>,</w:t>
      </w:r>
      <w:r w:rsidRPr="00E215F0">
        <w:t xml:space="preserve"> “</w:t>
      </w:r>
      <w:r w:rsidR="000B179B" w:rsidRPr="00E215F0">
        <w:t>Evaluation of AI/ML for Positioning Accuracy Enhancement,” Ericsson</w:t>
      </w:r>
      <w:bookmarkEnd w:id="2521"/>
      <w:r w:rsidR="0097278E">
        <w:t>.</w:t>
      </w:r>
      <w:bookmarkEnd w:id="2522"/>
    </w:p>
    <w:p w14:paraId="114312D3" w14:textId="3B42AD53" w:rsidR="003A2D9E" w:rsidRPr="0003664E" w:rsidRDefault="003A2D9E" w:rsidP="00024894">
      <w:pPr>
        <w:pStyle w:val="Heading1"/>
        <w:rPr>
          <w:lang w:val="en-US"/>
        </w:rPr>
      </w:pPr>
      <w:r>
        <w:rPr>
          <w:lang w:val="en-US"/>
        </w:rPr>
        <w:t xml:space="preserve"> </w:t>
      </w:r>
      <w:bookmarkStart w:id="2523" w:name="_Toc189845054"/>
      <w:r>
        <w:rPr>
          <w:lang w:val="en-US"/>
        </w:rPr>
        <w:t>Appendix A. H</w:t>
      </w:r>
      <w:r w:rsidRPr="003A2D9E">
        <w:rPr>
          <w:lang w:val="en-US"/>
        </w:rPr>
        <w:t xml:space="preserve">igh accuracy uncertainty </w:t>
      </w:r>
      <w:r>
        <w:rPr>
          <w:lang w:val="en-US"/>
        </w:rPr>
        <w:t xml:space="preserve">and confidence </w:t>
      </w:r>
      <w:r w:rsidRPr="003A2D9E">
        <w:rPr>
          <w:lang w:val="en-US"/>
        </w:rPr>
        <w:t>as defined in TS 23.032</w:t>
      </w:r>
      <w:bookmarkEnd w:id="2523"/>
    </w:p>
    <w:p w14:paraId="0020AA36" w14:textId="77777777" w:rsidR="003A2D9E" w:rsidRPr="003A2D9E" w:rsidRDefault="003A2D9E" w:rsidP="003A2D9E">
      <w:bookmarkStart w:id="2524" w:name="_Toc524940649"/>
      <w:bookmarkStart w:id="2525" w:name="_Toc67980271"/>
      <w:bookmarkStart w:id="2526" w:name="_Toc91133090"/>
      <w:r w:rsidRPr="003A2D9E">
        <w:t>6.2a</w:t>
      </w:r>
      <w:r w:rsidRPr="003A2D9E">
        <w:tab/>
        <w:t>High Accuracy Uncertainty</w:t>
      </w:r>
      <w:bookmarkEnd w:id="2524"/>
      <w:bookmarkEnd w:id="2525"/>
      <w:bookmarkEnd w:id="2526"/>
    </w:p>
    <w:p w14:paraId="002E80CF" w14:textId="77777777" w:rsidR="003A2D9E" w:rsidRDefault="003A2D9E" w:rsidP="003A2D9E">
      <w:r>
        <w:t xml:space="preserve">The high accuracy uncertainty r, expressed in </w:t>
      </w:r>
      <w:proofErr w:type="spellStart"/>
      <w:r>
        <w:t>metres</w:t>
      </w:r>
      <w:proofErr w:type="spellEnd"/>
      <w:r>
        <w:t xml:space="preserve">, is mapped to a number </w:t>
      </w:r>
      <w:r>
        <w:rPr>
          <w:i/>
        </w:rPr>
        <w:t>K</w:t>
      </w:r>
      <w:r>
        <w:t>, with the following formula:</w:t>
      </w:r>
    </w:p>
    <w:p w14:paraId="1310389B" w14:textId="64848CB2" w:rsidR="003A2D9E" w:rsidRDefault="003A2D9E" w:rsidP="003A2D9E">
      <w:pPr>
        <w:pStyle w:val="EQ"/>
      </w:pPr>
      <w:r>
        <w:tab/>
      </w:r>
      <m:oMath>
        <m:r>
          <w:rPr>
            <w:rFonts w:ascii="Cambria Math" w:eastAsia="Times New Roman" w:hAnsi="Times New Roman" w:cs="Times New Roman"/>
            <w:szCs w:val="20"/>
            <w14:ligatures w14:val="none"/>
          </w:rPr>
          <m:t>r=C</m:t>
        </m:r>
        <m:d>
          <m:dPr>
            <m:ctrlPr>
              <w:rPr>
                <w:rFonts w:ascii="Cambria Math" w:eastAsia="Times New Roman" w:hAnsi="Times New Roman" w:cs="Times New Roman"/>
                <w:i/>
                <w:szCs w:val="20"/>
                <w14:ligatures w14:val="none"/>
              </w:rPr>
            </m:ctrlPr>
          </m:dPr>
          <m:e>
            <m:sSup>
              <m:sSupPr>
                <m:ctrlPr>
                  <w:rPr>
                    <w:rFonts w:ascii="Cambria Math" w:eastAsia="Times New Roman" w:hAnsi="Times New Roman" w:cs="Times New Roman"/>
                    <w:i/>
                    <w:szCs w:val="20"/>
                    <w14:ligatures w14:val="none"/>
                  </w:rPr>
                </m:ctrlPr>
              </m:sSupPr>
              <m:e>
                <m:d>
                  <m:dPr>
                    <m:ctrlPr>
                      <w:rPr>
                        <w:rFonts w:ascii="Cambria Math" w:eastAsia="Times New Roman" w:hAnsi="Times New Roman" w:cs="Times New Roman"/>
                        <w:i/>
                        <w:szCs w:val="20"/>
                        <w14:ligatures w14:val="none"/>
                      </w:rPr>
                    </m:ctrlPr>
                  </m:dPr>
                  <m:e>
                    <m:r>
                      <w:rPr>
                        <w:rFonts w:ascii="Cambria Math" w:eastAsia="Times New Roman" w:hAnsi="Times New Roman" w:cs="Times New Roman"/>
                        <w:szCs w:val="20"/>
                        <w14:ligatures w14:val="none"/>
                      </w:rPr>
                      <m:t>1+x</m:t>
                    </m:r>
                  </m:e>
                </m:d>
              </m:e>
              <m:sup>
                <m:r>
                  <w:rPr>
                    <w:rFonts w:ascii="Cambria Math" w:eastAsia="Times New Roman" w:hAnsi="Times New Roman" w:cs="Times New Roman"/>
                    <w:szCs w:val="20"/>
                    <w14:ligatures w14:val="none"/>
                  </w:rPr>
                  <m:t>K</m:t>
                </m:r>
              </m:sup>
            </m:sSup>
            <m:r>
              <w:rPr>
                <w:rFonts w:ascii="Cambria Math" w:eastAsia="Times New Roman" w:hAnsi="Times New Roman" w:cs="Times New Roman"/>
                <w:szCs w:val="20"/>
                <w14:ligatures w14:val="none"/>
              </w:rPr>
              <m:t>-</m:t>
            </m:r>
            <m:r>
              <w:rPr>
                <w:rFonts w:ascii="Cambria Math" w:eastAsia="Times New Roman" w:hAnsi="Times New Roman" w:cs="Times New Roman"/>
                <w:szCs w:val="20"/>
                <w14:ligatures w14:val="none"/>
              </w:rPr>
              <m:t>1</m:t>
            </m:r>
          </m:e>
        </m:d>
      </m:oMath>
    </w:p>
    <w:p w14:paraId="70584505" w14:textId="77777777" w:rsidR="003A2D9E" w:rsidRDefault="003A2D9E" w:rsidP="003A2D9E">
      <w:r>
        <w:t xml:space="preserve">with </w:t>
      </w:r>
      <w:r>
        <w:rPr>
          <w:i/>
        </w:rPr>
        <w:t>C</w:t>
      </w:r>
      <w:r>
        <w:t xml:space="preserve"> = 0.3 and </w:t>
      </w:r>
      <w:r>
        <w:rPr>
          <w:i/>
        </w:rPr>
        <w:t>x</w:t>
      </w:r>
      <w:r>
        <w:t xml:space="preserve"> = 0.02. With 0 </w:t>
      </w:r>
      <w:r>
        <w:fldChar w:fldCharType="begin"/>
      </w:r>
      <w:r>
        <w:instrText>SYMBOL 163 \f "Symbol"</w:instrText>
      </w:r>
      <w:r>
        <w:fldChar w:fldCharType="end"/>
      </w:r>
      <w:r>
        <w:t xml:space="preserve"> </w:t>
      </w:r>
      <w:r>
        <w:rPr>
          <w:i/>
        </w:rPr>
        <w:t>K</w:t>
      </w:r>
      <w:r>
        <w:t xml:space="preserve"> </w:t>
      </w:r>
      <w:r>
        <w:fldChar w:fldCharType="begin"/>
      </w:r>
      <w:r>
        <w:instrText>SYMBOL 163 \f "Symbol"</w:instrText>
      </w:r>
      <w:r>
        <w:fldChar w:fldCharType="end"/>
      </w:r>
      <w:r>
        <w:t xml:space="preserve"> 255, a suitably useful range between 0 and 46.49129 </w:t>
      </w:r>
      <w:proofErr w:type="spellStart"/>
      <w:r>
        <w:t>metres</w:t>
      </w:r>
      <w:proofErr w:type="spellEnd"/>
      <w:r>
        <w:t xml:space="preserve"> is achieved for the high accuracy uncertainty, while still being able to code down to values as small as 6 </w:t>
      </w:r>
      <w:proofErr w:type="spellStart"/>
      <w:proofErr w:type="gramStart"/>
      <w:r>
        <w:t>millimetre</w:t>
      </w:r>
      <w:proofErr w:type="spellEnd"/>
      <w:proofErr w:type="gramEnd"/>
      <w:r>
        <w:t xml:space="preserve">. The uncertainty can then be coded on 8 bits, as the binary encoding of </w:t>
      </w:r>
      <w:r>
        <w:rPr>
          <w:i/>
        </w:rPr>
        <w:t>K</w:t>
      </w:r>
      <w:r>
        <w:t>.</w:t>
      </w:r>
    </w:p>
    <w:p w14:paraId="055CCA43" w14:textId="77777777" w:rsidR="003A2D9E" w:rsidRDefault="003A2D9E" w:rsidP="003A2D9E">
      <w:pPr>
        <w:pStyle w:val="TH"/>
      </w:pPr>
      <w:r>
        <w:t>Table 6.2a-1: Example values for the high accuracy uncertainty function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77"/>
        <w:gridCol w:w="2977"/>
      </w:tblGrid>
      <w:tr w:rsidR="003A2D9E" w14:paraId="49528CD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3C8122E" w14:textId="77777777" w:rsidR="003A2D9E" w:rsidRDefault="003A2D9E" w:rsidP="002354E1">
            <w:pPr>
              <w:pStyle w:val="TAH"/>
              <w:spacing w:after="0"/>
              <w:rPr>
                <w:lang w:eastAsia="en-GB"/>
              </w:rPr>
            </w:pPr>
            <w:r>
              <w:rPr>
                <w:lang w:eastAsia="en-GB"/>
              </w:rPr>
              <w:t xml:space="preserve">Value of </w:t>
            </w:r>
            <w:r>
              <w:rPr>
                <w:i/>
                <w:lang w:eastAsia="en-GB"/>
              </w:rPr>
              <w:t>K</w:t>
            </w:r>
          </w:p>
        </w:tc>
        <w:tc>
          <w:tcPr>
            <w:tcW w:w="2977" w:type="dxa"/>
            <w:tcBorders>
              <w:top w:val="single" w:sz="6" w:space="0" w:color="auto"/>
              <w:left w:val="single" w:sz="6" w:space="0" w:color="auto"/>
              <w:bottom w:val="single" w:sz="6" w:space="0" w:color="auto"/>
              <w:right w:val="single" w:sz="6" w:space="0" w:color="auto"/>
            </w:tcBorders>
            <w:hideMark/>
          </w:tcPr>
          <w:p w14:paraId="3D6E3E23" w14:textId="77777777" w:rsidR="003A2D9E" w:rsidRDefault="003A2D9E" w:rsidP="002354E1">
            <w:pPr>
              <w:pStyle w:val="TAH"/>
              <w:spacing w:after="0"/>
              <w:rPr>
                <w:lang w:eastAsia="en-GB"/>
              </w:rPr>
            </w:pPr>
            <w:r>
              <w:rPr>
                <w:lang w:eastAsia="en-GB"/>
              </w:rPr>
              <w:t>Value of uncertainty</w:t>
            </w:r>
          </w:p>
        </w:tc>
      </w:tr>
      <w:tr w:rsidR="003A2D9E" w14:paraId="1D595499"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EF31DC6" w14:textId="77777777" w:rsidR="003A2D9E" w:rsidRDefault="003A2D9E" w:rsidP="002354E1">
            <w:pPr>
              <w:pStyle w:val="TAC"/>
              <w:spacing w:after="0"/>
              <w:rPr>
                <w:lang w:eastAsia="en-GB"/>
              </w:rPr>
            </w:pPr>
            <w:r>
              <w:rPr>
                <w:lang w:eastAsia="en-GB"/>
              </w:rPr>
              <w:t>0</w:t>
            </w:r>
          </w:p>
        </w:tc>
        <w:tc>
          <w:tcPr>
            <w:tcW w:w="2977" w:type="dxa"/>
            <w:tcBorders>
              <w:top w:val="single" w:sz="6" w:space="0" w:color="auto"/>
              <w:left w:val="single" w:sz="6" w:space="0" w:color="auto"/>
              <w:bottom w:val="single" w:sz="6" w:space="0" w:color="auto"/>
              <w:right w:val="single" w:sz="6" w:space="0" w:color="auto"/>
            </w:tcBorders>
            <w:hideMark/>
          </w:tcPr>
          <w:p w14:paraId="4FCA422B" w14:textId="77777777" w:rsidR="003A2D9E" w:rsidRDefault="003A2D9E" w:rsidP="002354E1">
            <w:pPr>
              <w:pStyle w:val="TAC"/>
              <w:spacing w:after="0"/>
              <w:rPr>
                <w:lang w:eastAsia="en-GB"/>
              </w:rPr>
            </w:pPr>
            <w:r>
              <w:rPr>
                <w:lang w:eastAsia="en-GB"/>
              </w:rPr>
              <w:t>0 m</w:t>
            </w:r>
          </w:p>
        </w:tc>
      </w:tr>
      <w:tr w:rsidR="003A2D9E" w14:paraId="09A90FDE"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70F376B" w14:textId="77777777" w:rsidR="003A2D9E" w:rsidRDefault="003A2D9E" w:rsidP="002354E1">
            <w:pPr>
              <w:pStyle w:val="TAC"/>
              <w:spacing w:after="0"/>
              <w:rPr>
                <w:lang w:eastAsia="en-GB"/>
              </w:rPr>
            </w:pPr>
            <w:r>
              <w:rPr>
                <w:lang w:eastAsia="en-GB"/>
              </w:rPr>
              <w:t>1</w:t>
            </w:r>
          </w:p>
        </w:tc>
        <w:tc>
          <w:tcPr>
            <w:tcW w:w="2977" w:type="dxa"/>
            <w:tcBorders>
              <w:top w:val="single" w:sz="6" w:space="0" w:color="auto"/>
              <w:left w:val="single" w:sz="6" w:space="0" w:color="auto"/>
              <w:bottom w:val="single" w:sz="6" w:space="0" w:color="auto"/>
              <w:right w:val="single" w:sz="6" w:space="0" w:color="auto"/>
            </w:tcBorders>
            <w:hideMark/>
          </w:tcPr>
          <w:p w14:paraId="6DCDC26F" w14:textId="77777777" w:rsidR="003A2D9E" w:rsidRDefault="003A2D9E" w:rsidP="002354E1">
            <w:pPr>
              <w:pStyle w:val="TAC"/>
              <w:spacing w:after="0"/>
              <w:rPr>
                <w:lang w:eastAsia="en-GB"/>
              </w:rPr>
            </w:pPr>
            <w:r>
              <w:rPr>
                <w:lang w:eastAsia="en-GB"/>
              </w:rPr>
              <w:t>0.006 m</w:t>
            </w:r>
          </w:p>
        </w:tc>
      </w:tr>
      <w:tr w:rsidR="003A2D9E" w14:paraId="2B3523C1"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5D26EB9" w14:textId="77777777" w:rsidR="003A2D9E" w:rsidRDefault="003A2D9E" w:rsidP="002354E1">
            <w:pPr>
              <w:pStyle w:val="TAC"/>
              <w:spacing w:after="0"/>
              <w:rPr>
                <w:lang w:eastAsia="en-GB"/>
              </w:rPr>
            </w:pPr>
            <w:r>
              <w:rPr>
                <w:lang w:eastAsia="en-GB"/>
              </w:rPr>
              <w:t>2</w:t>
            </w:r>
          </w:p>
        </w:tc>
        <w:tc>
          <w:tcPr>
            <w:tcW w:w="2977" w:type="dxa"/>
            <w:tcBorders>
              <w:top w:val="single" w:sz="6" w:space="0" w:color="auto"/>
              <w:left w:val="single" w:sz="6" w:space="0" w:color="auto"/>
              <w:bottom w:val="single" w:sz="6" w:space="0" w:color="auto"/>
              <w:right w:val="single" w:sz="6" w:space="0" w:color="auto"/>
            </w:tcBorders>
            <w:hideMark/>
          </w:tcPr>
          <w:p w14:paraId="64EE7616" w14:textId="77777777" w:rsidR="003A2D9E" w:rsidRDefault="003A2D9E" w:rsidP="002354E1">
            <w:pPr>
              <w:pStyle w:val="TAC"/>
              <w:spacing w:after="0"/>
              <w:rPr>
                <w:lang w:eastAsia="en-GB"/>
              </w:rPr>
            </w:pPr>
            <w:r>
              <w:rPr>
                <w:lang w:eastAsia="en-GB"/>
              </w:rPr>
              <w:t>0.01212 m</w:t>
            </w:r>
          </w:p>
        </w:tc>
      </w:tr>
      <w:tr w:rsidR="003A2D9E" w14:paraId="3AC12D24"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0A95CF6"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6C600588" w14:textId="77777777" w:rsidR="003A2D9E" w:rsidRDefault="003A2D9E" w:rsidP="002354E1">
            <w:pPr>
              <w:pStyle w:val="TAC"/>
              <w:spacing w:after="0"/>
              <w:rPr>
                <w:lang w:eastAsia="en-GB"/>
              </w:rPr>
            </w:pPr>
            <w:r>
              <w:rPr>
                <w:lang w:eastAsia="en-GB"/>
              </w:rPr>
              <w:t>-</w:t>
            </w:r>
          </w:p>
        </w:tc>
      </w:tr>
      <w:tr w:rsidR="003A2D9E" w14:paraId="5DDB0DA0"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FED85F0" w14:textId="77777777" w:rsidR="003A2D9E" w:rsidRDefault="003A2D9E" w:rsidP="002354E1">
            <w:pPr>
              <w:pStyle w:val="TAC"/>
              <w:spacing w:after="0"/>
              <w:rPr>
                <w:lang w:eastAsia="en-GB"/>
              </w:rPr>
            </w:pPr>
            <w:r>
              <w:rPr>
                <w:lang w:eastAsia="en-GB"/>
              </w:rPr>
              <w:t>20</w:t>
            </w:r>
          </w:p>
        </w:tc>
        <w:tc>
          <w:tcPr>
            <w:tcW w:w="2977" w:type="dxa"/>
            <w:tcBorders>
              <w:top w:val="single" w:sz="6" w:space="0" w:color="auto"/>
              <w:left w:val="single" w:sz="6" w:space="0" w:color="auto"/>
              <w:bottom w:val="single" w:sz="6" w:space="0" w:color="auto"/>
              <w:right w:val="single" w:sz="6" w:space="0" w:color="auto"/>
            </w:tcBorders>
            <w:hideMark/>
          </w:tcPr>
          <w:p w14:paraId="76380314" w14:textId="77777777" w:rsidR="003A2D9E" w:rsidRDefault="003A2D9E" w:rsidP="002354E1">
            <w:pPr>
              <w:pStyle w:val="TAC"/>
              <w:spacing w:after="0"/>
              <w:rPr>
                <w:lang w:eastAsia="en-GB"/>
              </w:rPr>
            </w:pPr>
            <w:r>
              <w:rPr>
                <w:lang w:eastAsia="en-GB"/>
              </w:rPr>
              <w:t>0.14578 m</w:t>
            </w:r>
          </w:p>
        </w:tc>
      </w:tr>
      <w:tr w:rsidR="003A2D9E" w14:paraId="6303DDE8"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7A69A9A"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0D85D9DE" w14:textId="77777777" w:rsidR="003A2D9E" w:rsidRDefault="003A2D9E" w:rsidP="002354E1">
            <w:pPr>
              <w:pStyle w:val="TAC"/>
              <w:spacing w:after="0"/>
              <w:rPr>
                <w:lang w:eastAsia="en-GB"/>
              </w:rPr>
            </w:pPr>
            <w:r>
              <w:rPr>
                <w:lang w:eastAsia="en-GB"/>
              </w:rPr>
              <w:t>-</w:t>
            </w:r>
          </w:p>
        </w:tc>
      </w:tr>
      <w:tr w:rsidR="003A2D9E" w14:paraId="31A76AA5"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664F954" w14:textId="77777777" w:rsidR="003A2D9E" w:rsidRDefault="003A2D9E" w:rsidP="002354E1">
            <w:pPr>
              <w:pStyle w:val="TAC"/>
              <w:spacing w:after="0"/>
              <w:rPr>
                <w:lang w:eastAsia="en-GB"/>
              </w:rPr>
            </w:pPr>
            <w:r>
              <w:rPr>
                <w:lang w:eastAsia="en-GB"/>
              </w:rPr>
              <w:t>40</w:t>
            </w:r>
          </w:p>
        </w:tc>
        <w:tc>
          <w:tcPr>
            <w:tcW w:w="2977" w:type="dxa"/>
            <w:tcBorders>
              <w:top w:val="single" w:sz="6" w:space="0" w:color="auto"/>
              <w:left w:val="single" w:sz="6" w:space="0" w:color="auto"/>
              <w:bottom w:val="single" w:sz="6" w:space="0" w:color="auto"/>
              <w:right w:val="single" w:sz="6" w:space="0" w:color="auto"/>
            </w:tcBorders>
            <w:hideMark/>
          </w:tcPr>
          <w:p w14:paraId="0ABDE283" w14:textId="77777777" w:rsidR="003A2D9E" w:rsidRDefault="003A2D9E" w:rsidP="002354E1">
            <w:pPr>
              <w:pStyle w:val="TAC"/>
              <w:spacing w:after="0"/>
              <w:rPr>
                <w:lang w:eastAsia="en-GB"/>
              </w:rPr>
            </w:pPr>
            <w:r>
              <w:rPr>
                <w:lang w:eastAsia="en-GB"/>
              </w:rPr>
              <w:t>0.36241 m</w:t>
            </w:r>
          </w:p>
        </w:tc>
      </w:tr>
      <w:tr w:rsidR="003A2D9E" w14:paraId="31A4331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EB31879"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37BEE6AC" w14:textId="77777777" w:rsidR="003A2D9E" w:rsidRDefault="003A2D9E" w:rsidP="002354E1">
            <w:pPr>
              <w:pStyle w:val="TAC"/>
              <w:spacing w:after="0"/>
              <w:rPr>
                <w:lang w:eastAsia="en-GB"/>
              </w:rPr>
            </w:pPr>
            <w:r>
              <w:rPr>
                <w:lang w:eastAsia="en-GB"/>
              </w:rPr>
              <w:t>-</w:t>
            </w:r>
          </w:p>
        </w:tc>
      </w:tr>
      <w:tr w:rsidR="003A2D9E" w14:paraId="7810083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0349EF8D" w14:textId="77777777" w:rsidR="003A2D9E" w:rsidRDefault="003A2D9E" w:rsidP="002354E1">
            <w:pPr>
              <w:pStyle w:val="TAC"/>
              <w:spacing w:after="0"/>
              <w:rPr>
                <w:lang w:eastAsia="en-GB"/>
              </w:rPr>
            </w:pPr>
            <w:r>
              <w:rPr>
                <w:lang w:eastAsia="en-GB"/>
              </w:rPr>
              <w:t>60</w:t>
            </w:r>
          </w:p>
        </w:tc>
        <w:tc>
          <w:tcPr>
            <w:tcW w:w="2977" w:type="dxa"/>
            <w:tcBorders>
              <w:top w:val="single" w:sz="6" w:space="0" w:color="auto"/>
              <w:left w:val="single" w:sz="6" w:space="0" w:color="auto"/>
              <w:bottom w:val="single" w:sz="6" w:space="0" w:color="auto"/>
              <w:right w:val="single" w:sz="6" w:space="0" w:color="auto"/>
            </w:tcBorders>
            <w:hideMark/>
          </w:tcPr>
          <w:p w14:paraId="4677AC0B" w14:textId="77777777" w:rsidR="003A2D9E" w:rsidRDefault="003A2D9E" w:rsidP="002354E1">
            <w:pPr>
              <w:pStyle w:val="TAC"/>
              <w:spacing w:after="0"/>
              <w:rPr>
                <w:lang w:eastAsia="en-GB"/>
              </w:rPr>
            </w:pPr>
            <w:r>
              <w:rPr>
                <w:lang w:eastAsia="en-GB"/>
              </w:rPr>
              <w:t>0.68430 m</w:t>
            </w:r>
          </w:p>
        </w:tc>
      </w:tr>
      <w:tr w:rsidR="003A2D9E" w14:paraId="2344C46A"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A177415"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0CCFE4F" w14:textId="77777777" w:rsidR="003A2D9E" w:rsidRDefault="003A2D9E" w:rsidP="002354E1">
            <w:pPr>
              <w:pStyle w:val="TAC"/>
              <w:spacing w:after="0"/>
              <w:rPr>
                <w:lang w:eastAsia="en-GB"/>
              </w:rPr>
            </w:pPr>
            <w:r>
              <w:rPr>
                <w:lang w:eastAsia="en-GB"/>
              </w:rPr>
              <w:t>-</w:t>
            </w:r>
          </w:p>
        </w:tc>
      </w:tr>
      <w:tr w:rsidR="003A2D9E" w14:paraId="747244A4"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02FD453" w14:textId="77777777" w:rsidR="003A2D9E" w:rsidRDefault="003A2D9E" w:rsidP="002354E1">
            <w:pPr>
              <w:pStyle w:val="TAC"/>
              <w:spacing w:after="0"/>
              <w:rPr>
                <w:lang w:eastAsia="en-GB"/>
              </w:rPr>
            </w:pPr>
            <w:r>
              <w:rPr>
                <w:lang w:eastAsia="en-GB"/>
              </w:rPr>
              <w:t>80</w:t>
            </w:r>
          </w:p>
        </w:tc>
        <w:tc>
          <w:tcPr>
            <w:tcW w:w="2977" w:type="dxa"/>
            <w:tcBorders>
              <w:top w:val="single" w:sz="6" w:space="0" w:color="auto"/>
              <w:left w:val="single" w:sz="6" w:space="0" w:color="auto"/>
              <w:bottom w:val="single" w:sz="6" w:space="0" w:color="auto"/>
              <w:right w:val="single" w:sz="6" w:space="0" w:color="auto"/>
            </w:tcBorders>
            <w:hideMark/>
          </w:tcPr>
          <w:p w14:paraId="65F1485F" w14:textId="77777777" w:rsidR="003A2D9E" w:rsidRDefault="003A2D9E" w:rsidP="002354E1">
            <w:pPr>
              <w:pStyle w:val="TAC"/>
              <w:spacing w:after="0"/>
              <w:rPr>
                <w:lang w:eastAsia="en-GB"/>
              </w:rPr>
            </w:pPr>
            <w:r>
              <w:rPr>
                <w:lang w:eastAsia="en-GB"/>
              </w:rPr>
              <w:t>1.16263 m</w:t>
            </w:r>
          </w:p>
        </w:tc>
      </w:tr>
      <w:tr w:rsidR="003A2D9E" w14:paraId="0E5CD42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EC04981"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1D0B282" w14:textId="77777777" w:rsidR="003A2D9E" w:rsidRDefault="003A2D9E" w:rsidP="002354E1">
            <w:pPr>
              <w:pStyle w:val="TAC"/>
              <w:spacing w:after="0"/>
              <w:rPr>
                <w:lang w:eastAsia="en-GB"/>
              </w:rPr>
            </w:pPr>
            <w:r>
              <w:rPr>
                <w:lang w:eastAsia="en-GB"/>
              </w:rPr>
              <w:t>-</w:t>
            </w:r>
          </w:p>
        </w:tc>
      </w:tr>
      <w:tr w:rsidR="003A2D9E" w14:paraId="6A76FAB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1A42EAF4" w14:textId="77777777" w:rsidR="003A2D9E" w:rsidRDefault="003A2D9E" w:rsidP="002354E1">
            <w:pPr>
              <w:pStyle w:val="TAC"/>
              <w:spacing w:after="0"/>
              <w:rPr>
                <w:lang w:eastAsia="en-GB"/>
              </w:rPr>
            </w:pPr>
            <w:r>
              <w:rPr>
                <w:lang w:eastAsia="en-GB"/>
              </w:rPr>
              <w:t>100</w:t>
            </w:r>
          </w:p>
        </w:tc>
        <w:tc>
          <w:tcPr>
            <w:tcW w:w="2977" w:type="dxa"/>
            <w:tcBorders>
              <w:top w:val="single" w:sz="6" w:space="0" w:color="auto"/>
              <w:left w:val="single" w:sz="6" w:space="0" w:color="auto"/>
              <w:bottom w:val="single" w:sz="6" w:space="0" w:color="auto"/>
              <w:right w:val="single" w:sz="6" w:space="0" w:color="auto"/>
            </w:tcBorders>
            <w:hideMark/>
          </w:tcPr>
          <w:p w14:paraId="143C5AE0" w14:textId="77777777" w:rsidR="003A2D9E" w:rsidRDefault="003A2D9E" w:rsidP="002354E1">
            <w:pPr>
              <w:pStyle w:val="TAC"/>
              <w:spacing w:after="0"/>
              <w:rPr>
                <w:lang w:eastAsia="en-GB"/>
              </w:rPr>
            </w:pPr>
            <w:r>
              <w:rPr>
                <w:lang w:eastAsia="en-GB"/>
              </w:rPr>
              <w:t>1.87339 m</w:t>
            </w:r>
          </w:p>
        </w:tc>
      </w:tr>
      <w:tr w:rsidR="003A2D9E" w14:paraId="3488A87A"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17E5424"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166ED25B" w14:textId="77777777" w:rsidR="003A2D9E" w:rsidRDefault="003A2D9E" w:rsidP="002354E1">
            <w:pPr>
              <w:pStyle w:val="TAC"/>
              <w:spacing w:after="0"/>
              <w:rPr>
                <w:lang w:eastAsia="en-GB"/>
              </w:rPr>
            </w:pPr>
            <w:r>
              <w:rPr>
                <w:lang w:eastAsia="en-GB"/>
              </w:rPr>
              <w:t>-</w:t>
            </w:r>
          </w:p>
        </w:tc>
      </w:tr>
      <w:tr w:rsidR="003A2D9E" w14:paraId="34C79BD8"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79B42BBB" w14:textId="77777777" w:rsidR="003A2D9E" w:rsidRDefault="003A2D9E" w:rsidP="002354E1">
            <w:pPr>
              <w:pStyle w:val="TAC"/>
              <w:spacing w:after="0"/>
              <w:rPr>
                <w:lang w:eastAsia="en-GB"/>
              </w:rPr>
            </w:pPr>
            <w:r>
              <w:rPr>
                <w:lang w:eastAsia="en-GB"/>
              </w:rPr>
              <w:t>120</w:t>
            </w:r>
          </w:p>
        </w:tc>
        <w:tc>
          <w:tcPr>
            <w:tcW w:w="2977" w:type="dxa"/>
            <w:tcBorders>
              <w:top w:val="single" w:sz="6" w:space="0" w:color="auto"/>
              <w:left w:val="single" w:sz="6" w:space="0" w:color="auto"/>
              <w:bottom w:val="single" w:sz="6" w:space="0" w:color="auto"/>
              <w:right w:val="single" w:sz="6" w:space="0" w:color="auto"/>
            </w:tcBorders>
            <w:hideMark/>
          </w:tcPr>
          <w:p w14:paraId="0FFE95DB" w14:textId="77777777" w:rsidR="003A2D9E" w:rsidRDefault="003A2D9E" w:rsidP="002354E1">
            <w:pPr>
              <w:pStyle w:val="TAC"/>
              <w:spacing w:after="0"/>
              <w:rPr>
                <w:lang w:eastAsia="en-GB"/>
              </w:rPr>
            </w:pPr>
            <w:r>
              <w:rPr>
                <w:lang w:eastAsia="en-GB"/>
              </w:rPr>
              <w:t>2.92954 m</w:t>
            </w:r>
          </w:p>
        </w:tc>
      </w:tr>
      <w:tr w:rsidR="003A2D9E" w14:paraId="5CAAE633"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68B28A87"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24794DD0" w14:textId="77777777" w:rsidR="003A2D9E" w:rsidRDefault="003A2D9E" w:rsidP="002354E1">
            <w:pPr>
              <w:pStyle w:val="TAC"/>
              <w:spacing w:after="0"/>
              <w:rPr>
                <w:lang w:eastAsia="en-GB"/>
              </w:rPr>
            </w:pPr>
            <w:r>
              <w:rPr>
                <w:lang w:eastAsia="en-GB"/>
              </w:rPr>
              <w:t>-</w:t>
            </w:r>
          </w:p>
        </w:tc>
      </w:tr>
      <w:tr w:rsidR="003A2D9E" w14:paraId="15E07A1F"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234E10DD" w14:textId="77777777" w:rsidR="003A2D9E" w:rsidRDefault="003A2D9E" w:rsidP="002354E1">
            <w:pPr>
              <w:pStyle w:val="TAC"/>
              <w:spacing w:after="0"/>
              <w:rPr>
                <w:lang w:eastAsia="en-GB"/>
              </w:rPr>
            </w:pPr>
            <w:r>
              <w:rPr>
                <w:lang w:eastAsia="en-GB"/>
              </w:rPr>
              <w:t>127</w:t>
            </w:r>
          </w:p>
        </w:tc>
        <w:tc>
          <w:tcPr>
            <w:tcW w:w="2977" w:type="dxa"/>
            <w:tcBorders>
              <w:top w:val="single" w:sz="6" w:space="0" w:color="auto"/>
              <w:left w:val="single" w:sz="6" w:space="0" w:color="auto"/>
              <w:bottom w:val="single" w:sz="6" w:space="0" w:color="auto"/>
              <w:right w:val="single" w:sz="6" w:space="0" w:color="auto"/>
            </w:tcBorders>
            <w:hideMark/>
          </w:tcPr>
          <w:p w14:paraId="04E9BC11" w14:textId="77777777" w:rsidR="003A2D9E" w:rsidRDefault="003A2D9E" w:rsidP="002354E1">
            <w:pPr>
              <w:pStyle w:val="TAC"/>
              <w:spacing w:after="0"/>
              <w:rPr>
                <w:lang w:eastAsia="en-GB"/>
              </w:rPr>
            </w:pPr>
            <w:r>
              <w:rPr>
                <w:lang w:eastAsia="en-GB"/>
              </w:rPr>
              <w:t>3.40973 m</w:t>
            </w:r>
          </w:p>
        </w:tc>
      </w:tr>
      <w:tr w:rsidR="003A2D9E" w14:paraId="1B8E1E6B"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5FB9B59A" w14:textId="77777777" w:rsidR="003A2D9E" w:rsidRDefault="003A2D9E" w:rsidP="002354E1">
            <w:pPr>
              <w:pStyle w:val="TAC"/>
              <w:spacing w:after="0"/>
              <w:rPr>
                <w:lang w:eastAsia="en-GB"/>
              </w:rPr>
            </w:pPr>
            <w:r>
              <w:rPr>
                <w:lang w:eastAsia="en-GB"/>
              </w:rPr>
              <w:t>-</w:t>
            </w:r>
          </w:p>
        </w:tc>
        <w:tc>
          <w:tcPr>
            <w:tcW w:w="2977" w:type="dxa"/>
            <w:tcBorders>
              <w:top w:val="single" w:sz="6" w:space="0" w:color="auto"/>
              <w:left w:val="single" w:sz="6" w:space="0" w:color="auto"/>
              <w:bottom w:val="single" w:sz="6" w:space="0" w:color="auto"/>
              <w:right w:val="single" w:sz="6" w:space="0" w:color="auto"/>
            </w:tcBorders>
            <w:hideMark/>
          </w:tcPr>
          <w:p w14:paraId="7278B394" w14:textId="77777777" w:rsidR="003A2D9E" w:rsidRDefault="003A2D9E" w:rsidP="002354E1">
            <w:pPr>
              <w:pStyle w:val="TAC"/>
              <w:spacing w:after="0"/>
              <w:rPr>
                <w:lang w:eastAsia="en-GB"/>
              </w:rPr>
            </w:pPr>
            <w:r>
              <w:rPr>
                <w:lang w:eastAsia="en-GB"/>
              </w:rPr>
              <w:t>-</w:t>
            </w:r>
          </w:p>
        </w:tc>
      </w:tr>
      <w:tr w:rsidR="003A2D9E" w14:paraId="3D908B31" w14:textId="77777777" w:rsidTr="003A2D9E">
        <w:trPr>
          <w:cantSplit/>
          <w:jc w:val="center"/>
        </w:trPr>
        <w:tc>
          <w:tcPr>
            <w:tcW w:w="2977" w:type="dxa"/>
            <w:tcBorders>
              <w:top w:val="single" w:sz="6" w:space="0" w:color="auto"/>
              <w:left w:val="single" w:sz="6" w:space="0" w:color="auto"/>
              <w:bottom w:val="single" w:sz="6" w:space="0" w:color="auto"/>
              <w:right w:val="single" w:sz="6" w:space="0" w:color="auto"/>
            </w:tcBorders>
            <w:hideMark/>
          </w:tcPr>
          <w:p w14:paraId="3631A6D8" w14:textId="77777777" w:rsidR="003A2D9E" w:rsidRDefault="003A2D9E" w:rsidP="002354E1">
            <w:pPr>
              <w:pStyle w:val="TAC"/>
              <w:spacing w:after="0"/>
              <w:rPr>
                <w:lang w:eastAsia="en-GB"/>
              </w:rPr>
            </w:pPr>
            <w:r>
              <w:rPr>
                <w:lang w:eastAsia="en-GB"/>
              </w:rPr>
              <w:t>255</w:t>
            </w:r>
          </w:p>
        </w:tc>
        <w:tc>
          <w:tcPr>
            <w:tcW w:w="2977" w:type="dxa"/>
            <w:tcBorders>
              <w:top w:val="single" w:sz="6" w:space="0" w:color="auto"/>
              <w:left w:val="single" w:sz="6" w:space="0" w:color="auto"/>
              <w:bottom w:val="single" w:sz="6" w:space="0" w:color="auto"/>
              <w:right w:val="single" w:sz="6" w:space="0" w:color="auto"/>
            </w:tcBorders>
            <w:hideMark/>
          </w:tcPr>
          <w:p w14:paraId="29DA7A3F" w14:textId="77777777" w:rsidR="003A2D9E" w:rsidRDefault="003A2D9E" w:rsidP="002354E1">
            <w:pPr>
              <w:pStyle w:val="TAC"/>
              <w:spacing w:after="0"/>
              <w:rPr>
                <w:lang w:eastAsia="en-GB"/>
              </w:rPr>
            </w:pPr>
            <w:r>
              <w:rPr>
                <w:lang w:eastAsia="en-GB"/>
              </w:rPr>
              <w:t>46.49129 m</w:t>
            </w:r>
          </w:p>
        </w:tc>
      </w:tr>
    </w:tbl>
    <w:p w14:paraId="6D38BB81" w14:textId="77777777" w:rsidR="003A2D9E" w:rsidRDefault="003A2D9E" w:rsidP="003A2D9E"/>
    <w:p w14:paraId="21B9EE4B" w14:textId="77777777" w:rsidR="003A2D9E" w:rsidRPr="003A2D9E" w:rsidRDefault="003A2D9E" w:rsidP="003A2D9E">
      <w:bookmarkStart w:id="2527" w:name="_Toc524940653"/>
      <w:bookmarkStart w:id="2528" w:name="_Toc67980275"/>
      <w:bookmarkStart w:id="2529" w:name="_Toc91133095"/>
      <w:r w:rsidRPr="003A2D9E">
        <w:t>6.5</w:t>
      </w:r>
      <w:r w:rsidRPr="003A2D9E">
        <w:tab/>
        <w:t>Confidence</w:t>
      </w:r>
      <w:bookmarkEnd w:id="2527"/>
      <w:bookmarkEnd w:id="2528"/>
      <w:bookmarkEnd w:id="2529"/>
    </w:p>
    <w:p w14:paraId="74F768BE" w14:textId="77777777" w:rsidR="003A2D9E" w:rsidRPr="003A2D9E" w:rsidRDefault="003A2D9E" w:rsidP="003A2D9E">
      <w:r w:rsidRPr="003A2D9E">
        <w:t xml:space="preserve">The confidence by which the position of a target entity is known to be within the shape description, (expressed as a percentage) is directly mapped from the </w:t>
      </w:r>
      <w:proofErr w:type="gramStart"/>
      <w:r w:rsidRPr="003A2D9E">
        <w:t>7 bit</w:t>
      </w:r>
      <w:proofErr w:type="gramEnd"/>
      <w:r w:rsidRPr="003A2D9E">
        <w:t xml:space="preserve"> binary number </w:t>
      </w:r>
      <w:r w:rsidRPr="003A2D9E">
        <w:rPr>
          <w:i/>
        </w:rPr>
        <w:t>K</w:t>
      </w:r>
      <w:r w:rsidRPr="003A2D9E">
        <w:t xml:space="preserve">, except for </w:t>
      </w:r>
      <w:r w:rsidRPr="003A2D9E">
        <w:rPr>
          <w:i/>
        </w:rPr>
        <w:t>K</w:t>
      </w:r>
      <w:r w:rsidRPr="003A2D9E">
        <w:t xml:space="preserve">=0 which is used to indicate 'no information', and 100 &lt; </w:t>
      </w:r>
      <w:r w:rsidRPr="003A2D9E">
        <w:rPr>
          <w:i/>
        </w:rPr>
        <w:t>K</w:t>
      </w:r>
      <w:r w:rsidRPr="003A2D9E">
        <w:t xml:space="preserve"> ≤128 which should not be used but may be interpreted as "no information" if received.</w:t>
      </w:r>
    </w:p>
    <w:p w14:paraId="5EDDC471" w14:textId="77777777" w:rsidR="00FD258E" w:rsidRDefault="00FD258E" w:rsidP="00024894">
      <w:pPr>
        <w:pStyle w:val="BodyText"/>
      </w:pPr>
    </w:p>
    <w:p w14:paraId="55F051B6" w14:textId="77EB1121" w:rsidR="00D35F36" w:rsidRDefault="00D35F36" w:rsidP="00024894">
      <w:pPr>
        <w:pStyle w:val="Heading1"/>
      </w:pPr>
      <w:r>
        <w:t xml:space="preserve"> </w:t>
      </w:r>
      <w:bookmarkStart w:id="2530" w:name="_Toc189845055"/>
      <w:r w:rsidRPr="00D35F36">
        <w:t xml:space="preserve">Appendix </w:t>
      </w:r>
      <w:r>
        <w:t xml:space="preserve">B. </w:t>
      </w:r>
      <w:r>
        <w:rPr>
          <w:lang w:val="en-US"/>
        </w:rPr>
        <w:t>Model performance monitoring approaches</w:t>
      </w:r>
      <w:bookmarkEnd w:id="2530"/>
    </w:p>
    <w:p w14:paraId="5708F473" w14:textId="77777777" w:rsidR="00D35F36" w:rsidRDefault="00D35F36" w:rsidP="00D35F36">
      <w:r>
        <w:t>In the following, we review three highly effective performance monitoring solutions, which are applicable to Case 1 and Case 3a.</w:t>
      </w:r>
    </w:p>
    <w:p w14:paraId="0D96C456" w14:textId="248571F5" w:rsidR="00D35F36" w:rsidRDefault="00D35F36" w:rsidP="00D35F36">
      <w:r>
        <w:t xml:space="preserve">Case 1 is </w:t>
      </w:r>
      <w:r w:rsidRPr="00CB5E00">
        <w:t>UE-based positioning with UE-side model</w:t>
      </w:r>
      <w:r w:rsidRPr="00343346">
        <w:t>, direct AI/ML positioning</w:t>
      </w:r>
      <w:r>
        <w:t xml:space="preserve">, where an AI/ML model taking multiple measurement inputs to produce an estimate of the UE position, as illustrated in </w:t>
      </w:r>
      <w:r w:rsidR="00E70DE4">
        <w:fldChar w:fldCharType="begin"/>
      </w:r>
      <w:r w:rsidR="00E70DE4">
        <w:instrText xml:space="preserve"> REF _Ref164865995 </w:instrText>
      </w:r>
      <w:r w:rsidR="00E70DE4">
        <w:fldChar w:fldCharType="separate"/>
      </w:r>
      <w:r w:rsidR="00C713E4" w:rsidRPr="00E215F0">
        <w:t xml:space="preserve">Figure </w:t>
      </w:r>
      <w:r w:rsidR="00C713E4">
        <w:rPr>
          <w:noProof/>
        </w:rPr>
        <w:t>5</w:t>
      </w:r>
      <w:r w:rsidR="00E70DE4">
        <w:rPr>
          <w:noProof/>
        </w:rPr>
        <w:fldChar w:fldCharType="end"/>
      </w:r>
      <w:r>
        <w:t>(a).</w:t>
      </w:r>
    </w:p>
    <w:p w14:paraId="6BF6C193" w14:textId="3F586D9B" w:rsidR="00D35F36" w:rsidRPr="008A50F0" w:rsidRDefault="00D35F36" w:rsidP="00D35F36">
      <w:r>
        <w:t xml:space="preserve">Case 3a </w:t>
      </w:r>
      <w:r w:rsidRPr="00343346">
        <w:t xml:space="preserve">NG-RAN node assisted positioning with </w:t>
      </w:r>
      <w:proofErr w:type="spellStart"/>
      <w:r w:rsidRPr="00343346">
        <w:t>gNB</w:t>
      </w:r>
      <w:proofErr w:type="spellEnd"/>
      <w:r w:rsidRPr="00343346">
        <w:t>-side model, AI/ML assisted positioning</w:t>
      </w:r>
      <w:r>
        <w:t xml:space="preserve">. An AI/ML model taking multiple measurement inputs to produce multiple model outputs such as the </w:t>
      </w:r>
      <w:proofErr w:type="spellStart"/>
      <w:r>
        <w:t>ToAs</w:t>
      </w:r>
      <w:proofErr w:type="spellEnd"/>
      <w:r>
        <w:t xml:space="preserve"> to multiple TRPs. The </w:t>
      </w:r>
      <w:proofErr w:type="spellStart"/>
      <w:r>
        <w:t>ToAs</w:t>
      </w:r>
      <w:proofErr w:type="spellEnd"/>
      <w:r>
        <w:t xml:space="preserve"> can then further processed to produce an estimate of the UE position using, for example, conventional triangulation optimization. This is illustrated in </w:t>
      </w:r>
      <w:r w:rsidR="00E70DE4">
        <w:fldChar w:fldCharType="begin"/>
      </w:r>
      <w:r w:rsidR="00E70DE4">
        <w:instrText xml:space="preserve"> REF _Ref164865995 </w:instrText>
      </w:r>
      <w:r w:rsidR="00E70DE4">
        <w:fldChar w:fldCharType="separate"/>
      </w:r>
      <w:r w:rsidR="00C713E4" w:rsidRPr="00E215F0">
        <w:t xml:space="preserve">Figure </w:t>
      </w:r>
      <w:r w:rsidR="00C713E4">
        <w:rPr>
          <w:noProof/>
        </w:rPr>
        <w:t>5</w:t>
      </w:r>
      <w:r w:rsidR="00E70DE4">
        <w:rPr>
          <w:noProof/>
        </w:rPr>
        <w:fldChar w:fldCharType="end"/>
      </w:r>
      <w:r>
        <w:t>(b).</w:t>
      </w:r>
    </w:p>
    <w:p w14:paraId="746D164A" w14:textId="77777777" w:rsidR="00D35F36" w:rsidRDefault="00D35F36" w:rsidP="00D35F36"/>
    <w:p w14:paraId="17FD18AF" w14:textId="77777777" w:rsidR="00D35F36" w:rsidRDefault="00D35F36" w:rsidP="00D35F36">
      <w:pPr>
        <w:ind w:firstLine="567"/>
        <w:jc w:val="center"/>
      </w:pPr>
      <w:r>
        <w:rPr>
          <w:noProof/>
        </w:rPr>
        <w:drawing>
          <wp:inline distT="0" distB="0" distL="0" distR="0" wp14:anchorId="0910EB32" wp14:editId="491520DF">
            <wp:extent cx="1901952" cy="182880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1952" cy="1828800"/>
                    </a:xfrm>
                    <a:prstGeom prst="rect">
                      <a:avLst/>
                    </a:prstGeom>
                    <a:noFill/>
                  </pic:spPr>
                </pic:pic>
              </a:graphicData>
            </a:graphic>
          </wp:inline>
        </w:drawing>
      </w:r>
      <w:r>
        <w:tab/>
        <w:t xml:space="preserve">  </w:t>
      </w:r>
      <w:r>
        <w:tab/>
      </w:r>
      <w:r>
        <w:tab/>
      </w:r>
      <w:r>
        <w:rPr>
          <w:noProof/>
        </w:rPr>
        <w:drawing>
          <wp:inline distT="0" distB="0" distL="0" distR="0" wp14:anchorId="5F948BC0" wp14:editId="3EB1E118">
            <wp:extent cx="3081528" cy="18288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81528" cy="1828800"/>
                    </a:xfrm>
                    <a:prstGeom prst="rect">
                      <a:avLst/>
                    </a:prstGeom>
                    <a:noFill/>
                  </pic:spPr>
                </pic:pic>
              </a:graphicData>
            </a:graphic>
          </wp:inline>
        </w:drawing>
      </w:r>
    </w:p>
    <w:p w14:paraId="63A8B888" w14:textId="77777777" w:rsidR="00D35F36" w:rsidRDefault="00D35F36" w:rsidP="00D35F36">
      <w:pPr>
        <w:jc w:val="center"/>
      </w:pPr>
      <w:r>
        <w:t>(a) direct AI/ML positioning</w:t>
      </w:r>
      <w:r>
        <w:tab/>
      </w:r>
      <w:r>
        <w:tab/>
      </w:r>
      <w:r>
        <w:tab/>
      </w:r>
      <w:r>
        <w:tab/>
        <w:t xml:space="preserve">(b) </w:t>
      </w:r>
      <w:r w:rsidRPr="00F767BE">
        <w:t>AI/ML assisted positioning</w:t>
      </w:r>
      <w:r w:rsidRPr="00F767BE" w:rsidDel="00F767BE">
        <w:t xml:space="preserve"> </w:t>
      </w:r>
    </w:p>
    <w:p w14:paraId="5ABC13C5" w14:textId="10C1A672" w:rsidR="00D35F36" w:rsidRPr="00E215F0" w:rsidRDefault="00D35F36" w:rsidP="00D35F36">
      <w:pPr>
        <w:pStyle w:val="Caption"/>
        <w:jc w:val="center"/>
      </w:pPr>
      <w:bookmarkStart w:id="2531" w:name="_Ref164865995"/>
      <w:r w:rsidRPr="00E215F0">
        <w:t xml:space="preserve">Figure </w:t>
      </w:r>
      <w:r w:rsidR="00E70DE4">
        <w:fldChar w:fldCharType="begin"/>
      </w:r>
      <w:r w:rsidR="00E70DE4">
        <w:instrText xml:space="preserve"> SEQ Figure \* ARABIC </w:instrText>
      </w:r>
      <w:r w:rsidR="00E70DE4">
        <w:fldChar w:fldCharType="separate"/>
      </w:r>
      <w:r w:rsidR="00C713E4">
        <w:rPr>
          <w:noProof/>
        </w:rPr>
        <w:t>5</w:t>
      </w:r>
      <w:r w:rsidR="00E70DE4">
        <w:rPr>
          <w:noProof/>
        </w:rPr>
        <w:fldChar w:fldCharType="end"/>
      </w:r>
      <w:bookmarkEnd w:id="2531"/>
      <w:r w:rsidRPr="00E215F0">
        <w:t>.</w:t>
      </w:r>
      <w:r>
        <w:t xml:space="preserve"> Two possible implementations of Case 1 </w:t>
      </w:r>
      <w:r w:rsidRPr="000607CA">
        <w:rPr>
          <w:lang w:eastAsia="ja-JP"/>
        </w:rPr>
        <w:t>UE-based positioning with UE-side model</w:t>
      </w:r>
      <w:r>
        <w:rPr>
          <w:lang w:eastAsia="ja-JP"/>
        </w:rPr>
        <w:t>.</w:t>
      </w:r>
    </w:p>
    <w:p w14:paraId="7C4F48A6" w14:textId="77777777" w:rsidR="00D35F36" w:rsidRDefault="00D35F36" w:rsidP="00D35F36"/>
    <w:p w14:paraId="08A31194" w14:textId="621889BD" w:rsidR="00D35F36" w:rsidRDefault="00D35F36" w:rsidP="00D35F36">
      <w:r>
        <w:t xml:space="preserve">In Section </w:t>
      </w:r>
      <w:r>
        <w:fldChar w:fldCharType="begin"/>
      </w:r>
      <w:r>
        <w:instrText xml:space="preserve"> REF _Ref164864179 \r \h </w:instrText>
      </w:r>
      <w:r>
        <w:fldChar w:fldCharType="separate"/>
      </w:r>
      <w:r w:rsidR="00C713E4">
        <w:t>11.1.1</w:t>
      </w:r>
      <w:r>
        <w:fldChar w:fldCharType="end"/>
      </w:r>
      <w:r>
        <w:t xml:space="preserve"> (label-based) and </w:t>
      </w:r>
      <w:r>
        <w:fldChar w:fldCharType="begin"/>
      </w:r>
      <w:r>
        <w:instrText xml:space="preserve"> REF _Ref164864188 \r \h </w:instrText>
      </w:r>
      <w:r>
        <w:fldChar w:fldCharType="separate"/>
      </w:r>
      <w:r w:rsidR="00C713E4">
        <w:t>11.1.3</w:t>
      </w:r>
      <w:r>
        <w:fldChar w:fldCharType="end"/>
      </w:r>
      <w:r>
        <w:t xml:space="preserve"> (label-free), we provide two effective performance monitoring methods which can be applied for both the direct positioning (e.g., Case 1) and the assisted positioning (e.g., Case 3a). In Section </w:t>
      </w:r>
      <w:r>
        <w:fldChar w:fldCharType="begin"/>
      </w:r>
      <w:r>
        <w:instrText xml:space="preserve"> REF _Ref164864197 \r \h </w:instrText>
      </w:r>
      <w:r>
        <w:fldChar w:fldCharType="separate"/>
      </w:r>
      <w:r w:rsidR="00C713E4">
        <w:t>11.1.2</w:t>
      </w:r>
      <w:r>
        <w:fldChar w:fldCharType="end"/>
      </w:r>
      <w:r>
        <w:t xml:space="preserve">, we provide an effective label-based performance monitoring for assisted positioning (e.g., Case 3a). The discussion shows that self-contained performance monitoring is possible for both Case 1 and Case 3a, with either (a) label-free monitoring methods or (b) label-based monitoring methods with certain label related information generated by the model inference entity itself. </w:t>
      </w:r>
    </w:p>
    <w:p w14:paraId="72E6053F" w14:textId="271E8105" w:rsidR="00D35F36" w:rsidRDefault="00D35F36" w:rsidP="00D35F36">
      <w:r>
        <w:t xml:space="preserve">Specific to Case 1, the method in Section </w:t>
      </w:r>
      <w:r>
        <w:fldChar w:fldCharType="begin"/>
      </w:r>
      <w:r>
        <w:instrText xml:space="preserve"> REF _Ref164864179 \r \h </w:instrText>
      </w:r>
      <w:r>
        <w:fldChar w:fldCharType="separate"/>
      </w:r>
      <w:r w:rsidR="00C713E4">
        <w:t>11.1.1</w:t>
      </w:r>
      <w:r>
        <w:fldChar w:fldCharType="end"/>
      </w:r>
      <w:r>
        <w:t xml:space="preserve"> is an example of target UE perform label-based monitoring without label related info from other entities; the method in Section </w:t>
      </w:r>
      <w:r>
        <w:fldChar w:fldCharType="begin"/>
      </w:r>
      <w:r>
        <w:instrText xml:space="preserve"> REF _Ref164864197 \r \h </w:instrText>
      </w:r>
      <w:r>
        <w:fldChar w:fldCharType="separate"/>
      </w:r>
      <w:r w:rsidR="00C713E4">
        <w:t>11.1.2</w:t>
      </w:r>
      <w:r>
        <w:fldChar w:fldCharType="end"/>
      </w:r>
      <w:r>
        <w:t xml:space="preserve"> is an example of label-free monitoring. From the discussion, we can conclude the following for Case 1:</w:t>
      </w:r>
    </w:p>
    <w:p w14:paraId="0A39DED4" w14:textId="77777777" w:rsidR="00D35F36" w:rsidRPr="00882E17" w:rsidRDefault="00D35F36" w:rsidP="00D35F36">
      <w:pPr>
        <w:ind w:left="567"/>
      </w:pPr>
      <w:r>
        <w:t>Self-contained performance monitoring solutions for Case 1 have been shown to achieve high effectiveness in AI/ML model performance assessment. These performance results are to be used as baselines to evaluate the complexity vs added benefits tradeoff for the label-based performance monitoring proposals under consideration in RAN1.</w:t>
      </w:r>
    </w:p>
    <w:p w14:paraId="69261A4B" w14:textId="77777777" w:rsidR="00D35F36" w:rsidRDefault="00D35F36" w:rsidP="00D35F36">
      <w:pPr>
        <w:pStyle w:val="Heading3"/>
      </w:pPr>
      <w:r>
        <w:tab/>
      </w:r>
      <w:bookmarkStart w:id="2532" w:name="_Ref164864179"/>
      <w:bookmarkStart w:id="2533" w:name="_Toc165991014"/>
      <w:bookmarkStart w:id="2534" w:name="_Ref166192742"/>
      <w:bookmarkStart w:id="2535" w:name="_Ref166232055"/>
      <w:bookmarkStart w:id="2536" w:name="_Ref166248755"/>
      <w:bookmarkStart w:id="2537" w:name="_Toc189845056"/>
      <w:r>
        <w:rPr>
          <w:lang w:val="en-US"/>
        </w:rPr>
        <w:t>M</w:t>
      </w:r>
      <w:r w:rsidRPr="76681F58">
        <w:rPr>
          <w:lang w:val="en-US"/>
        </w:rPr>
        <w:t>onitoring approach 1</w:t>
      </w:r>
      <w:r>
        <w:rPr>
          <w:lang w:val="en-US"/>
        </w:rPr>
        <w:t xml:space="preserve"> (Label-based)</w:t>
      </w:r>
      <w:r w:rsidRPr="76681F58">
        <w:rPr>
          <w:lang w:val="en-US"/>
        </w:rPr>
        <w:t xml:space="preserve">: Opportunistic </w:t>
      </w:r>
      <w:proofErr w:type="spellStart"/>
      <w:r w:rsidRPr="76681F58">
        <w:rPr>
          <w:lang w:val="en-US"/>
        </w:rPr>
        <w:t>LoS</w:t>
      </w:r>
      <w:proofErr w:type="spellEnd"/>
      <w:r w:rsidRPr="76681F58">
        <w:rPr>
          <w:lang w:val="en-US"/>
        </w:rPr>
        <w:t xml:space="preserve"> links</w:t>
      </w:r>
      <w:bookmarkEnd w:id="2532"/>
      <w:bookmarkEnd w:id="2533"/>
      <w:bookmarkEnd w:id="2534"/>
      <w:bookmarkEnd w:id="2535"/>
      <w:bookmarkEnd w:id="2536"/>
      <w:bookmarkEnd w:id="2537"/>
    </w:p>
    <w:p w14:paraId="75CBA0AF" w14:textId="3ABF6A22" w:rsidR="00D35F36" w:rsidRPr="00E215F0" w:rsidRDefault="00D35F36" w:rsidP="00D35F36">
      <w:r w:rsidRPr="00E215F0">
        <w:t xml:space="preserve">In a cluttered environment, there is often a low probability of line-of-sight for a radio link between a UE and a TRP. For example, for </w:t>
      </w:r>
      <w:proofErr w:type="spellStart"/>
      <w:r w:rsidRPr="00E215F0">
        <w:t>InF</w:t>
      </w:r>
      <w:proofErr w:type="spellEnd"/>
      <w:r w:rsidRPr="00E215F0">
        <w:t xml:space="preserve">-DH environment, </w:t>
      </w:r>
      <w:r w:rsidR="00E70DE4">
        <w:fldChar w:fldCharType="begin"/>
      </w:r>
      <w:r w:rsidR="00E70DE4">
        <w:instrText xml:space="preserve"> REF _Ref166241349 </w:instrText>
      </w:r>
      <w:r w:rsidR="00E70DE4">
        <w:fldChar w:fldCharType="separate"/>
      </w:r>
      <w:r w:rsidR="00C713E4" w:rsidRPr="00E215F0">
        <w:t xml:space="preserve">Table </w:t>
      </w:r>
      <w:r w:rsidR="00C713E4">
        <w:rPr>
          <w:noProof/>
        </w:rPr>
        <w:t>9</w:t>
      </w:r>
      <w:r w:rsidR="00E70DE4">
        <w:rPr>
          <w:noProof/>
        </w:rPr>
        <w:fldChar w:fldCharType="end"/>
      </w:r>
      <w:r w:rsidRPr="00E215F0">
        <w:t xml:space="preserve"> shows the </w:t>
      </w:r>
      <w:proofErr w:type="spellStart"/>
      <w:r w:rsidRPr="00E215F0">
        <w:t>LoS</w:t>
      </w:r>
      <w:proofErr w:type="spellEnd"/>
      <w:r w:rsidRPr="00E215F0">
        <w:t xml:space="preserve"> probabilities of a radio link between TRP and UE when assuming different </w:t>
      </w:r>
      <w:proofErr w:type="spellStart"/>
      <w:r w:rsidRPr="00E215F0">
        <w:t>InF</w:t>
      </w:r>
      <w:proofErr w:type="spellEnd"/>
      <w:r w:rsidRPr="00E215F0">
        <w:t xml:space="preserve">-DH clutter parameter settings. It is observed that the </w:t>
      </w:r>
      <w:proofErr w:type="spellStart"/>
      <w:r w:rsidRPr="00E215F0">
        <w:t>LoS</w:t>
      </w:r>
      <w:proofErr w:type="spellEnd"/>
      <w:r w:rsidRPr="00E215F0">
        <w:t xml:space="preserve"> probability </w:t>
      </w:r>
      <w:r>
        <w:t xml:space="preserve">of a UE-TRP link </w:t>
      </w:r>
      <w:r w:rsidRPr="00E215F0">
        <w:t xml:space="preserve">ranges from 44.9% in a mildly cluttered environment to only 0.8% in a heavily cluttered environment. For </w:t>
      </w:r>
      <w:proofErr w:type="spellStart"/>
      <w:r w:rsidRPr="00E215F0">
        <w:t>InF</w:t>
      </w:r>
      <w:proofErr w:type="spellEnd"/>
      <w:r w:rsidRPr="00E215F0">
        <w:t xml:space="preserve">-DH with clutter parameter {60%, 6m, 2m}, line-of-sight links are very rare (probability=0.8%) and this is the reason why conventional positioning methods fail. </w:t>
      </w:r>
    </w:p>
    <w:p w14:paraId="1FE059EE" w14:textId="62A7BD7D" w:rsidR="00D35F36" w:rsidRPr="00E215F0" w:rsidRDefault="00D35F36" w:rsidP="00D35F36">
      <w:pPr>
        <w:pStyle w:val="Caption"/>
        <w:keepNext/>
        <w:jc w:val="center"/>
        <w:rPr>
          <w:lang w:eastAsia="ja-JP"/>
        </w:rPr>
      </w:pPr>
      <w:bookmarkStart w:id="2538" w:name="_Ref166241349"/>
      <w:r w:rsidRPr="00E215F0">
        <w:t xml:space="preserve">Table </w:t>
      </w:r>
      <w:r w:rsidR="00E70DE4">
        <w:fldChar w:fldCharType="begin"/>
      </w:r>
      <w:r w:rsidR="00E70DE4">
        <w:instrText xml:space="preserve"> SEQ Table \* ARABIC </w:instrText>
      </w:r>
      <w:r w:rsidR="00E70DE4">
        <w:fldChar w:fldCharType="separate"/>
      </w:r>
      <w:r w:rsidR="00C713E4">
        <w:rPr>
          <w:noProof/>
        </w:rPr>
        <w:t>9</w:t>
      </w:r>
      <w:r w:rsidR="00E70DE4">
        <w:rPr>
          <w:noProof/>
        </w:rPr>
        <w:fldChar w:fldCharType="end"/>
      </w:r>
      <w:bookmarkEnd w:id="2538"/>
      <w:r w:rsidRPr="00E215F0">
        <w:t xml:space="preserve">. </w:t>
      </w:r>
      <w:proofErr w:type="spellStart"/>
      <w:r w:rsidRPr="00E215F0">
        <w:t>LoS</w:t>
      </w:r>
      <w:proofErr w:type="spellEnd"/>
      <w:r w:rsidRPr="00E215F0">
        <w:t xml:space="preserve"> probabilities of a radio link between TRP and UE when assuming different </w:t>
      </w:r>
      <w:proofErr w:type="spellStart"/>
      <w:r w:rsidRPr="00E215F0">
        <w:t>InF</w:t>
      </w:r>
      <w:proofErr w:type="spellEnd"/>
      <w:r w:rsidRPr="00E215F0">
        <w:t>-DH clutter parameter settings.</w:t>
      </w:r>
    </w:p>
    <w:tbl>
      <w:tblPr>
        <w:tblStyle w:val="TableGrid"/>
        <w:tblW w:w="6840" w:type="dxa"/>
        <w:tblInd w:w="1525" w:type="dxa"/>
        <w:tblLook w:val="04A0" w:firstRow="1" w:lastRow="0" w:firstColumn="1" w:lastColumn="0" w:noHBand="0" w:noVBand="1"/>
      </w:tblPr>
      <w:tblGrid>
        <w:gridCol w:w="3645"/>
        <w:gridCol w:w="3195"/>
      </w:tblGrid>
      <w:tr w:rsidR="00D35F36" w:rsidRPr="00E215F0" w14:paraId="03967EC9" w14:textId="77777777" w:rsidTr="00500110">
        <w:tc>
          <w:tcPr>
            <w:tcW w:w="3645" w:type="dxa"/>
            <w:tcBorders>
              <w:bottom w:val="double" w:sz="4" w:space="0" w:color="auto"/>
            </w:tcBorders>
            <w:vAlign w:val="center"/>
          </w:tcPr>
          <w:p w14:paraId="7CE6B8C7" w14:textId="77777777" w:rsidR="00D35F36" w:rsidRPr="00FC36A8" w:rsidRDefault="00D35F36" w:rsidP="00500110">
            <w:pPr>
              <w:spacing w:before="60" w:after="60"/>
              <w:jc w:val="center"/>
              <w:rPr>
                <w:sz w:val="20"/>
                <w:szCs w:val="20"/>
              </w:rPr>
            </w:pPr>
            <w:r w:rsidRPr="00FC36A8">
              <w:rPr>
                <w:sz w:val="20"/>
                <w:szCs w:val="20"/>
              </w:rPr>
              <w:t>Environment clutter parameter setting</w:t>
            </w:r>
          </w:p>
        </w:tc>
        <w:tc>
          <w:tcPr>
            <w:tcW w:w="3195" w:type="dxa"/>
            <w:tcBorders>
              <w:bottom w:val="double" w:sz="4" w:space="0" w:color="auto"/>
            </w:tcBorders>
            <w:vAlign w:val="center"/>
          </w:tcPr>
          <w:p w14:paraId="3A4BA8C6" w14:textId="77777777" w:rsidR="00D35F36" w:rsidRPr="00FC36A8" w:rsidRDefault="00D35F36" w:rsidP="00500110">
            <w:pPr>
              <w:spacing w:before="60" w:after="60"/>
              <w:jc w:val="center"/>
              <w:rPr>
                <w:sz w:val="20"/>
                <w:szCs w:val="20"/>
              </w:rPr>
            </w:pPr>
            <w:proofErr w:type="spellStart"/>
            <w:r w:rsidRPr="00FC36A8">
              <w:rPr>
                <w:sz w:val="20"/>
                <w:szCs w:val="20"/>
              </w:rPr>
              <w:t>LoS</w:t>
            </w:r>
            <w:proofErr w:type="spellEnd"/>
            <w:r w:rsidRPr="00FC36A8">
              <w:rPr>
                <w:sz w:val="20"/>
                <w:szCs w:val="20"/>
              </w:rPr>
              <w:t xml:space="preserve"> Probability</w:t>
            </w:r>
          </w:p>
        </w:tc>
      </w:tr>
      <w:tr w:rsidR="00D35F36" w:rsidRPr="00E215F0" w14:paraId="08A03FE6" w14:textId="77777777" w:rsidTr="00500110">
        <w:tc>
          <w:tcPr>
            <w:tcW w:w="3645" w:type="dxa"/>
            <w:tcBorders>
              <w:top w:val="double" w:sz="4" w:space="0" w:color="auto"/>
            </w:tcBorders>
            <w:vAlign w:val="center"/>
          </w:tcPr>
          <w:p w14:paraId="3F8AAA1B" w14:textId="77777777" w:rsidR="00D35F36" w:rsidRPr="00FC36A8" w:rsidRDefault="00D35F36" w:rsidP="00500110">
            <w:pPr>
              <w:spacing w:before="60" w:after="60"/>
              <w:jc w:val="center"/>
              <w:rPr>
                <w:sz w:val="20"/>
                <w:szCs w:val="20"/>
              </w:rPr>
            </w:pPr>
            <w:r w:rsidRPr="00FC36A8">
              <w:rPr>
                <w:sz w:val="20"/>
                <w:szCs w:val="20"/>
              </w:rPr>
              <w:t>{40%, 2m, 2m}</w:t>
            </w:r>
          </w:p>
        </w:tc>
        <w:tc>
          <w:tcPr>
            <w:tcW w:w="3195" w:type="dxa"/>
            <w:tcBorders>
              <w:top w:val="double" w:sz="4" w:space="0" w:color="auto"/>
            </w:tcBorders>
            <w:vAlign w:val="center"/>
          </w:tcPr>
          <w:p w14:paraId="45AC936B" w14:textId="77777777" w:rsidR="00D35F36" w:rsidRPr="00FC36A8" w:rsidRDefault="00D35F36" w:rsidP="00500110">
            <w:pPr>
              <w:spacing w:before="60" w:after="60"/>
              <w:jc w:val="center"/>
              <w:rPr>
                <w:sz w:val="20"/>
                <w:szCs w:val="20"/>
              </w:rPr>
            </w:pPr>
            <w:r w:rsidRPr="00FC36A8">
              <w:rPr>
                <w:sz w:val="20"/>
                <w:szCs w:val="20"/>
              </w:rPr>
              <w:t>0.449</w:t>
            </w:r>
          </w:p>
        </w:tc>
      </w:tr>
      <w:tr w:rsidR="00D35F36" w:rsidRPr="00E215F0" w14:paraId="53D9D197" w14:textId="77777777" w:rsidTr="00500110">
        <w:tc>
          <w:tcPr>
            <w:tcW w:w="3645" w:type="dxa"/>
            <w:vAlign w:val="center"/>
          </w:tcPr>
          <w:p w14:paraId="06C00DBC" w14:textId="77777777" w:rsidR="00D35F36" w:rsidRPr="00FC36A8" w:rsidRDefault="00D35F36" w:rsidP="00500110">
            <w:pPr>
              <w:spacing w:before="60" w:after="60"/>
              <w:jc w:val="center"/>
              <w:rPr>
                <w:sz w:val="20"/>
                <w:szCs w:val="20"/>
              </w:rPr>
            </w:pPr>
            <w:r w:rsidRPr="00FC36A8">
              <w:rPr>
                <w:sz w:val="20"/>
                <w:szCs w:val="20"/>
              </w:rPr>
              <w:t>{50%, 2m, 2m}</w:t>
            </w:r>
          </w:p>
        </w:tc>
        <w:tc>
          <w:tcPr>
            <w:tcW w:w="3195" w:type="dxa"/>
            <w:vAlign w:val="center"/>
          </w:tcPr>
          <w:p w14:paraId="10DB9B19" w14:textId="77777777" w:rsidR="00D35F36" w:rsidRPr="00FC36A8" w:rsidRDefault="00D35F36" w:rsidP="00500110">
            <w:pPr>
              <w:spacing w:before="60" w:after="60"/>
              <w:jc w:val="center"/>
              <w:rPr>
                <w:sz w:val="20"/>
                <w:szCs w:val="20"/>
              </w:rPr>
            </w:pPr>
            <w:r w:rsidRPr="00FC36A8">
              <w:rPr>
                <w:sz w:val="20"/>
                <w:szCs w:val="20"/>
              </w:rPr>
              <w:t>0.352</w:t>
            </w:r>
          </w:p>
        </w:tc>
      </w:tr>
      <w:tr w:rsidR="00D35F36" w:rsidRPr="00E215F0" w14:paraId="174DC6CA" w14:textId="77777777" w:rsidTr="00500110">
        <w:tc>
          <w:tcPr>
            <w:tcW w:w="3645" w:type="dxa"/>
          </w:tcPr>
          <w:p w14:paraId="664A80F1" w14:textId="77777777" w:rsidR="00D35F36" w:rsidRPr="00FC36A8" w:rsidRDefault="00D35F36" w:rsidP="00500110">
            <w:pPr>
              <w:spacing w:before="60" w:after="60"/>
              <w:jc w:val="center"/>
              <w:rPr>
                <w:sz w:val="20"/>
                <w:szCs w:val="20"/>
              </w:rPr>
            </w:pPr>
            <w:r w:rsidRPr="00FC36A8">
              <w:rPr>
                <w:sz w:val="20"/>
                <w:szCs w:val="20"/>
              </w:rPr>
              <w:t>{60%, 2m, 2m}</w:t>
            </w:r>
          </w:p>
        </w:tc>
        <w:tc>
          <w:tcPr>
            <w:tcW w:w="3195" w:type="dxa"/>
          </w:tcPr>
          <w:p w14:paraId="53419DC1" w14:textId="77777777" w:rsidR="00D35F36" w:rsidRPr="00FC36A8" w:rsidRDefault="00D35F36" w:rsidP="00500110">
            <w:pPr>
              <w:spacing w:before="60" w:after="60"/>
              <w:jc w:val="center"/>
              <w:rPr>
                <w:sz w:val="20"/>
                <w:szCs w:val="20"/>
              </w:rPr>
            </w:pPr>
            <w:r w:rsidRPr="00FC36A8">
              <w:rPr>
                <w:sz w:val="20"/>
                <w:szCs w:val="20"/>
              </w:rPr>
              <w:t>0.268</w:t>
            </w:r>
          </w:p>
        </w:tc>
      </w:tr>
      <w:tr w:rsidR="00D35F36" w:rsidRPr="00E215F0" w14:paraId="2FFEC044" w14:textId="77777777" w:rsidTr="00500110">
        <w:tc>
          <w:tcPr>
            <w:tcW w:w="3645" w:type="dxa"/>
          </w:tcPr>
          <w:p w14:paraId="1DCFE669" w14:textId="77777777" w:rsidR="00D35F36" w:rsidRPr="00FC36A8" w:rsidRDefault="00D35F36" w:rsidP="00500110">
            <w:pPr>
              <w:spacing w:before="60" w:after="60"/>
              <w:jc w:val="center"/>
              <w:rPr>
                <w:sz w:val="20"/>
                <w:szCs w:val="20"/>
              </w:rPr>
            </w:pPr>
            <w:r w:rsidRPr="00FC36A8">
              <w:rPr>
                <w:sz w:val="20"/>
                <w:szCs w:val="20"/>
              </w:rPr>
              <w:t>{40%, 6m, 2m}</w:t>
            </w:r>
          </w:p>
        </w:tc>
        <w:tc>
          <w:tcPr>
            <w:tcW w:w="3195" w:type="dxa"/>
          </w:tcPr>
          <w:p w14:paraId="4BC7185F" w14:textId="77777777" w:rsidR="00D35F36" w:rsidRPr="00FC36A8" w:rsidRDefault="00D35F36" w:rsidP="00500110">
            <w:pPr>
              <w:spacing w:before="60" w:after="60"/>
              <w:jc w:val="center"/>
              <w:rPr>
                <w:sz w:val="20"/>
                <w:szCs w:val="20"/>
              </w:rPr>
            </w:pPr>
            <w:r w:rsidRPr="00FC36A8">
              <w:rPr>
                <w:sz w:val="20"/>
                <w:szCs w:val="20"/>
              </w:rPr>
              <w:t>0.014</w:t>
            </w:r>
          </w:p>
        </w:tc>
      </w:tr>
      <w:tr w:rsidR="00D35F36" w:rsidRPr="00E215F0" w14:paraId="3780AD3D" w14:textId="77777777" w:rsidTr="00500110">
        <w:tc>
          <w:tcPr>
            <w:tcW w:w="3645" w:type="dxa"/>
          </w:tcPr>
          <w:p w14:paraId="5B22BCAE" w14:textId="77777777" w:rsidR="00D35F36" w:rsidRPr="00FC36A8" w:rsidRDefault="00D35F36" w:rsidP="00500110">
            <w:pPr>
              <w:spacing w:before="60" w:after="60"/>
              <w:jc w:val="center"/>
              <w:rPr>
                <w:sz w:val="20"/>
                <w:szCs w:val="20"/>
              </w:rPr>
            </w:pPr>
            <w:r w:rsidRPr="00FC36A8">
              <w:rPr>
                <w:sz w:val="20"/>
                <w:szCs w:val="20"/>
              </w:rPr>
              <w:t>{50%, 6m, 2m}</w:t>
            </w:r>
          </w:p>
        </w:tc>
        <w:tc>
          <w:tcPr>
            <w:tcW w:w="3195" w:type="dxa"/>
          </w:tcPr>
          <w:p w14:paraId="5EAD4017" w14:textId="77777777" w:rsidR="00D35F36" w:rsidRPr="00FC36A8" w:rsidRDefault="00D35F36" w:rsidP="00500110">
            <w:pPr>
              <w:spacing w:before="60" w:after="60"/>
              <w:jc w:val="center"/>
              <w:rPr>
                <w:sz w:val="20"/>
                <w:szCs w:val="20"/>
              </w:rPr>
            </w:pPr>
            <w:r w:rsidRPr="00FC36A8">
              <w:rPr>
                <w:sz w:val="20"/>
                <w:szCs w:val="20"/>
              </w:rPr>
              <w:t>0.025</w:t>
            </w:r>
          </w:p>
        </w:tc>
      </w:tr>
      <w:tr w:rsidR="00D35F36" w:rsidRPr="00E215F0" w14:paraId="6CE331FF" w14:textId="77777777" w:rsidTr="00500110">
        <w:tc>
          <w:tcPr>
            <w:tcW w:w="3645" w:type="dxa"/>
          </w:tcPr>
          <w:p w14:paraId="5E82D2CD" w14:textId="77777777" w:rsidR="00D35F36" w:rsidRPr="00FC36A8" w:rsidRDefault="00D35F36" w:rsidP="00500110">
            <w:pPr>
              <w:spacing w:before="60" w:after="60"/>
              <w:jc w:val="center"/>
              <w:rPr>
                <w:sz w:val="20"/>
                <w:szCs w:val="20"/>
              </w:rPr>
            </w:pPr>
            <w:r w:rsidRPr="00FC36A8">
              <w:rPr>
                <w:sz w:val="20"/>
                <w:szCs w:val="20"/>
              </w:rPr>
              <w:t>{60%, 6m, 2m}</w:t>
            </w:r>
          </w:p>
        </w:tc>
        <w:tc>
          <w:tcPr>
            <w:tcW w:w="3195" w:type="dxa"/>
          </w:tcPr>
          <w:p w14:paraId="5BDDF3EA" w14:textId="77777777" w:rsidR="00D35F36" w:rsidRPr="00FC36A8" w:rsidRDefault="00D35F36" w:rsidP="00500110">
            <w:pPr>
              <w:spacing w:before="60" w:after="60"/>
              <w:jc w:val="center"/>
              <w:rPr>
                <w:sz w:val="20"/>
                <w:szCs w:val="20"/>
              </w:rPr>
            </w:pPr>
            <w:r w:rsidRPr="00FC36A8">
              <w:rPr>
                <w:sz w:val="20"/>
                <w:szCs w:val="20"/>
              </w:rPr>
              <w:t>0.008</w:t>
            </w:r>
          </w:p>
        </w:tc>
      </w:tr>
    </w:tbl>
    <w:p w14:paraId="6301E33E" w14:textId="77777777" w:rsidR="00D35F36" w:rsidRPr="00E215F0" w:rsidRDefault="00D35F36" w:rsidP="00D35F36"/>
    <w:p w14:paraId="5A77B908" w14:textId="06B8B692" w:rsidR="00D35F36" w:rsidRDefault="00D35F36" w:rsidP="00D35F36">
      <w:r w:rsidRPr="00E215F0">
        <w:t xml:space="preserve">On the other hand, </w:t>
      </w:r>
      <w:r w:rsidR="00E70DE4">
        <w:fldChar w:fldCharType="begin"/>
      </w:r>
      <w:r w:rsidR="00E70DE4">
        <w:instrText xml:space="preserve"> REF _Ref166241349 </w:instrText>
      </w:r>
      <w:r w:rsidR="00E70DE4">
        <w:fldChar w:fldCharType="separate"/>
      </w:r>
      <w:r w:rsidR="00C713E4" w:rsidRPr="00E215F0">
        <w:t xml:space="preserve">Table </w:t>
      </w:r>
      <w:r w:rsidR="00C713E4">
        <w:rPr>
          <w:noProof/>
        </w:rPr>
        <w:t>9</w:t>
      </w:r>
      <w:r w:rsidR="00E70DE4">
        <w:rPr>
          <w:noProof/>
        </w:rPr>
        <w:fldChar w:fldCharType="end"/>
      </w:r>
      <w:r w:rsidRPr="00E215F0">
        <w:t xml:space="preserve"> shows that </w:t>
      </w:r>
      <w:proofErr w:type="spellStart"/>
      <w:r w:rsidRPr="00E215F0">
        <w:t>LoS</w:t>
      </w:r>
      <w:proofErr w:type="spellEnd"/>
      <w:r w:rsidRPr="00E215F0">
        <w:t xml:space="preserve"> link can still be encountered from time to time, even for the most cluttered environment of </w:t>
      </w:r>
      <w:proofErr w:type="spellStart"/>
      <w:r w:rsidRPr="00E215F0">
        <w:t>InF</w:t>
      </w:r>
      <w:proofErr w:type="spellEnd"/>
      <w:r w:rsidRPr="00E215F0">
        <w:t>-DH with clutter parameter {60%, 6m, 2m}.</w:t>
      </w:r>
      <w:r>
        <w:t xml:space="preserve"> </w:t>
      </w:r>
      <w:proofErr w:type="gramStart"/>
      <w:r>
        <w:t>In particular, considering</w:t>
      </w:r>
      <w:proofErr w:type="gramEnd"/>
      <w:r>
        <w:t xml:space="preserve"> that there are 18 TRPs that the UE monitors, the probability of observing at least one </w:t>
      </w:r>
      <w:proofErr w:type="spellStart"/>
      <w:r>
        <w:t>LoS</w:t>
      </w:r>
      <w:proofErr w:type="spellEnd"/>
      <w:r>
        <w:t xml:space="preserve"> link is actually great than 10%.</w:t>
      </w:r>
    </w:p>
    <w:p w14:paraId="3E025D3F" w14:textId="77777777" w:rsidR="00D35F36" w:rsidRDefault="00D35F36" w:rsidP="00D35F36">
      <w:r>
        <w:t xml:space="preserve">In Case 1, the target UE measures the PRS from the TRPs and determines an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UE</m:t>
            </m:r>
          </m:sub>
        </m:sSub>
      </m:oMath>
      <w:r>
        <w:t xml:space="preserve">, of its own positioning using a direct positioning AI/ML model. The target UE can also </w:t>
      </w:r>
    </w:p>
    <w:p w14:paraId="7BBFFE98" w14:textId="77777777" w:rsidR="00D35F36" w:rsidRDefault="00D35F36" w:rsidP="005925D5">
      <w:pPr>
        <w:pStyle w:val="ListParagraph"/>
        <w:numPr>
          <w:ilvl w:val="0"/>
          <w:numId w:val="57"/>
        </w:numPr>
      </w:pPr>
      <w:r>
        <w:t xml:space="preserve">Identify the </w:t>
      </w:r>
      <w:proofErr w:type="spellStart"/>
      <w:r>
        <w:t>LoS</w:t>
      </w:r>
      <w:proofErr w:type="spellEnd"/>
      <w:r>
        <w:t xml:space="preserve"> links using either (1) existing LOS/NLOS classification implementation supporting Rel-17 positioning, or (2) an AI/ML model for LOS/NLOS classification.</w:t>
      </w:r>
    </w:p>
    <w:p w14:paraId="0F96FCB7" w14:textId="77777777" w:rsidR="00D35F36" w:rsidRDefault="00D35F36" w:rsidP="005925D5">
      <w:pPr>
        <w:pStyle w:val="ListParagraph"/>
        <w:numPr>
          <w:ilvl w:val="0"/>
          <w:numId w:val="57"/>
        </w:numPr>
      </w:pPr>
      <w:r>
        <w:t xml:space="preserve">Estimate the </w:t>
      </w:r>
      <w:proofErr w:type="spellStart"/>
      <w:r>
        <w:t>ToA</w:t>
      </w:r>
      <w:proofErr w:type="spellEnd"/>
      <w:r>
        <w:t xml:space="preserve">, </w:t>
      </w:r>
      <m:oMath>
        <m:sSub>
          <m:sSubPr>
            <m:ctrlPr>
              <w:rPr>
                <w:rFonts w:ascii="Cambria Math" w:hAnsi="Cambria Math"/>
                <w:i/>
              </w:rPr>
            </m:ctrlPr>
          </m:sSubPr>
          <m:e>
            <m:acc>
              <m:accPr>
                <m:ctrlPr>
                  <w:rPr>
                    <w:rFonts w:ascii="Cambria Math" w:hAnsi="Cambria Math"/>
                    <w:i/>
                  </w:rPr>
                </m:ctrlPr>
              </m:accPr>
              <m:e>
                <m:r>
                  <w:rPr>
                    <w:rFonts w:ascii="Cambria Math" w:hAnsi="Cambria Math"/>
                  </w:rPr>
                  <m:t>t</m:t>
                </m:r>
              </m:e>
            </m:acc>
          </m:e>
          <m:sub>
            <m:r>
              <w:rPr>
                <w:rFonts w:ascii="Cambria Math" w:hAnsi="Cambria Math"/>
              </w:rPr>
              <m:t>LOS</m:t>
            </m:r>
          </m:sub>
        </m:sSub>
      </m:oMath>
      <w:r>
        <w:t>, for the identified LoS link using existing LOS/NLOS classification implementation supporting Rel-17 positioning, or (2) an AI/ML model (which can be the same or different than the model for LOS/NLOS classification).</w:t>
      </w:r>
    </w:p>
    <w:p w14:paraId="2E69B6BF" w14:textId="77777777" w:rsidR="00D35F36" w:rsidRDefault="00D35F36" w:rsidP="00D35F36">
      <w:r>
        <w:t xml:space="preserve">Rel-17 specs </w:t>
      </w:r>
      <w:proofErr w:type="gramStart"/>
      <w:r>
        <w:t>supports</w:t>
      </w:r>
      <w:proofErr w:type="gramEnd"/>
      <w:r>
        <w:t xml:space="preserve"> the network providing the TRP locations to the UE. Using the UE position estimates and the TRP location of the </w:t>
      </w:r>
      <w:proofErr w:type="spellStart"/>
      <w:r>
        <w:t>LoS</w:t>
      </w:r>
      <w:proofErr w:type="spellEnd"/>
      <w:r>
        <w:t xml:space="preserve"> link, the UE can calculate the distance to the </w:t>
      </w:r>
      <w:proofErr w:type="spellStart"/>
      <w:r>
        <w:t>LoS</w:t>
      </w:r>
      <w:proofErr w:type="spellEnd"/>
      <w:r>
        <w:t xml:space="preserve"> TRP.</w:t>
      </w:r>
    </w:p>
    <w:p w14:paraId="2894950E" w14:textId="77777777" w:rsidR="00D35F36" w:rsidRDefault="00D35F36" w:rsidP="00D35F36">
      <w:r>
        <w:t>The UE can form an AI/ML model performance metric on its own direct positioning AI/ML model as</w:t>
      </w:r>
    </w:p>
    <w:p w14:paraId="6727017E" w14:textId="77777777" w:rsidR="00D35F36" w:rsidRPr="00FC36A8" w:rsidRDefault="00B27F97" w:rsidP="00D35F36">
      <m:oMathPara>
        <m:oMath>
          <m:d>
            <m:dPr>
              <m:begChr m:val="|"/>
              <m:endChr m:val="|"/>
              <m:ctrlPr>
                <w:rPr>
                  <w:rFonts w:ascii="Cambria Math" w:hAnsi="Cambria Math"/>
                  <w:i/>
                </w:rPr>
              </m:ctrlPr>
            </m:dPr>
            <m:e>
              <m:r>
                <w:rPr>
                  <w:rFonts w:ascii="Cambria Math" w:hAnsi="Cambria Math"/>
                </w:rPr>
                <m:t>dist</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UE</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TR</m:t>
                      </m:r>
                      <m:sSub>
                        <m:sSubPr>
                          <m:ctrlPr>
                            <w:rPr>
                              <w:rFonts w:ascii="Cambria Math" w:hAnsi="Cambria Math"/>
                              <w:i/>
                            </w:rPr>
                          </m:ctrlPr>
                        </m:sSubPr>
                        <m:e>
                          <m:r>
                            <w:rPr>
                              <w:rFonts w:ascii="Cambria Math" w:hAnsi="Cambria Math"/>
                            </w:rPr>
                            <m:t>P</m:t>
                          </m:r>
                        </m:e>
                        <m:sub>
                          <m:r>
                            <w:rPr>
                              <w:rFonts w:ascii="Cambria Math" w:hAnsi="Cambria Math"/>
                            </w:rPr>
                            <m:t>LOS</m:t>
                          </m:r>
                        </m:sub>
                      </m:sSub>
                    </m:sub>
                  </m:sSub>
                </m:e>
              </m:d>
              <m:r>
                <w:rPr>
                  <w:rFonts w:ascii="Cambria Math" w:hAnsi="Cambria Math"/>
                </w:rPr>
                <m:t>-c⋅</m:t>
              </m:r>
              <m:sSub>
                <m:sSubPr>
                  <m:ctrlPr>
                    <w:rPr>
                      <w:rFonts w:ascii="Cambria Math" w:hAnsi="Cambria Math"/>
                      <w:i/>
                    </w:rPr>
                  </m:ctrlPr>
                </m:sSubPr>
                <m:e>
                  <m:acc>
                    <m:accPr>
                      <m:ctrlPr>
                        <w:rPr>
                          <w:rFonts w:ascii="Cambria Math" w:eastAsia="Calibri" w:hAnsi="Cambria Math"/>
                          <w:i/>
                        </w:rPr>
                      </m:ctrlPr>
                    </m:accPr>
                    <m:e>
                      <m:r>
                        <w:rPr>
                          <w:rFonts w:ascii="Cambria Math" w:hAnsi="Cambria Math"/>
                        </w:rPr>
                        <m:t>t</m:t>
                      </m:r>
                    </m:e>
                  </m:acc>
                </m:e>
                <m:sub>
                  <m:r>
                    <w:rPr>
                      <w:rFonts w:ascii="Cambria Math" w:hAnsi="Cambria Math"/>
                    </w:rPr>
                    <m:t>LOS</m:t>
                  </m:r>
                </m:sub>
              </m:sSub>
            </m:e>
          </m:d>
        </m:oMath>
      </m:oMathPara>
    </w:p>
    <w:p w14:paraId="5E711C95" w14:textId="77777777" w:rsidR="00D35F36" w:rsidRDefault="00D35F36" w:rsidP="00D35F36"/>
    <w:p w14:paraId="346269DB" w14:textId="77777777" w:rsidR="00D35F36" w:rsidRDefault="00D35F36" w:rsidP="00D35F36">
      <w:pPr>
        <w:jc w:val="center"/>
      </w:pPr>
      <w:r>
        <w:rPr>
          <w:noProof/>
        </w:rPr>
        <w:drawing>
          <wp:inline distT="0" distB="0" distL="0" distR="0" wp14:anchorId="1604AB86" wp14:editId="0A948003">
            <wp:extent cx="2180150" cy="18910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8212" cy="1898023"/>
                    </a:xfrm>
                    <a:prstGeom prst="rect">
                      <a:avLst/>
                    </a:prstGeom>
                    <a:noFill/>
                  </pic:spPr>
                </pic:pic>
              </a:graphicData>
            </a:graphic>
          </wp:inline>
        </w:drawing>
      </w:r>
    </w:p>
    <w:p w14:paraId="3E83B559" w14:textId="6CEB6DD1" w:rsidR="00D35F36" w:rsidRDefault="00D35F36" w:rsidP="00D35F36">
      <w:pPr>
        <w:pStyle w:val="Caption"/>
        <w:jc w:val="center"/>
      </w:pPr>
      <w:r>
        <w:t xml:space="preserve">Figure </w:t>
      </w:r>
      <w:r w:rsidR="00E70DE4">
        <w:fldChar w:fldCharType="begin"/>
      </w:r>
      <w:r w:rsidR="00E70DE4">
        <w:instrText xml:space="preserve"> SEQ Figure \* ARABIC </w:instrText>
      </w:r>
      <w:r w:rsidR="00E70DE4">
        <w:fldChar w:fldCharType="separate"/>
      </w:r>
      <w:r w:rsidR="00C713E4">
        <w:rPr>
          <w:noProof/>
        </w:rPr>
        <w:t>6</w:t>
      </w:r>
      <w:r w:rsidR="00E70DE4">
        <w:rPr>
          <w:noProof/>
        </w:rPr>
        <w:fldChar w:fldCharType="end"/>
      </w:r>
      <w:r>
        <w:t xml:space="preserve">. An example of UE in a cluttered location where there is only one </w:t>
      </w:r>
      <w:proofErr w:type="spellStart"/>
      <w:r>
        <w:t>LoS</w:t>
      </w:r>
      <w:proofErr w:type="spellEnd"/>
      <w:r>
        <w:t xml:space="preserve"> link to TRP4.</w:t>
      </w:r>
    </w:p>
    <w:p w14:paraId="5DD0F969" w14:textId="77777777" w:rsidR="00D35F36" w:rsidRDefault="00D35F36" w:rsidP="00D35F36">
      <w:r w:rsidRPr="00E215F0">
        <w:t xml:space="preserve"> </w:t>
      </w:r>
    </w:p>
    <w:p w14:paraId="34FD286E" w14:textId="2171DD28" w:rsidR="00D35F36" w:rsidRDefault="00D35F36" w:rsidP="00D35F36">
      <w:r w:rsidRPr="00E215F0">
        <w:t>In the following</w:t>
      </w:r>
      <w:r>
        <w:t>,</w:t>
      </w:r>
      <w:r w:rsidRPr="00E215F0">
        <w:t xml:space="preserve"> we </w:t>
      </w:r>
      <w:r>
        <w:t xml:space="preserve">provide the evaluation results of such opportunistic </w:t>
      </w:r>
      <w:proofErr w:type="spellStart"/>
      <w:r>
        <w:t>LoS</w:t>
      </w:r>
      <w:proofErr w:type="spellEnd"/>
      <w:r>
        <w:t xml:space="preserve"> link based performance monitoring solution. </w:t>
      </w:r>
      <w:r w:rsidR="00E70DE4">
        <w:fldChar w:fldCharType="begin"/>
      </w:r>
      <w:r w:rsidR="00E70DE4">
        <w:instrText xml:space="preserve"> REF _Ref166241857 </w:instrText>
      </w:r>
      <w:r w:rsidR="00E70DE4">
        <w:fldChar w:fldCharType="separate"/>
      </w:r>
      <w:r w:rsidR="00C713E4" w:rsidRPr="00E215F0">
        <w:t xml:space="preserve">Figure </w:t>
      </w:r>
      <w:r w:rsidR="00C713E4">
        <w:rPr>
          <w:noProof/>
        </w:rPr>
        <w:t>7</w:t>
      </w:r>
      <w:r w:rsidR="00E70DE4">
        <w:rPr>
          <w:noProof/>
        </w:rPr>
        <w:fldChar w:fldCharType="end"/>
      </w:r>
      <w:r w:rsidRPr="00E215F0">
        <w:t xml:space="preserve"> shows the cumulative distribution function (CDF) of the</w:t>
      </w:r>
      <w:r>
        <w:t xml:space="preserve"> AI/ML model performance metric described in the above</w:t>
      </w:r>
      <w:r w:rsidRPr="00E215F0">
        <w:t>.</w:t>
      </w:r>
    </w:p>
    <w:p w14:paraId="6F04E464" w14:textId="77777777" w:rsidR="00D35F36" w:rsidRPr="00194B5B" w:rsidRDefault="00D35F36" w:rsidP="00D35F36">
      <w:pPr>
        <w:pStyle w:val="ListParagraph"/>
        <w:numPr>
          <w:ilvl w:val="0"/>
          <w:numId w:val="35"/>
        </w:numPr>
      </w:pPr>
      <w:r w:rsidRPr="00194B5B">
        <w:t xml:space="preserve">The </w:t>
      </w:r>
      <w:r>
        <w:t xml:space="preserve">direct positioning </w:t>
      </w:r>
      <w:r w:rsidRPr="00194B5B">
        <w:t xml:space="preserve">model is trained using the data collected from the indoor factor scenario with 60% clutter density, and clutter height and width of 6 m and 2 m, respectively (i.e., </w:t>
      </w:r>
      <w:proofErr w:type="spellStart"/>
      <w:r w:rsidRPr="00194B5B">
        <w:t>InF</w:t>
      </w:r>
      <w:proofErr w:type="spellEnd"/>
      <w:r w:rsidRPr="00194B5B">
        <w:t>-DH with clutter parameter {60%, 6m, 2m}).</w:t>
      </w:r>
    </w:p>
    <w:p w14:paraId="29BAC7C4" w14:textId="77777777" w:rsidR="00D35F36" w:rsidRPr="00194B5B" w:rsidRDefault="00D35F36" w:rsidP="00D35F36">
      <w:pPr>
        <w:pStyle w:val="ListParagraph"/>
        <w:numPr>
          <w:ilvl w:val="0"/>
          <w:numId w:val="35"/>
        </w:numPr>
      </w:pPr>
      <w:r w:rsidRPr="00194B5B">
        <w:t xml:space="preserve">The </w:t>
      </w:r>
      <w:r>
        <w:t xml:space="preserve">LOS/NLOS classification </w:t>
      </w:r>
      <w:r w:rsidRPr="00194B5B">
        <w:t xml:space="preserve">model is </w:t>
      </w:r>
      <w:proofErr w:type="gramStart"/>
      <w:r>
        <w:t>an</w:t>
      </w:r>
      <w:proofErr w:type="gramEnd"/>
      <w:r>
        <w:t xml:space="preserve"> with a computational complexity of less than 1M FLOPs. The model has been tuned to avoid false </w:t>
      </w:r>
      <w:proofErr w:type="spellStart"/>
      <w:r>
        <w:t>LoS</w:t>
      </w:r>
      <w:proofErr w:type="spellEnd"/>
      <w:r>
        <w:t xml:space="preserve"> classification and has a </w:t>
      </w:r>
      <w:proofErr w:type="spellStart"/>
      <w:r>
        <w:t>LoS</w:t>
      </w:r>
      <w:proofErr w:type="spellEnd"/>
      <w:r>
        <w:t xml:space="preserve"> miss probability of 27%. This model is used here since it was found to be effective working on a single TRP-UE link, where it generates LOS/NLOS classification, and </w:t>
      </w:r>
      <w:proofErr w:type="spellStart"/>
      <w:r>
        <w:t>ToA</w:t>
      </w:r>
      <w:proofErr w:type="spellEnd"/>
      <w:r>
        <w:t xml:space="preserve"> estimation if the link is classified as </w:t>
      </w:r>
      <w:proofErr w:type="spellStart"/>
      <w:r>
        <w:t>LoS</w:t>
      </w:r>
      <w:proofErr w:type="spellEnd"/>
      <w:r>
        <w:t>.</w:t>
      </w:r>
    </w:p>
    <w:p w14:paraId="7D8E725B" w14:textId="77777777" w:rsidR="00D35F36" w:rsidRPr="00E215F0" w:rsidRDefault="00D35F36" w:rsidP="00D35F36">
      <w:r w:rsidRPr="00E215F0">
        <w:t xml:space="preserve">Two curves are shown. One curve is for "same environment", which means that the inference environment is the same as the training environment for the inference model. The inference model performs normally in "same environment", i.e., no performance degradation. The other curve is for "new environment", which means that the inference environment is different from the training environment for the inference model, though both environments belong to </w:t>
      </w:r>
      <w:proofErr w:type="spellStart"/>
      <w:r w:rsidRPr="00E215F0">
        <w:t>InF</w:t>
      </w:r>
      <w:proofErr w:type="spellEnd"/>
      <w:r w:rsidRPr="00E215F0">
        <w:t>-DH with clutter parameter {60%, 6m, 2m}</w:t>
      </w:r>
      <w:r>
        <w:t>, i.e., different random seeds were used</w:t>
      </w:r>
      <w:r w:rsidRPr="00E215F0">
        <w:t>. The inference model performs poorly in "new environment", i.e., performance degradation has occurred, and model performance monitoring method should detect it.</w:t>
      </w:r>
    </w:p>
    <w:p w14:paraId="5CC60A30" w14:textId="77777777" w:rsidR="00D35F36" w:rsidRPr="00E215F0" w:rsidRDefault="00D35F36" w:rsidP="00D35F36">
      <w:r w:rsidRPr="00E215F0">
        <w:t xml:space="preserve">It can be observed that the CDF of the </w:t>
      </w:r>
      <w:proofErr w:type="spellStart"/>
      <w:r w:rsidRPr="00E215F0">
        <w:t>LoS</w:t>
      </w:r>
      <w:proofErr w:type="spellEnd"/>
      <w:r w:rsidRPr="00E215F0">
        <w:t xml:space="preserve"> link </w:t>
      </w:r>
      <w:proofErr w:type="spellStart"/>
      <w:r w:rsidRPr="00E215F0">
        <w:t>ToA</w:t>
      </w:r>
      <w:proofErr w:type="spellEnd"/>
      <w:r w:rsidRPr="00E215F0">
        <w:t xml:space="preserve"> difference of "same environment" is much smaller</w:t>
      </w:r>
      <w:r>
        <w:t xml:space="preserve"> (more than an order of magnitude)</w:t>
      </w:r>
      <w:r w:rsidRPr="00E215F0">
        <w:t xml:space="preserve"> and easily distinguishable from the CDF of "new environment". </w:t>
      </w:r>
      <w:proofErr w:type="gramStart"/>
      <w:r w:rsidRPr="00E215F0">
        <w:t>Thus</w:t>
      </w:r>
      <w:proofErr w:type="gramEnd"/>
      <w:r w:rsidRPr="00E215F0">
        <w:t xml:space="preserve"> model performance monitoring decision can be made based on the easily distinguishable behavior. </w:t>
      </w:r>
    </w:p>
    <w:p w14:paraId="3481BA77" w14:textId="77777777" w:rsidR="00D35F36" w:rsidRPr="00E215F0" w:rsidRDefault="00D35F36" w:rsidP="00D35F36">
      <w:r w:rsidRPr="00E215F0">
        <w:t xml:space="preserve">Since the model inference environment is the heavily </w:t>
      </w:r>
      <w:proofErr w:type="spellStart"/>
      <w:r w:rsidRPr="00E215F0">
        <w:t>NLoS</w:t>
      </w:r>
      <w:proofErr w:type="spellEnd"/>
      <w:r w:rsidRPr="00E215F0">
        <w:t xml:space="preserve"> environment of </w:t>
      </w:r>
      <w:proofErr w:type="spellStart"/>
      <w:r w:rsidRPr="00E215F0">
        <w:t>InF</w:t>
      </w:r>
      <w:proofErr w:type="spellEnd"/>
      <w:r w:rsidRPr="00E215F0">
        <w:t xml:space="preserve">-DH with clutter parameter {60%, 6m, 2m}, the </w:t>
      </w:r>
      <w:proofErr w:type="spellStart"/>
      <w:r w:rsidRPr="00E215F0">
        <w:t>LoS</w:t>
      </w:r>
      <w:proofErr w:type="spellEnd"/>
      <w:r w:rsidRPr="00E215F0">
        <w:t xml:space="preserve"> probability is low and inadequate for conventional positioning methods, as expected. However, </w:t>
      </w:r>
      <w:r w:rsidRPr="009D6897">
        <w:t>approximately 10% of positioning requests (containing measurement samples for 18 TRP links) can be opportunistically leveraged for performing model monitoring</w:t>
      </w:r>
      <w:r>
        <w:t xml:space="preserve">, i.e., at least one link out of the 18 is </w:t>
      </w:r>
      <w:proofErr w:type="spellStart"/>
      <w:r>
        <w:t>LoS</w:t>
      </w:r>
      <w:proofErr w:type="spellEnd"/>
      <w:r w:rsidRPr="009D6897">
        <w:t>. This is adequate for the purpose of model performance monitoring.</w:t>
      </w:r>
    </w:p>
    <w:p w14:paraId="6FDB37B3" w14:textId="77777777" w:rsidR="00D35F36" w:rsidRPr="00E215F0" w:rsidRDefault="00D35F36" w:rsidP="00D35F36">
      <w:pPr>
        <w:jc w:val="center"/>
      </w:pPr>
      <w:r w:rsidRPr="00E44277">
        <w:rPr>
          <w:noProof/>
        </w:rPr>
        <w:drawing>
          <wp:inline distT="0" distB="0" distL="0" distR="0" wp14:anchorId="280FD31D" wp14:editId="0222CD64">
            <wp:extent cx="3657600" cy="2851251"/>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57600" cy="2851251"/>
                    </a:xfrm>
                    <a:prstGeom prst="rect">
                      <a:avLst/>
                    </a:prstGeom>
                  </pic:spPr>
                </pic:pic>
              </a:graphicData>
            </a:graphic>
          </wp:inline>
        </w:drawing>
      </w:r>
    </w:p>
    <w:p w14:paraId="47F4D160" w14:textId="290571A2" w:rsidR="00D35F36" w:rsidRPr="00E215F0" w:rsidRDefault="00D35F36" w:rsidP="00D35F36">
      <w:pPr>
        <w:pStyle w:val="Caption"/>
      </w:pPr>
      <w:bookmarkStart w:id="2539" w:name="_Ref166241857"/>
      <w:r w:rsidRPr="00E215F0">
        <w:t xml:space="preserve">Figure </w:t>
      </w:r>
      <w:r w:rsidR="00E70DE4">
        <w:fldChar w:fldCharType="begin"/>
      </w:r>
      <w:r w:rsidR="00E70DE4">
        <w:instrText xml:space="preserve"> SEQ Figure \* ARABIC </w:instrText>
      </w:r>
      <w:r w:rsidR="00E70DE4">
        <w:fldChar w:fldCharType="separate"/>
      </w:r>
      <w:r w:rsidR="00C713E4">
        <w:rPr>
          <w:noProof/>
        </w:rPr>
        <w:t>7</w:t>
      </w:r>
      <w:r w:rsidR="00E70DE4">
        <w:rPr>
          <w:noProof/>
        </w:rPr>
        <w:fldChar w:fldCharType="end"/>
      </w:r>
      <w:bookmarkEnd w:id="2539"/>
      <w:r w:rsidRPr="00E215F0">
        <w:t xml:space="preserve">. Cumulative distribution function of the difference of the </w:t>
      </w:r>
      <w:proofErr w:type="spellStart"/>
      <w:r w:rsidRPr="00E215F0">
        <w:t>ToA</w:t>
      </w:r>
      <w:proofErr w:type="spellEnd"/>
      <w:r w:rsidRPr="00E215F0">
        <w:t xml:space="preserve"> reports generated by the inference model and the monitoring model for the links classified as </w:t>
      </w:r>
      <w:proofErr w:type="spellStart"/>
      <w:r w:rsidRPr="00E215F0">
        <w:t>LoS</w:t>
      </w:r>
      <w:proofErr w:type="spellEnd"/>
      <w:r w:rsidRPr="00E215F0">
        <w:t xml:space="preserve"> by the monitoring model in two different realizations of </w:t>
      </w:r>
      <w:proofErr w:type="spellStart"/>
      <w:r w:rsidRPr="00E215F0">
        <w:t>InF</w:t>
      </w:r>
      <w:proofErr w:type="spellEnd"/>
      <w:r w:rsidRPr="00E215F0">
        <w:t>-DH with clutter parameter {60%, 6m, 2m}.</w:t>
      </w:r>
    </w:p>
    <w:p w14:paraId="161139C0" w14:textId="77777777" w:rsidR="00D35F36" w:rsidRDefault="00D35F36" w:rsidP="00D35F36">
      <w:pPr>
        <w:tabs>
          <w:tab w:val="left" w:pos="814"/>
        </w:tabs>
      </w:pPr>
      <w:r>
        <w:tab/>
      </w:r>
    </w:p>
    <w:p w14:paraId="2DE1477A" w14:textId="77777777" w:rsidR="00D35F36" w:rsidRDefault="00D35F36" w:rsidP="00D35F36">
      <w:r w:rsidRPr="00E215F0">
        <w:t xml:space="preserve">This evaluation result demonstrates that it is effective to monitor AI/ML model performance using opportunistic </w:t>
      </w:r>
      <w:proofErr w:type="spellStart"/>
      <w:r w:rsidRPr="00E215F0">
        <w:t>LoS</w:t>
      </w:r>
      <w:proofErr w:type="spellEnd"/>
      <w:r w:rsidRPr="00E215F0">
        <w:t xml:space="preserve"> links even in a heavily </w:t>
      </w:r>
      <w:proofErr w:type="spellStart"/>
      <w:r w:rsidRPr="00E215F0">
        <w:t>NLoS</w:t>
      </w:r>
      <w:proofErr w:type="spellEnd"/>
      <w:r w:rsidRPr="00E215F0">
        <w:t xml:space="preserve"> environment like </w:t>
      </w:r>
      <w:proofErr w:type="spellStart"/>
      <w:r w:rsidRPr="00E215F0">
        <w:t>InF</w:t>
      </w:r>
      <w:proofErr w:type="spellEnd"/>
      <w:r w:rsidRPr="00E215F0">
        <w:t>-DH with clutter parameter {60%, 6m, 2m}.</w:t>
      </w:r>
      <w:r>
        <w:t xml:space="preserve"> </w:t>
      </w:r>
    </w:p>
    <w:p w14:paraId="367FED29" w14:textId="77777777" w:rsidR="00D35F36" w:rsidRDefault="00D35F36" w:rsidP="00D35F36">
      <w:r>
        <w:t xml:space="preserve">In general, the key is to provide reliable </w:t>
      </w:r>
      <w:proofErr w:type="spellStart"/>
      <w:r>
        <w:t>LoS</w:t>
      </w:r>
      <w:proofErr w:type="spellEnd"/>
      <w:r>
        <w:t xml:space="preserve"> link identification to the model inference entity, regardless of how such information is obtained. For instance, non-AI methods (e.g., legacy methods in existing specification) can also be used to provide the LOS/NLOS classification </w:t>
      </w:r>
      <w:proofErr w:type="gramStart"/>
      <w:r>
        <w:t>as long as</w:t>
      </w:r>
      <w:proofErr w:type="gramEnd"/>
      <w:r>
        <w:t xml:space="preserve"> false positive (i.e., incorrectly classify a link as </w:t>
      </w:r>
      <w:proofErr w:type="spellStart"/>
      <w:r>
        <w:t>LoS</w:t>
      </w:r>
      <w:proofErr w:type="spellEnd"/>
      <w:r>
        <w:t xml:space="preserve">) probability is kept low. </w:t>
      </w:r>
    </w:p>
    <w:p w14:paraId="50F40711" w14:textId="3836E95E" w:rsidR="00D35F36" w:rsidRDefault="00150AF2" w:rsidP="00D35F36">
      <w:r>
        <w:t>In summary, f</w:t>
      </w:r>
      <w:r w:rsidR="00D35F36">
        <w:t>or Case 1, the target UE can perform label-based model performance monitoring for its own model without assistance from other entities (e.g., LMF, PRU).</w:t>
      </w:r>
    </w:p>
    <w:p w14:paraId="3CBFE567" w14:textId="77777777" w:rsidR="00D35F36" w:rsidRDefault="00D35F36" w:rsidP="00D35F36">
      <w:r>
        <w:t>While the discussion above emphasized self-contained model performance monitoring by the target UE, the same principle can be applied if another entity (e.g., LMF) is willing to assist the target UE with label related information.</w:t>
      </w:r>
    </w:p>
    <w:p w14:paraId="28D06C2C" w14:textId="77777777" w:rsidR="00D35F36" w:rsidRPr="00E215F0" w:rsidRDefault="00D35F36" w:rsidP="00D35F36">
      <w:r>
        <w:t xml:space="preserve">In general, the </w:t>
      </w:r>
      <w:proofErr w:type="spellStart"/>
      <w:r>
        <w:t>LoS</w:t>
      </w:r>
      <w:proofErr w:type="spellEnd"/>
      <w:r>
        <w:t xml:space="preserve"> identification can be provided by an entity different from the model inference entity to have independent information for model monitoring. Thus, for a model deployed in one node (i.e. </w:t>
      </w:r>
      <w:proofErr w:type="spellStart"/>
      <w:r>
        <w:t>gNB</w:t>
      </w:r>
      <w:proofErr w:type="spellEnd"/>
      <w:r>
        <w:t xml:space="preserve">, LMF or the UE), the </w:t>
      </w:r>
      <w:proofErr w:type="spellStart"/>
      <w:r>
        <w:t>LoS</w:t>
      </w:r>
      <w:proofErr w:type="spellEnd"/>
      <w:r>
        <w:t xml:space="preserve"> state of a link can be </w:t>
      </w:r>
      <w:proofErr w:type="spellStart"/>
      <w:r>
        <w:t>signalled</w:t>
      </w:r>
      <w:proofErr w:type="spellEnd"/>
      <w:r>
        <w:t xml:space="preserve"> from another node (i.e. another </w:t>
      </w:r>
      <w:proofErr w:type="spellStart"/>
      <w:r>
        <w:t>gNB</w:t>
      </w:r>
      <w:proofErr w:type="spellEnd"/>
      <w:r>
        <w:t xml:space="preserve">, UE). For example, a UE hosting the AI/ML model and measuring the DL PRS may also be configured to transmit SRS. Hence the </w:t>
      </w:r>
      <w:proofErr w:type="spellStart"/>
      <w:r>
        <w:t>LoS</w:t>
      </w:r>
      <w:proofErr w:type="spellEnd"/>
      <w:r>
        <w:t xml:space="preserve"> state of a given PRS resource may be known to </w:t>
      </w:r>
      <w:proofErr w:type="spellStart"/>
      <w:r>
        <w:t>gNB</w:t>
      </w:r>
      <w:proofErr w:type="spellEnd"/>
      <w:r>
        <w:t xml:space="preserve"> at a given time. To assist the model monitoring of the model hosted by the UE, the LMF could relay to the UE an assistance data, e.g., which PRS resource propagated via a </w:t>
      </w:r>
      <w:proofErr w:type="spellStart"/>
      <w:r>
        <w:t>LoS</w:t>
      </w:r>
      <w:proofErr w:type="spellEnd"/>
      <w:r>
        <w:t xml:space="preserve"> link and at what time.</w:t>
      </w:r>
    </w:p>
    <w:p w14:paraId="5ED29FF6" w14:textId="77777777" w:rsidR="00D35F36" w:rsidRPr="00E215F0" w:rsidRDefault="00D35F36" w:rsidP="00D35F36">
      <w:r>
        <w:t>As shown below, i</w:t>
      </w:r>
      <w:r w:rsidRPr="00E215F0">
        <w:t xml:space="preserve">n legacy UE-based positioning methods, LMF can already inform the UE of </w:t>
      </w:r>
      <w:proofErr w:type="spellStart"/>
      <w:r w:rsidRPr="00E215F0">
        <w:t>LoS</w:t>
      </w:r>
      <w:proofErr w:type="spellEnd"/>
      <w:r w:rsidRPr="00E215F0">
        <w:t xml:space="preserve"> link state in assistance data, which helps the UE to calculate the location. </w:t>
      </w:r>
    </w:p>
    <w:tbl>
      <w:tblPr>
        <w:tblStyle w:val="TableGrid"/>
        <w:tblW w:w="0" w:type="auto"/>
        <w:tblLook w:val="04A0" w:firstRow="1" w:lastRow="0" w:firstColumn="1" w:lastColumn="0" w:noHBand="0" w:noVBand="1"/>
      </w:tblPr>
      <w:tblGrid>
        <w:gridCol w:w="9962"/>
      </w:tblGrid>
      <w:tr w:rsidR="00D35F36" w:rsidRPr="00E215F0" w14:paraId="2B90F6E9" w14:textId="77777777" w:rsidTr="00500110">
        <w:tc>
          <w:tcPr>
            <w:tcW w:w="9962" w:type="dxa"/>
          </w:tcPr>
          <w:p w14:paraId="514F8140" w14:textId="77777777" w:rsidR="00D35F36" w:rsidRPr="00CD59F9" w:rsidRDefault="00D35F36" w:rsidP="002354E1">
            <w:pPr>
              <w:spacing w:after="0"/>
              <w:rPr>
                <w:sz w:val="20"/>
                <w:szCs w:val="20"/>
              </w:rPr>
            </w:pPr>
            <w:r w:rsidRPr="00B72B4D">
              <w:t>TS 37.355 v18.0.0</w:t>
            </w:r>
          </w:p>
          <w:p w14:paraId="721E48C4" w14:textId="77777777" w:rsidR="00D35F36" w:rsidRPr="00CD59F9" w:rsidRDefault="00D35F36" w:rsidP="002354E1">
            <w:pPr>
              <w:spacing w:after="0"/>
              <w:rPr>
                <w:szCs w:val="20"/>
              </w:rPr>
            </w:pPr>
            <w:bookmarkStart w:id="2540" w:name="_Toc165991015"/>
            <w:r w:rsidRPr="00CD59F9">
              <w:t>–</w:t>
            </w:r>
            <w:r w:rsidRPr="00CD59F9">
              <w:tab/>
              <w:t>NR-DL-PRS-</w:t>
            </w:r>
            <w:proofErr w:type="spellStart"/>
            <w:r w:rsidRPr="00CD59F9">
              <w:t>ExpectedLOS</w:t>
            </w:r>
            <w:proofErr w:type="spellEnd"/>
            <w:r w:rsidRPr="00CD59F9">
              <w:t>-NLOS-Assistance</w:t>
            </w:r>
            <w:bookmarkEnd w:id="2540"/>
          </w:p>
          <w:p w14:paraId="0EDA8336" w14:textId="77777777" w:rsidR="00D35F36" w:rsidRPr="00CD59F9" w:rsidRDefault="00D35F36" w:rsidP="002354E1">
            <w:pPr>
              <w:keepLines/>
              <w:spacing w:after="0"/>
              <w:rPr>
                <w:sz w:val="20"/>
                <w:szCs w:val="20"/>
              </w:rPr>
            </w:pPr>
            <w:r w:rsidRPr="00CD59F9">
              <w:t xml:space="preserve">The IE </w:t>
            </w:r>
            <w:r w:rsidRPr="00CD59F9">
              <w:rPr>
                <w:i/>
                <w:color w:val="FF0000"/>
              </w:rPr>
              <w:t>NR-DL-PRS-</w:t>
            </w:r>
            <w:proofErr w:type="spellStart"/>
            <w:r w:rsidRPr="00CD59F9">
              <w:rPr>
                <w:i/>
                <w:color w:val="FF0000"/>
              </w:rPr>
              <w:t>ExpectedLOS</w:t>
            </w:r>
            <w:proofErr w:type="spellEnd"/>
            <w:r w:rsidRPr="00CD59F9">
              <w:rPr>
                <w:i/>
                <w:color w:val="FF0000"/>
              </w:rPr>
              <w:t xml:space="preserve">-NLOS-Assistance </w:t>
            </w:r>
            <w:r w:rsidRPr="00CD59F9">
              <w:rPr>
                <w:color w:val="FF0000"/>
              </w:rPr>
              <w:t xml:space="preserve">is used by the location server to provide the expected likelihood of a LOS propagation path </w:t>
            </w:r>
            <w:r w:rsidRPr="00CD59F9">
              <w:t>from a TRP to the target device, or for all DL-PRS Resources of the TRP to the target device.</w:t>
            </w:r>
          </w:p>
          <w:p w14:paraId="6FE879C5"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 ASN1START</w:t>
            </w:r>
          </w:p>
          <w:p w14:paraId="44945B86"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p>
          <w:p w14:paraId="0A87FF52"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CD59F9">
              <w:rPr>
                <w:rFonts w:ascii="Courier New" w:hAnsi="Courier New"/>
                <w:snapToGrid w:val="0"/>
                <w:sz w:val="14"/>
              </w:rPr>
              <w:t>NR-DL-PRS-ExpectedLOS-NLOS-Assistance-r</w:t>
            </w:r>
            <w:proofErr w:type="gramStart"/>
            <w:r w:rsidRPr="00CD59F9">
              <w:rPr>
                <w:rFonts w:ascii="Courier New" w:hAnsi="Courier New"/>
                <w:snapToGrid w:val="0"/>
                <w:sz w:val="14"/>
              </w:rPr>
              <w:t xml:space="preserve">17 </w:t>
            </w:r>
            <w:r w:rsidRPr="00CD59F9">
              <w:rPr>
                <w:rFonts w:ascii="Courier New" w:hAnsi="Courier New"/>
                <w:sz w:val="14"/>
              </w:rPr>
              <w:t>::=</w:t>
            </w:r>
            <w:proofErr w:type="gramEnd"/>
            <w:r w:rsidRPr="00CD59F9">
              <w:rPr>
                <w:rFonts w:ascii="Courier New" w:hAnsi="Courier New"/>
                <w:sz w:val="14"/>
              </w:rPr>
              <w:t xml:space="preserve"> SEQUENCE (SIZE (1..nrMaxFreqLayers-r16)) OF</w:t>
            </w:r>
          </w:p>
          <w:p w14:paraId="1E5AA5E3"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napToGrid w:val="0"/>
                <w:sz w:val="14"/>
              </w:rPr>
              <w:t>NR-DL-PRS-ExpectedLOS-NLOS-Assistance</w:t>
            </w:r>
            <w:r w:rsidRPr="00CD59F9">
              <w:rPr>
                <w:rFonts w:ascii="Courier New" w:hAnsi="Courier New"/>
                <w:sz w:val="14"/>
              </w:rPr>
              <w:t>PerFreqLayer-r17</w:t>
            </w:r>
          </w:p>
          <w:p w14:paraId="169AB8AE"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48AB9C10"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NR-DL-PRS-ExpectedLOS-NLOS-AssistancePerFreqLayer-r</w:t>
            </w:r>
            <w:proofErr w:type="gramStart"/>
            <w:r w:rsidRPr="00CD59F9">
              <w:rPr>
                <w:rFonts w:ascii="Courier New" w:hAnsi="Courier New"/>
                <w:sz w:val="14"/>
              </w:rPr>
              <w:t>17 ::=</w:t>
            </w:r>
            <w:proofErr w:type="gramEnd"/>
          </w:p>
          <w:p w14:paraId="7A8EFC22"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SEQUENCE (SIZE (</w:t>
            </w:r>
            <w:proofErr w:type="gramStart"/>
            <w:r w:rsidRPr="00CD59F9">
              <w:rPr>
                <w:rFonts w:ascii="Courier New" w:hAnsi="Courier New"/>
                <w:sz w:val="14"/>
              </w:rPr>
              <w:t>1..</w:t>
            </w:r>
            <w:proofErr w:type="gramEnd"/>
            <w:r w:rsidRPr="00CD59F9">
              <w:rPr>
                <w:rFonts w:ascii="Courier New" w:hAnsi="Courier New"/>
                <w:sz w:val="14"/>
              </w:rPr>
              <w:t>nrMaxTRPsPerFreq-r16)) OF</w:t>
            </w:r>
          </w:p>
          <w:p w14:paraId="5A6B9AE3"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napToGrid w:val="0"/>
                <w:sz w:val="14"/>
              </w:rPr>
              <w:t>NR-DL-PRS-ExpectedLOS-NLOS-Assistance</w:t>
            </w:r>
            <w:r w:rsidRPr="00CD59F9">
              <w:rPr>
                <w:rFonts w:ascii="Courier New" w:hAnsi="Courier New"/>
                <w:sz w:val="14"/>
              </w:rPr>
              <w:t>PerTRP-r17</w:t>
            </w:r>
          </w:p>
          <w:p w14:paraId="6D21DE17"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4751FA36"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napToGrid w:val="0"/>
                <w:sz w:val="14"/>
              </w:rPr>
              <w:t>NR-DL-PRS-ExpectedLOS-NLOS-AssistancePerTRP-r</w:t>
            </w:r>
            <w:proofErr w:type="gramStart"/>
            <w:r w:rsidRPr="00CD59F9">
              <w:rPr>
                <w:rFonts w:ascii="Courier New" w:hAnsi="Courier New"/>
                <w:snapToGrid w:val="0"/>
                <w:sz w:val="14"/>
              </w:rPr>
              <w:t>17</w:t>
            </w:r>
            <w:r w:rsidRPr="00CD59F9">
              <w:rPr>
                <w:rFonts w:ascii="Courier New" w:hAnsi="Courier New"/>
                <w:sz w:val="14"/>
              </w:rPr>
              <w:t xml:space="preserve"> ::=</w:t>
            </w:r>
            <w:proofErr w:type="gramEnd"/>
            <w:r w:rsidRPr="00CD59F9">
              <w:rPr>
                <w:rFonts w:ascii="Courier New" w:hAnsi="Courier New"/>
                <w:sz w:val="14"/>
              </w:rPr>
              <w:t xml:space="preserve"> SEQUENCE {</w:t>
            </w:r>
          </w:p>
          <w:p w14:paraId="2EF8CC26" w14:textId="77777777" w:rsidR="00D35F36" w:rsidRPr="0090743C"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lang w:val="sv-SE"/>
              </w:rPr>
            </w:pPr>
            <w:r w:rsidRPr="00CD59F9">
              <w:rPr>
                <w:rFonts w:ascii="Courier New" w:hAnsi="Courier New"/>
                <w:snapToGrid w:val="0"/>
                <w:sz w:val="14"/>
              </w:rPr>
              <w:tab/>
            </w:r>
            <w:r w:rsidRPr="0090743C">
              <w:rPr>
                <w:rFonts w:ascii="Courier New" w:hAnsi="Courier New"/>
                <w:snapToGrid w:val="0"/>
                <w:sz w:val="14"/>
                <w:lang w:val="sv-SE"/>
              </w:rPr>
              <w:t>dl-PRS-ID-r17</w:t>
            </w:r>
            <w:r w:rsidRPr="0090743C">
              <w:rPr>
                <w:rFonts w:ascii="Courier New" w:hAnsi="Courier New"/>
                <w:snapToGrid w:val="0"/>
                <w:sz w:val="14"/>
                <w:lang w:val="sv-SE"/>
              </w:rPr>
              <w:tab/>
            </w:r>
            <w:r w:rsidRPr="0090743C">
              <w:rPr>
                <w:rFonts w:ascii="Courier New" w:hAnsi="Courier New"/>
                <w:snapToGrid w:val="0"/>
                <w:sz w:val="14"/>
                <w:lang w:val="sv-SE"/>
              </w:rPr>
              <w:tab/>
            </w:r>
            <w:r w:rsidRPr="0090743C">
              <w:rPr>
                <w:rFonts w:ascii="Courier New" w:hAnsi="Courier New"/>
                <w:snapToGrid w:val="0"/>
                <w:sz w:val="14"/>
                <w:lang w:val="sv-SE"/>
              </w:rPr>
              <w:tab/>
            </w:r>
            <w:r w:rsidRPr="0090743C">
              <w:rPr>
                <w:rFonts w:ascii="Courier New" w:hAnsi="Courier New"/>
                <w:snapToGrid w:val="0"/>
                <w:sz w:val="14"/>
                <w:lang w:val="sv-SE"/>
              </w:rPr>
              <w:tab/>
              <w:t>INTEGER (0..255),</w:t>
            </w:r>
          </w:p>
          <w:p w14:paraId="19BCA22D"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90743C">
              <w:rPr>
                <w:rFonts w:ascii="Courier New" w:hAnsi="Courier New"/>
                <w:snapToGrid w:val="0"/>
                <w:sz w:val="14"/>
                <w:lang w:val="sv-SE"/>
              </w:rPr>
              <w:tab/>
            </w:r>
            <w:r w:rsidRPr="00CD59F9">
              <w:rPr>
                <w:rFonts w:ascii="Courier New" w:hAnsi="Courier New"/>
                <w:snapToGrid w:val="0"/>
                <w:sz w:val="14"/>
              </w:rPr>
              <w:t>nr-PhysCellID-r17</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NR-PhysCellID-r16</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OPTIONAL,</w:t>
            </w:r>
            <w:r w:rsidRPr="00CD59F9">
              <w:rPr>
                <w:rFonts w:ascii="Courier New" w:hAnsi="Courier New"/>
                <w:snapToGrid w:val="0"/>
                <w:sz w:val="14"/>
              </w:rPr>
              <w:tab/>
              <w:t>-- Need ON</w:t>
            </w:r>
          </w:p>
          <w:p w14:paraId="74A6600D"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CD59F9">
              <w:rPr>
                <w:rFonts w:ascii="Courier New" w:hAnsi="Courier New"/>
                <w:snapToGrid w:val="0"/>
                <w:sz w:val="14"/>
              </w:rPr>
              <w:tab/>
              <w:t>nr-CellGlobalID-r17</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NCGI-r15</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OPTIONAL,</w:t>
            </w:r>
            <w:r w:rsidRPr="00CD59F9">
              <w:rPr>
                <w:rFonts w:ascii="Courier New" w:hAnsi="Courier New"/>
                <w:snapToGrid w:val="0"/>
                <w:sz w:val="14"/>
              </w:rPr>
              <w:tab/>
              <w:t>-- Need ON</w:t>
            </w:r>
          </w:p>
          <w:p w14:paraId="2DBFCC68"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CD59F9">
              <w:rPr>
                <w:rFonts w:ascii="Courier New" w:hAnsi="Courier New"/>
                <w:snapToGrid w:val="0"/>
                <w:sz w:val="14"/>
              </w:rPr>
              <w:tab/>
            </w:r>
            <w:r w:rsidRPr="00CD59F9">
              <w:rPr>
                <w:rFonts w:ascii="Courier New" w:hAnsi="Courier New"/>
                <w:sz w:val="14"/>
              </w:rPr>
              <w:t>nr-ARFCN</w:t>
            </w:r>
            <w:r w:rsidRPr="00CD59F9">
              <w:rPr>
                <w:rFonts w:ascii="Courier New" w:hAnsi="Courier New"/>
                <w:snapToGrid w:val="0"/>
                <w:sz w:val="14"/>
              </w:rPr>
              <w:t>-r17</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ARFCN-ValueNR-r15</w:t>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OPTIONAL,</w:t>
            </w:r>
            <w:r w:rsidRPr="00CD59F9">
              <w:rPr>
                <w:rFonts w:ascii="Courier New" w:hAnsi="Courier New"/>
                <w:snapToGrid w:val="0"/>
                <w:sz w:val="14"/>
              </w:rPr>
              <w:tab/>
              <w:t>-- Need ON</w:t>
            </w:r>
          </w:p>
          <w:p w14:paraId="32118B06"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CD59F9">
              <w:rPr>
                <w:rFonts w:ascii="Courier New" w:hAnsi="Courier New"/>
                <w:snapToGrid w:val="0"/>
                <w:sz w:val="14"/>
              </w:rPr>
              <w:tab/>
            </w:r>
            <w:r w:rsidRPr="00CD59F9">
              <w:rPr>
                <w:rFonts w:ascii="Courier New" w:hAnsi="Courier New"/>
                <w:color w:val="FF0000"/>
                <w:sz w:val="14"/>
              </w:rPr>
              <w:t>nr-los-nlos-indicator-r17</w:t>
            </w:r>
            <w:r w:rsidRPr="00CD59F9">
              <w:rPr>
                <w:rFonts w:ascii="Courier New" w:hAnsi="Courier New"/>
                <w:sz w:val="14"/>
              </w:rPr>
              <w:tab/>
              <w:t>CHOICE {</w:t>
            </w:r>
          </w:p>
          <w:p w14:paraId="660F2577"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perTrp-r17</w:t>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LOS-NLOS-Indicator-r17,</w:t>
            </w:r>
          </w:p>
          <w:p w14:paraId="6E1D4096"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perResource-r17</w:t>
            </w:r>
            <w:r w:rsidRPr="00CD59F9">
              <w:rPr>
                <w:rFonts w:ascii="Courier New" w:hAnsi="Courier New"/>
                <w:sz w:val="14"/>
              </w:rPr>
              <w:tab/>
            </w:r>
            <w:r w:rsidRPr="00CD59F9">
              <w:rPr>
                <w:rFonts w:ascii="Courier New" w:hAnsi="Courier New"/>
                <w:sz w:val="14"/>
              </w:rPr>
              <w:tab/>
            </w:r>
            <w:r w:rsidRPr="00CD59F9">
              <w:rPr>
                <w:rFonts w:ascii="Courier New" w:hAnsi="Courier New"/>
                <w:snapToGrid w:val="0"/>
                <w:sz w:val="14"/>
              </w:rPr>
              <w:t>SEQUENCE (SIZE (</w:t>
            </w:r>
            <w:proofErr w:type="gramStart"/>
            <w:r w:rsidRPr="00CD59F9">
              <w:rPr>
                <w:rFonts w:ascii="Courier New" w:hAnsi="Courier New"/>
                <w:snapToGrid w:val="0"/>
                <w:sz w:val="14"/>
              </w:rPr>
              <w:t>1..</w:t>
            </w:r>
            <w:proofErr w:type="gramEnd"/>
            <w:r w:rsidRPr="00CD59F9">
              <w:rPr>
                <w:rFonts w:ascii="Courier New" w:hAnsi="Courier New"/>
                <w:snapToGrid w:val="0"/>
                <w:sz w:val="14"/>
              </w:rPr>
              <w:t>nrMaxSetsPerTrpPerFreqLayer-r16)) OF</w:t>
            </w:r>
          </w:p>
          <w:p w14:paraId="7343AC15"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r>
            <w:r w:rsidRPr="00CD59F9">
              <w:rPr>
                <w:rFonts w:ascii="Courier New" w:hAnsi="Courier New"/>
                <w:snapToGrid w:val="0"/>
                <w:sz w:val="14"/>
              </w:rPr>
              <w:tab/>
              <w:t>NR-DL-PRS-ExpectedLOS-NLOS-AssistancePer</w:t>
            </w:r>
            <w:r w:rsidRPr="00CD59F9">
              <w:rPr>
                <w:rFonts w:ascii="Courier New" w:hAnsi="Courier New"/>
                <w:sz w:val="14"/>
              </w:rPr>
              <w:t>Resource-r17</w:t>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w:t>
            </w:r>
          </w:p>
          <w:p w14:paraId="062D898F"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t>...</w:t>
            </w:r>
          </w:p>
          <w:p w14:paraId="1C02E408"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4"/>
                <w:szCs w:val="20"/>
              </w:rPr>
            </w:pPr>
            <w:r w:rsidRPr="00CD59F9">
              <w:rPr>
                <w:rFonts w:ascii="Courier New" w:hAnsi="Courier New"/>
                <w:sz w:val="14"/>
              </w:rPr>
              <w:t>}</w:t>
            </w:r>
          </w:p>
          <w:p w14:paraId="35F2B969"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p>
          <w:p w14:paraId="3BBFB4F5"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napToGrid w:val="0"/>
                <w:sz w:val="14"/>
              </w:rPr>
              <w:t>NR-DL-PRS-ExpectedLOS-NLOS-AssistancePerResource-r</w:t>
            </w:r>
            <w:proofErr w:type="gramStart"/>
            <w:r w:rsidRPr="00CD59F9">
              <w:rPr>
                <w:rFonts w:ascii="Courier New" w:hAnsi="Courier New"/>
                <w:snapToGrid w:val="0"/>
                <w:sz w:val="14"/>
              </w:rPr>
              <w:t>17</w:t>
            </w:r>
            <w:r w:rsidRPr="00CD59F9">
              <w:rPr>
                <w:rFonts w:ascii="Courier New" w:hAnsi="Courier New"/>
                <w:sz w:val="14"/>
              </w:rPr>
              <w:t xml:space="preserve"> ::=</w:t>
            </w:r>
            <w:proofErr w:type="gramEnd"/>
          </w:p>
          <w:p w14:paraId="448DDD3E"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SEQUENCE (SIZE (</w:t>
            </w:r>
            <w:proofErr w:type="gramStart"/>
            <w:r w:rsidRPr="00CD59F9">
              <w:rPr>
                <w:rFonts w:ascii="Courier New" w:hAnsi="Courier New"/>
                <w:sz w:val="14"/>
              </w:rPr>
              <w:t>1..</w:t>
            </w:r>
            <w:proofErr w:type="gramEnd"/>
            <w:r w:rsidRPr="00CD59F9">
              <w:rPr>
                <w:rFonts w:ascii="Courier New" w:hAnsi="Courier New"/>
                <w:snapToGrid w:val="0"/>
                <w:sz w:val="14"/>
              </w:rPr>
              <w:t>nrMaxResourcesPerSet-r16</w:t>
            </w:r>
            <w:r w:rsidRPr="00CD59F9">
              <w:rPr>
                <w:rFonts w:ascii="Courier New" w:hAnsi="Courier New"/>
                <w:sz w:val="14"/>
              </w:rPr>
              <w:t>)) OF</w:t>
            </w:r>
          </w:p>
          <w:p w14:paraId="116D5CE2" w14:textId="77777777" w:rsidR="00D35F36" w:rsidRPr="00CD59F9" w:rsidRDefault="00D35F36" w:rsidP="00235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20"/>
              </w:rPr>
            </w:pP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r>
            <w:r w:rsidRPr="00CD59F9">
              <w:rPr>
                <w:rFonts w:ascii="Courier New" w:hAnsi="Courier New"/>
                <w:sz w:val="14"/>
              </w:rPr>
              <w:tab/>
              <w:t>LOS-NLOS-Indicator-r17</w:t>
            </w:r>
          </w:p>
        </w:tc>
      </w:tr>
    </w:tbl>
    <w:p w14:paraId="735D13F2" w14:textId="77777777" w:rsidR="00D35F36" w:rsidRPr="00E215F0" w:rsidRDefault="00D35F36" w:rsidP="00D35F36"/>
    <w:p w14:paraId="46573A7F" w14:textId="673AD10C" w:rsidR="00D35F36" w:rsidRDefault="00D35F36" w:rsidP="00150AF2">
      <w:r w:rsidRPr="00E215F0">
        <w:t>Thus</w:t>
      </w:r>
      <w:r>
        <w:t>,</w:t>
      </w:r>
      <w:r w:rsidRPr="00E215F0">
        <w:t xml:space="preserve"> similar </w:t>
      </w:r>
      <w:r>
        <w:t>LOS/NLOS</w:t>
      </w:r>
      <w:r w:rsidRPr="00E215F0">
        <w:t xml:space="preserve"> assistance data can be signaled to assist with model monitoring. With the assistance data on </w:t>
      </w:r>
      <w:proofErr w:type="spellStart"/>
      <w:r w:rsidRPr="00E215F0">
        <w:t>LoS</w:t>
      </w:r>
      <w:proofErr w:type="spellEnd"/>
      <w:r w:rsidRPr="00E215F0">
        <w:t xml:space="preserve"> links, model output accuracy can be calculated for model performance monitoring</w:t>
      </w:r>
      <w:r>
        <w:t xml:space="preserve"> of </w:t>
      </w:r>
      <w:r w:rsidRPr="00E215F0">
        <w:t>both</w:t>
      </w:r>
      <w:r>
        <w:t xml:space="preserve"> direct and assisted AI/ML positioning.</w:t>
      </w:r>
    </w:p>
    <w:p w14:paraId="1B6BEFA2" w14:textId="77777777" w:rsidR="00D35F36" w:rsidRDefault="00D35F36" w:rsidP="00D35F36">
      <w:pPr>
        <w:pStyle w:val="Heading3"/>
      </w:pPr>
      <w:r>
        <w:tab/>
      </w:r>
      <w:bookmarkStart w:id="2541" w:name="_Ref164864197"/>
      <w:bookmarkStart w:id="2542" w:name="_Toc165991016"/>
      <w:bookmarkStart w:id="2543" w:name="_Ref166192754"/>
      <w:bookmarkStart w:id="2544" w:name="_Ref166243197"/>
      <w:bookmarkStart w:id="2545" w:name="_Toc189845057"/>
      <w:r>
        <w:t xml:space="preserve">Monitoring </w:t>
      </w:r>
      <w:r w:rsidRPr="00B11F71">
        <w:t xml:space="preserve">approach 2 </w:t>
      </w:r>
      <w:r w:rsidRPr="00B11F71">
        <w:rPr>
          <w:lang w:val="en-US"/>
        </w:rPr>
        <w:t>(Label-based)</w:t>
      </w:r>
      <w:r w:rsidRPr="00B11F71">
        <w:t xml:space="preserve"> for assisted</w:t>
      </w:r>
      <w:r>
        <w:t xml:space="preserve"> AI/ML positioning</w:t>
      </w:r>
      <w:bookmarkEnd w:id="2541"/>
      <w:bookmarkEnd w:id="2542"/>
      <w:bookmarkEnd w:id="2543"/>
      <w:bookmarkEnd w:id="2544"/>
      <w:bookmarkEnd w:id="2545"/>
      <w:r>
        <w:t xml:space="preserve"> </w:t>
      </w:r>
    </w:p>
    <w:p w14:paraId="16D4D6FF" w14:textId="77777777" w:rsidR="00D35F36" w:rsidRDefault="00D35F36" w:rsidP="00D35F36">
      <w:r>
        <w:t xml:space="preserve">For assisted AI/ML positioning (Case 3a/2a), the </w:t>
      </w:r>
      <w:proofErr w:type="spellStart"/>
      <w:r>
        <w:t>gNB</w:t>
      </w:r>
      <w:proofErr w:type="spellEnd"/>
      <w:r>
        <w:t xml:space="preserve"> (Case 3a) or target UE (Case 2a) has an AI/ML model taking multiple measurement inputs to produce multiple model outputs such as the </w:t>
      </w:r>
      <w:proofErr w:type="spellStart"/>
      <w:r>
        <w:t>ToAs</w:t>
      </w:r>
      <w:proofErr w:type="spellEnd"/>
      <w:r>
        <w:t xml:space="preserve"> to multiple TRPs. The </w:t>
      </w:r>
      <w:proofErr w:type="spellStart"/>
      <w:r>
        <w:t>ToAs</w:t>
      </w:r>
      <w:proofErr w:type="spellEnd"/>
      <w:r>
        <w:t xml:space="preserve"> can then further processed by the LMF to produce an estimate of the UE position using, for example, conventional triangulation optimization.</w:t>
      </w:r>
    </w:p>
    <w:p w14:paraId="7E48B080" w14:textId="41B56551" w:rsidR="00D35F36" w:rsidRDefault="00D35F36" w:rsidP="00D35F36">
      <w:r>
        <w:t>By leveraging the associated triangulation optimization, the AI/ML model</w:t>
      </w:r>
      <w:r w:rsidRPr="005E6273">
        <w:t xml:space="preserve"> can be monitored without collecting new test samples. </w:t>
      </w:r>
      <w:r>
        <w:t xml:space="preserve">As shown in </w:t>
      </w:r>
      <w:r>
        <w:fldChar w:fldCharType="begin"/>
      </w:r>
      <w:r>
        <w:instrText xml:space="preserve"> REF _Ref164865995 \h </w:instrText>
      </w:r>
      <w:r>
        <w:fldChar w:fldCharType="separate"/>
      </w:r>
      <w:r w:rsidR="00C713E4" w:rsidRPr="00E215F0">
        <w:t xml:space="preserve">Figure </w:t>
      </w:r>
      <w:r w:rsidR="00C713E4">
        <w:rPr>
          <w:noProof/>
        </w:rPr>
        <w:t>5</w:t>
      </w:r>
      <w:r>
        <w:fldChar w:fldCharType="end"/>
      </w:r>
      <w:r>
        <w:t xml:space="preserve"> (b), t</w:t>
      </w:r>
      <w:r w:rsidRPr="005E6273">
        <w:t xml:space="preserve">he </w:t>
      </w:r>
      <w:r>
        <w:t xml:space="preserve">positioning algorithm </w:t>
      </w:r>
      <w:r w:rsidRPr="005E6273">
        <w:t>takes the estimated time of arrivals into conventional triangulation-based error minimization framework to search and determine the UE position. It can be expected that the minimization outcome will have smaller residual losses when the AI/ML models are operating in the correct environment and are generating correct time of arrivals than when the models are applied to an environment different than the one used to train the models.</w:t>
      </w:r>
    </w:p>
    <w:p w14:paraId="45A823B9" w14:textId="77777777" w:rsidR="00D35F36" w:rsidRDefault="00D35F36" w:rsidP="00D35F36">
      <w:r>
        <w:t xml:space="preserve">Therefore, </w:t>
      </w:r>
      <w:r w:rsidRPr="005E6273">
        <w:t>the residual losses from conventional triangulation-based error minimization positioning algorithms</w:t>
      </w:r>
    </w:p>
    <w:p w14:paraId="5E6F488C" w14:textId="77777777" w:rsidR="00D35F36" w:rsidRDefault="00B27F97" w:rsidP="00D35F36">
      <m:oMathPara>
        <m:oMath>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UE</m:t>
                      </m:r>
                    </m:sub>
                  </m:sSub>
                </m:lim>
              </m:limLow>
            </m:fName>
            <m:e>
              <m:nary>
                <m:naryPr>
                  <m:chr m:val="∑"/>
                  <m:supHide m:val="1"/>
                  <m:ctrlPr>
                    <w:rPr>
                      <w:rFonts w:ascii="Cambria Math" w:hAnsi="Cambria Math"/>
                      <w:i/>
                      <w:iCs/>
                    </w:rPr>
                  </m:ctrlPr>
                </m:naryPr>
                <m:sub>
                  <m:r>
                    <w:rPr>
                      <w:rFonts w:ascii="Cambria Math" w:hAnsi="Cambria Math"/>
                    </w:rPr>
                    <m:t>i</m:t>
                  </m:r>
                </m:sub>
                <m:sup/>
                <m:e>
                  <m:d>
                    <m:dPr>
                      <m:begChr m:val="|"/>
                      <m:endChr m:val="|"/>
                      <m:ctrlPr>
                        <w:rPr>
                          <w:rFonts w:ascii="Cambria Math" w:hAnsi="Cambria Math"/>
                          <w:i/>
                          <w:iCs/>
                        </w:rPr>
                      </m:ctrlPr>
                    </m:dPr>
                    <m:e>
                      <m:r>
                        <w:rPr>
                          <w:rFonts w:ascii="Cambria Math" w:hAnsi="Cambria Math"/>
                        </w:rPr>
                        <m:t>d</m:t>
                      </m:r>
                      <m:d>
                        <m:dPr>
                          <m:ctrlPr>
                            <w:rPr>
                              <w:rFonts w:ascii="Cambria Math" w:hAnsi="Cambria Math"/>
                              <w:i/>
                              <w:iCs/>
                            </w:rPr>
                          </m:ctrlPr>
                        </m:dPr>
                        <m:e>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UE</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TRP</m:t>
                              </m:r>
                            </m:sub>
                          </m:sSub>
                          <m:d>
                            <m:dPr>
                              <m:ctrlPr>
                                <w:rPr>
                                  <w:rFonts w:ascii="Cambria Math" w:hAnsi="Cambria Math"/>
                                  <w:i/>
                                  <w:iCs/>
                                </w:rPr>
                              </m:ctrlPr>
                            </m:dPr>
                            <m:e>
                              <m:r>
                                <w:rPr>
                                  <w:rFonts w:ascii="Cambria Math" w:hAnsi="Cambria Math"/>
                                </w:rPr>
                                <m:t>i</m:t>
                              </m:r>
                            </m:e>
                          </m:d>
                        </m:e>
                      </m:d>
                      <m:r>
                        <w:rPr>
                          <w:rFonts w:ascii="Cambria Math" w:hAnsi="Cambria Math"/>
                        </w:rPr>
                        <m:t>-c⋅</m:t>
                      </m:r>
                      <m:acc>
                        <m:accPr>
                          <m:ctrlPr>
                            <w:rPr>
                              <w:rFonts w:ascii="Cambria Math" w:hAnsi="Cambria Math"/>
                              <w:i/>
                              <w:iCs/>
                            </w:rPr>
                          </m:ctrlPr>
                        </m:accPr>
                        <m:e>
                          <m:r>
                            <w:rPr>
                              <w:rFonts w:ascii="Cambria Math" w:hAnsi="Cambria Math"/>
                            </w:rPr>
                            <m:t>t</m:t>
                          </m:r>
                        </m:e>
                      </m:acc>
                      <m:d>
                        <m:dPr>
                          <m:ctrlPr>
                            <w:rPr>
                              <w:rFonts w:ascii="Cambria Math" w:hAnsi="Cambria Math"/>
                              <w:i/>
                              <w:iCs/>
                            </w:rPr>
                          </m:ctrlPr>
                        </m:dPr>
                        <m:e>
                          <m:r>
                            <w:rPr>
                              <w:rFonts w:ascii="Cambria Math" w:hAnsi="Cambria Math"/>
                            </w:rPr>
                            <m:t>i</m:t>
                          </m:r>
                        </m:e>
                      </m:d>
                    </m:e>
                  </m:d>
                </m:e>
              </m:nary>
            </m:e>
          </m:func>
        </m:oMath>
      </m:oMathPara>
    </w:p>
    <w:p w14:paraId="6E3F029E" w14:textId="77777777" w:rsidR="00D35F36" w:rsidRDefault="00D35F36" w:rsidP="00D35F36">
      <w:r>
        <w:t xml:space="preserve">can be considered as an audit on the performance of the AI/ML model generating the </w:t>
      </w:r>
      <w:proofErr w:type="spellStart"/>
      <w:r>
        <w:t>ToA</w:t>
      </w:r>
      <w:proofErr w:type="spellEnd"/>
      <w:r>
        <w:t xml:space="preserve"> estimates.</w:t>
      </w:r>
    </w:p>
    <w:p w14:paraId="0254467D" w14:textId="73271756" w:rsidR="00D35F36" w:rsidRPr="005E6273" w:rsidRDefault="00D35F36" w:rsidP="00D35F36">
      <w:r w:rsidRPr="005E6273">
        <w:t xml:space="preserve">In </w:t>
      </w:r>
      <w:r w:rsidRPr="005E6273">
        <w:fldChar w:fldCharType="begin"/>
      </w:r>
      <w:r w:rsidRPr="003F7CFD">
        <w:rPr>
          <w:color w:val="7030A0"/>
        </w:rPr>
        <w:instrText xml:space="preserve"> REF _Ref131539736 \h  \* MERGEFORMAT </w:instrText>
      </w:r>
      <w:r w:rsidRPr="005E6273">
        <w:fldChar w:fldCharType="separate"/>
      </w:r>
      <w:r w:rsidR="00C713E4" w:rsidRPr="003A583A">
        <w:t xml:space="preserve">Figure </w:t>
      </w:r>
      <w:r w:rsidR="00C713E4">
        <w:t>8</w:t>
      </w:r>
      <w:r w:rsidRPr="005E6273">
        <w:fldChar w:fldCharType="end"/>
      </w:r>
      <w:r w:rsidRPr="005E6273">
        <w:t xml:space="preserve">, we provide the residual losses from conventional triangulation-based error minimization positioning algorithms. The AI/ML models for supplying the </w:t>
      </w:r>
      <w:proofErr w:type="spellStart"/>
      <w:r w:rsidRPr="005E6273">
        <w:t>ToAs</w:t>
      </w:r>
      <w:proofErr w:type="spellEnd"/>
      <w:r w:rsidRPr="005E6273">
        <w:t xml:space="preserve"> are trained with a dataset for the {60%, 6m, 2m} parameter.</w:t>
      </w:r>
    </w:p>
    <w:p w14:paraId="7620C9DA" w14:textId="77777777" w:rsidR="00D35F36" w:rsidRPr="001942D0" w:rsidRDefault="00D35F36" w:rsidP="005925D5">
      <w:pPr>
        <w:pStyle w:val="ListParagraph"/>
        <w:numPr>
          <w:ilvl w:val="0"/>
          <w:numId w:val="60"/>
        </w:numPr>
      </w:pPr>
      <w:r w:rsidRPr="35DAF9E0">
        <w:t>When the trained model is operating in the same environment of {60%, 6m, 2m}, the residual losses shown in blue line are below 0.77 with a probability of 99%.</w:t>
      </w:r>
    </w:p>
    <w:p w14:paraId="62ECA2FC" w14:textId="77777777" w:rsidR="00D35F36" w:rsidRPr="001942D0" w:rsidRDefault="00D35F36" w:rsidP="005925D5">
      <w:pPr>
        <w:pStyle w:val="ListParagraph"/>
        <w:numPr>
          <w:ilvl w:val="0"/>
          <w:numId w:val="60"/>
        </w:numPr>
      </w:pPr>
      <w:r w:rsidRPr="35DAF9E0">
        <w:t>When the trained model is operating in the substantially different environment of {40%, 2m, 2m} where the model performs badly, the residual losses shown in orange line are above 0.77 with a probability of 99%.</w:t>
      </w:r>
    </w:p>
    <w:p w14:paraId="2B3598F5" w14:textId="77777777" w:rsidR="00D35F36" w:rsidRPr="001942D0" w:rsidRDefault="00D35F36" w:rsidP="005925D5">
      <w:pPr>
        <w:pStyle w:val="ListParagraph"/>
        <w:numPr>
          <w:ilvl w:val="0"/>
          <w:numId w:val="60"/>
        </w:numPr>
      </w:pPr>
      <w:r w:rsidRPr="001942D0">
        <w:t xml:space="preserve">When the trained model is operating in a moderately different environment of {40%, 6m, 2m}, where the test environment has drifted from the training set environment, but the model is still performing well, the distribution of the residual losses shown in green remain quite </w:t>
      </w:r>
      <w:proofErr w:type="gramStart"/>
      <w:r w:rsidRPr="001942D0">
        <w:t>similar to</w:t>
      </w:r>
      <w:proofErr w:type="gramEnd"/>
      <w:r w:rsidRPr="001942D0">
        <w:t xml:space="preserve"> those for the {60%, 6m, 2m} environment (blue line).</w:t>
      </w:r>
    </w:p>
    <w:p w14:paraId="4239A8B3" w14:textId="77777777" w:rsidR="00D35F36" w:rsidRPr="005E6273" w:rsidRDefault="00D35F36" w:rsidP="00D35F36">
      <w:r w:rsidRPr="005E6273">
        <w:t>From this analysis, it can be concluded that the residual losses from the conventional positioning algorithms can be used as a reliable metric to detect model/environment mismatch. For the example shown here, one could determine a threshold for flagging model refinement/re-training, for example, threshold =</w:t>
      </w:r>
      <w:r>
        <w:t xml:space="preserve"> </w:t>
      </w:r>
      <w:r w:rsidRPr="005E6273">
        <w:t xml:space="preserve">1 considering both blue and green curves. If the positioning residual losses are above this threshold, there is a high chance that the environment has drifted too far from the training environment and the model will need to be replaced or adjusted. </w:t>
      </w:r>
    </w:p>
    <w:p w14:paraId="3909AF9F" w14:textId="77777777" w:rsidR="00D35F36" w:rsidRPr="005E6273" w:rsidRDefault="00D35F36" w:rsidP="00D35F36"/>
    <w:p w14:paraId="43A34360" w14:textId="77777777" w:rsidR="00D35F36" w:rsidRPr="003F7CFD" w:rsidRDefault="00D35F36" w:rsidP="00D35F36">
      <w:pPr>
        <w:jc w:val="center"/>
        <w:rPr>
          <w:color w:val="7030A0"/>
        </w:rPr>
      </w:pPr>
      <w:r w:rsidRPr="003F7CFD">
        <w:rPr>
          <w:noProof/>
          <w:color w:val="7030A0"/>
        </w:rPr>
        <w:drawing>
          <wp:inline distT="0" distB="0" distL="0" distR="0" wp14:anchorId="0C2E1E3E" wp14:editId="604AEABE">
            <wp:extent cx="3676650" cy="2533650"/>
            <wp:effectExtent l="0" t="0" r="0" b="0"/>
            <wp:docPr id="31" name="Picture 3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20"/>
                    <a:stretch>
                      <a:fillRect/>
                    </a:stretch>
                  </pic:blipFill>
                  <pic:spPr>
                    <a:xfrm>
                      <a:off x="0" y="0"/>
                      <a:ext cx="3676650" cy="2533650"/>
                    </a:xfrm>
                    <a:prstGeom prst="rect">
                      <a:avLst/>
                    </a:prstGeom>
                  </pic:spPr>
                </pic:pic>
              </a:graphicData>
            </a:graphic>
          </wp:inline>
        </w:drawing>
      </w:r>
    </w:p>
    <w:p w14:paraId="695C80D4" w14:textId="250BC3C3" w:rsidR="00D35F36" w:rsidRPr="003A583A" w:rsidRDefault="00D35F36" w:rsidP="00D35F36">
      <w:pPr>
        <w:pStyle w:val="Caption"/>
      </w:pPr>
      <w:bookmarkStart w:id="2546" w:name="_Ref131539736"/>
      <w:r w:rsidRPr="003A583A">
        <w:t xml:space="preserve">Figure </w:t>
      </w:r>
      <w:r w:rsidR="00E70DE4">
        <w:fldChar w:fldCharType="begin"/>
      </w:r>
      <w:r w:rsidR="00E70DE4">
        <w:instrText xml:space="preserve"> SEQ Figure \* ARABIC </w:instrText>
      </w:r>
      <w:r w:rsidR="00E70DE4">
        <w:fldChar w:fldCharType="separate"/>
      </w:r>
      <w:r w:rsidR="00C713E4">
        <w:rPr>
          <w:noProof/>
        </w:rPr>
        <w:t>8</w:t>
      </w:r>
      <w:r w:rsidR="00E70DE4">
        <w:rPr>
          <w:noProof/>
        </w:rPr>
        <w:fldChar w:fldCharType="end"/>
      </w:r>
      <w:bookmarkEnd w:id="2546"/>
      <w:r w:rsidRPr="003A583A">
        <w:t>: Residual losses from conventional triangulation-based error minimization positioning algorithms. The ML model is trained in the {60%, 6m, 2m} environment and tested in three environments: {60%, 6m, 2m}, {40%, 6m, 2m} and {40%, 2m, 2m}.</w:t>
      </w:r>
    </w:p>
    <w:p w14:paraId="1CC745BF" w14:textId="77777777" w:rsidR="00D35F36" w:rsidRPr="005E6273" w:rsidRDefault="00D35F36" w:rsidP="00D35F36"/>
    <w:p w14:paraId="23CB661D" w14:textId="77777777" w:rsidR="00D35F36" w:rsidRPr="005E6273" w:rsidRDefault="00D35F36" w:rsidP="00D35F36">
      <w:r w:rsidRPr="005E6273">
        <w:t xml:space="preserve">Based on the investigation above, the intrinsic model monitoring for AI/ML assisted approaches is a valuable model monitoring method. The complexity, latency, and power consumption are negligible since the computation is already part of the conventional triangulation method. </w:t>
      </w:r>
    </w:p>
    <w:p w14:paraId="4D192314" w14:textId="3C46FA47" w:rsidR="00D35F36" w:rsidRPr="005E6273" w:rsidRDefault="00D35F36" w:rsidP="00D35F36">
      <w:r w:rsidRPr="005E6273">
        <w:t>In literature, the important model monitoring metrics include false alarm rate (FAR), missed detection rate (MDR), and detection delay.</w:t>
      </w:r>
      <w:r>
        <w:t xml:space="preserve"> </w:t>
      </w:r>
      <w:r w:rsidRPr="005E6273">
        <w:t xml:space="preserve">For the simplistic case evaluated in </w:t>
      </w:r>
      <w:r w:rsidRPr="005E6273">
        <w:fldChar w:fldCharType="begin"/>
      </w:r>
      <w:r w:rsidRPr="003F7CFD">
        <w:rPr>
          <w:color w:val="7030A0"/>
        </w:rPr>
        <w:instrText xml:space="preserve"> REF _Ref131539736 \h </w:instrText>
      </w:r>
      <w:r w:rsidRPr="005E6273">
        <w:fldChar w:fldCharType="separate"/>
      </w:r>
      <w:r w:rsidR="00C713E4" w:rsidRPr="003A583A">
        <w:t xml:space="preserve">Figure </w:t>
      </w:r>
      <w:r w:rsidR="00C713E4">
        <w:rPr>
          <w:noProof/>
        </w:rPr>
        <w:t>8</w:t>
      </w:r>
      <w:r w:rsidRPr="005E6273">
        <w:fldChar w:fldCharType="end"/>
      </w:r>
      <w:r w:rsidRPr="005E6273">
        <w:t>, they can be estimated as follows. Assume the threshold for declare the model has drifted or not is</w:t>
      </w:r>
      <w:r>
        <w:t xml:space="preserve"> set at</w:t>
      </w:r>
      <w:r w:rsidRPr="005E6273">
        <w:t xml:space="preserve"> residual loss =1. This corresponds to CDF=99.5% for the ‘no drift’ cases ({60%, 6m, 2m} and {40%, 2m, 2m}), and CDF=3% for the ‘drift’ case ({40%, 6m, 2m}).</w:t>
      </w:r>
    </w:p>
    <w:p w14:paraId="5863871D" w14:textId="77777777" w:rsidR="00D35F36" w:rsidRPr="005E6273" w:rsidRDefault="00D35F36" w:rsidP="00D35F36">
      <w:r w:rsidRPr="005E6273">
        <w:t xml:space="preserve">The model monitoring algorithm can monitor </w:t>
      </w:r>
      <m:oMath>
        <m:r>
          <w:rPr>
            <w:rFonts w:ascii="Cambria Math" w:hAnsi="Cambria Math"/>
          </w:rPr>
          <m:t>m</m:t>
        </m:r>
      </m:oMath>
      <w:r w:rsidRPr="005E6273">
        <w:t xml:space="preserve"> positioning requests to decide ‘drift’ or not. If for all </w:t>
      </w:r>
      <m:oMath>
        <m:r>
          <w:rPr>
            <w:rFonts w:ascii="Cambria Math" w:hAnsi="Cambria Math"/>
          </w:rPr>
          <m:t>m</m:t>
        </m:r>
      </m:oMath>
      <w:r w:rsidRPr="005E6273">
        <w:t xml:space="preserve"> positioning requests, the residual loss is less than 1m, then ‘no drift’ is declared; otherwise, ‘drift’ is declared. In this case,</w:t>
      </w:r>
    </w:p>
    <w:p w14:paraId="7D433CFF" w14:textId="77777777" w:rsidR="00D35F36" w:rsidRPr="005E6273" w:rsidRDefault="00D35F36" w:rsidP="005925D5">
      <w:pPr>
        <w:pStyle w:val="ListParagraph"/>
        <w:numPr>
          <w:ilvl w:val="0"/>
          <w:numId w:val="61"/>
        </w:numPr>
      </w:pPr>
      <w:r w:rsidRPr="005E6273">
        <w:t xml:space="preserve">FAR = </w:t>
      </w:r>
      <m:oMath>
        <m:r>
          <m:rPr>
            <m:sty m:val="p"/>
          </m:rPr>
          <w:rPr>
            <w:rFonts w:ascii="Cambria Math" w:hAnsi="Cambria Math"/>
          </w:rPr>
          <m:t>1-</m:t>
        </m:r>
        <m:sSup>
          <m:sSupPr>
            <m:ctrlPr>
              <w:rPr>
                <w:rFonts w:ascii="Cambria Math" w:hAnsi="Cambria Math"/>
              </w:rPr>
            </m:ctrlPr>
          </m:sSupPr>
          <m:e>
            <m:r>
              <m:rPr>
                <m:sty m:val="p"/>
              </m:rPr>
              <w:rPr>
                <w:rFonts w:ascii="Cambria Math" w:hAnsi="Cambria Math"/>
              </w:rPr>
              <m:t>0.995</m:t>
            </m:r>
          </m:e>
          <m:sup>
            <m:r>
              <w:rPr>
                <w:rFonts w:ascii="Cambria Math" w:hAnsi="Cambria Math"/>
              </w:rPr>
              <m:t>m</m:t>
            </m:r>
          </m:sup>
        </m:sSup>
      </m:oMath>
      <w:r w:rsidRPr="005E6273">
        <w:t>, the probability that the environment has not significantly changed (stayed at blue or green curve), but ‘drift’ is declared.</w:t>
      </w:r>
    </w:p>
    <w:p w14:paraId="1787FE32" w14:textId="77777777" w:rsidR="00D35F36" w:rsidRPr="005E6273" w:rsidRDefault="00D35F36" w:rsidP="005925D5">
      <w:pPr>
        <w:pStyle w:val="ListParagraph"/>
        <w:numPr>
          <w:ilvl w:val="0"/>
          <w:numId w:val="61"/>
        </w:numPr>
      </w:pPr>
      <w:r w:rsidRPr="005E6273">
        <w:t xml:space="preserve">MDR = </w:t>
      </w:r>
      <m:oMath>
        <m:sSup>
          <m:sSupPr>
            <m:ctrlPr>
              <w:rPr>
                <w:rFonts w:ascii="Cambria Math" w:hAnsi="Cambria Math"/>
              </w:rPr>
            </m:ctrlPr>
          </m:sSupPr>
          <m:e>
            <m:r>
              <m:rPr>
                <m:sty m:val="p"/>
              </m:rPr>
              <w:rPr>
                <w:rFonts w:ascii="Cambria Math" w:hAnsi="Cambria Math"/>
              </w:rPr>
              <m:t>0.03</m:t>
            </m:r>
          </m:e>
          <m:sup>
            <m:r>
              <w:rPr>
                <w:rFonts w:ascii="Cambria Math" w:hAnsi="Cambria Math"/>
              </w:rPr>
              <m:t>m</m:t>
            </m:r>
          </m:sup>
        </m:sSup>
      </m:oMath>
      <w:r w:rsidRPr="005E6273">
        <w:t>, the probability that the environment has changed significantly (i.e., changed to orange curve), but ‘no drift’ is declared.</w:t>
      </w:r>
    </w:p>
    <w:p w14:paraId="572F8BDF" w14:textId="77777777" w:rsidR="00D35F36" w:rsidRDefault="00D35F36" w:rsidP="00D35F36">
      <w:r w:rsidRPr="005E6273">
        <w:t xml:space="preserve">The detection delay is the time to observe </w:t>
      </w:r>
      <m:oMath>
        <m:r>
          <w:rPr>
            <w:rFonts w:ascii="Cambria Math" w:hAnsi="Cambria Math"/>
          </w:rPr>
          <m:t>m</m:t>
        </m:r>
      </m:oMath>
      <w:r w:rsidRPr="005E6273">
        <w:t xml:space="preserve"> positioning occasions. Plugging in </w:t>
      </w:r>
      <m:oMath>
        <m:r>
          <w:rPr>
            <w:rFonts w:ascii="Cambria Math" w:hAnsi="Cambria Math"/>
          </w:rPr>
          <m:t>m=2</m:t>
        </m:r>
      </m:oMath>
      <w:r w:rsidRPr="005E6273">
        <w:t xml:space="preserve"> shows that this simple method can achieve FAR=1% and MDR=0.09%. </w:t>
      </w:r>
    </w:p>
    <w:p w14:paraId="5615BD55" w14:textId="77777777" w:rsidR="00D35F36" w:rsidRDefault="00D35F36" w:rsidP="00D35F36">
      <w:pPr>
        <w:pStyle w:val="Heading3"/>
      </w:pPr>
      <w:r>
        <w:tab/>
      </w:r>
      <w:bookmarkStart w:id="2547" w:name="_Ref164864188"/>
      <w:bookmarkStart w:id="2548" w:name="_Toc165991017"/>
      <w:bookmarkStart w:id="2549" w:name="_Ref166232203"/>
      <w:bookmarkStart w:id="2550" w:name="_Toc189845058"/>
      <w:r>
        <w:t xml:space="preserve">Monitoring approach 3 </w:t>
      </w:r>
      <w:r>
        <w:rPr>
          <w:lang w:val="en-US"/>
        </w:rPr>
        <w:t>(Label-free)</w:t>
      </w:r>
      <w:r>
        <w:t>: ML model self-monitoring</w:t>
      </w:r>
      <w:bookmarkEnd w:id="2547"/>
      <w:bookmarkEnd w:id="2548"/>
      <w:bookmarkEnd w:id="2549"/>
      <w:bookmarkEnd w:id="2550"/>
    </w:p>
    <w:p w14:paraId="1B0D3F1F" w14:textId="77777777" w:rsidR="00D35F36" w:rsidRDefault="00D35F36" w:rsidP="00D35F36">
      <w:r>
        <w:t>Data augmentation is an important and in fact indispensable component of training high performance deep learning models with limited data. In addition, data augmentation may also enable the model to</w:t>
      </w:r>
      <w:r w:rsidRPr="005E6273">
        <w:t xml:space="preserve"> self</w:t>
      </w:r>
      <w:r>
        <w:t>-</w:t>
      </w:r>
      <w:r w:rsidRPr="005E6273">
        <w:t>monitor without collecting new test samples nor ground truth UE positions. One model-based self-monitoring method is described below.</w:t>
      </w:r>
    </w:p>
    <w:p w14:paraId="663B488C" w14:textId="77777777" w:rsidR="00D35F36" w:rsidRPr="005E6273" w:rsidRDefault="00D35F36" w:rsidP="005925D5">
      <w:pPr>
        <w:pStyle w:val="ListParagraph"/>
        <w:numPr>
          <w:ilvl w:val="0"/>
          <w:numId w:val="59"/>
        </w:numPr>
      </w:pPr>
      <w:r>
        <w:t>M</w:t>
      </w:r>
      <w:r w:rsidRPr="005E6273">
        <w:t>odel training with data augmentation</w:t>
      </w:r>
    </w:p>
    <w:p w14:paraId="0B5B1D39" w14:textId="77777777" w:rsidR="00D35F36" w:rsidRPr="005E6273" w:rsidRDefault="00D35F36" w:rsidP="005925D5">
      <w:pPr>
        <w:pStyle w:val="ListParagraph"/>
        <w:numPr>
          <w:ilvl w:val="1"/>
          <w:numId w:val="59"/>
        </w:numPr>
      </w:pPr>
      <w:r w:rsidRPr="005E6273">
        <w:t xml:space="preserve">Given ground truth samples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p>
    <w:p w14:paraId="417CB892" w14:textId="77777777" w:rsidR="00D35F36" w:rsidRPr="005E6273" w:rsidRDefault="00D35F36" w:rsidP="005925D5">
      <w:pPr>
        <w:pStyle w:val="ListParagraph"/>
        <w:numPr>
          <w:ilvl w:val="1"/>
          <w:numId w:val="59"/>
        </w:numPr>
      </w:pPr>
      <w:r w:rsidRPr="005E6273">
        <w:t xml:space="preserve">Train the model with a mixture of </w:t>
      </w:r>
    </w:p>
    <w:p w14:paraId="68C1A0F6" w14:textId="77777777" w:rsidR="00D35F36" w:rsidRPr="005E6273" w:rsidRDefault="00D35F36" w:rsidP="005925D5">
      <w:pPr>
        <w:pStyle w:val="ListParagraph"/>
        <w:numPr>
          <w:ilvl w:val="2"/>
          <w:numId w:val="59"/>
        </w:numPr>
      </w:pPr>
      <w:r w:rsidRPr="005E6273">
        <w:t xml:space="preserve">Unmodified samples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p>
    <w:p w14:paraId="6748FB18" w14:textId="77777777" w:rsidR="00D35F36" w:rsidRPr="005E6273" w:rsidRDefault="00D35F36" w:rsidP="005925D5">
      <w:pPr>
        <w:pStyle w:val="ListParagraph"/>
        <w:numPr>
          <w:ilvl w:val="2"/>
          <w:numId w:val="59"/>
        </w:numPr>
      </w:pPr>
      <w:r w:rsidRPr="35DAF9E0">
        <w:t xml:space="preserve">Data augmentation modified samples </w:t>
      </w:r>
      <m:oMath>
        <m:d>
          <m:dPr>
            <m:ctrlPr>
              <w:rPr>
                <w:rFonts w:ascii="Cambria Math" w:hAnsi="Cambria Math"/>
              </w:rPr>
            </m:ctrlPr>
          </m:dPr>
          <m:e>
            <m:sSubSup>
              <m:sSubSupPr>
                <m:ctrlPr>
                  <w:rPr>
                    <w:rFonts w:ascii="Cambria Math" w:hAnsi="Cambria Math"/>
                  </w:rPr>
                </m:ctrlPr>
              </m:sSubSupPr>
              <m:e>
                <m:r>
                  <w:rPr>
                    <w:rFonts w:ascii="Cambria Math" w:hAnsi="Cambria Math"/>
                  </w:rPr>
                  <m:t>x</m:t>
                </m:r>
              </m:e>
              <m:sub>
                <m:r>
                  <w:rPr>
                    <w:rFonts w:ascii="Cambria Math" w:hAnsi="Cambria Math"/>
                  </w:rPr>
                  <m:t>i</m:t>
                </m:r>
              </m:sub>
              <m:sup>
                <m:r>
                  <m:rPr>
                    <m:sty m:val="p"/>
                  </m:rPr>
                  <w:rPr>
                    <w:rFonts w:ascii="Cambria Math" w:hAnsi="Cambria Math"/>
                  </w:rPr>
                  <m:t>'</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i</m:t>
                </m:r>
              </m:sub>
            </m:sSub>
          </m:e>
        </m:d>
      </m:oMath>
      <w:r w:rsidRPr="35DAF9E0">
        <w:t xml:space="preserve"> </w:t>
      </w:r>
    </w:p>
    <w:p w14:paraId="75D5BFFA" w14:textId="77777777" w:rsidR="00D35F36" w:rsidRPr="005E6273" w:rsidRDefault="00D35F36" w:rsidP="005925D5">
      <w:pPr>
        <w:pStyle w:val="ListParagraph"/>
        <w:numPr>
          <w:ilvl w:val="0"/>
          <w:numId w:val="59"/>
        </w:numPr>
      </w:pPr>
      <w:r w:rsidRPr="005E6273">
        <w:t>Self-model monitoring at operation</w:t>
      </w:r>
    </w:p>
    <w:p w14:paraId="2432C81E" w14:textId="77777777" w:rsidR="00D35F36" w:rsidRPr="005E6273" w:rsidRDefault="00D35F36" w:rsidP="005925D5">
      <w:pPr>
        <w:pStyle w:val="ListParagraph"/>
        <w:numPr>
          <w:ilvl w:val="1"/>
          <w:numId w:val="59"/>
        </w:numPr>
      </w:pPr>
      <w:r w:rsidRPr="005E6273">
        <w:t xml:space="preserve">Given positioning request data </w:t>
      </w:r>
      <m:oMath>
        <m:sSub>
          <m:sSubPr>
            <m:ctrlPr>
              <w:rPr>
                <w:rFonts w:ascii="Cambria Math" w:hAnsi="Cambria Math"/>
              </w:rPr>
            </m:ctrlPr>
          </m:sSubPr>
          <m:e>
            <m:r>
              <w:rPr>
                <w:rFonts w:ascii="Cambria Math" w:hAnsi="Cambria Math"/>
              </w:rPr>
              <m:t>x</m:t>
            </m:r>
          </m:e>
          <m:sub>
            <m:r>
              <w:rPr>
                <w:rFonts w:ascii="Cambria Math" w:hAnsi="Cambria Math"/>
              </w:rPr>
              <m:t>j</m:t>
            </m:r>
          </m:sub>
        </m:sSub>
      </m:oMath>
    </w:p>
    <w:p w14:paraId="4B33E8C3" w14:textId="77777777" w:rsidR="00D35F36" w:rsidRPr="005E6273" w:rsidRDefault="00D35F36" w:rsidP="005925D5">
      <w:pPr>
        <w:pStyle w:val="ListParagraph"/>
        <w:numPr>
          <w:ilvl w:val="1"/>
          <w:numId w:val="59"/>
        </w:numPr>
      </w:pPr>
      <w:r w:rsidRPr="005E6273">
        <w:t xml:space="preserve">Obtain a first target estimate </w:t>
      </w:r>
      <m:oMath>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oMath>
      <w:r w:rsidRPr="005E6273">
        <w:t xml:space="preserve"> using unmodified data </w:t>
      </w:r>
      <m:oMath>
        <m:sSub>
          <m:sSubPr>
            <m:ctrlPr>
              <w:rPr>
                <w:rFonts w:ascii="Cambria Math" w:hAnsi="Cambria Math"/>
              </w:rPr>
            </m:ctrlPr>
          </m:sSubPr>
          <m:e>
            <m:r>
              <w:rPr>
                <w:rFonts w:ascii="Cambria Math" w:hAnsi="Cambria Math"/>
              </w:rPr>
              <m:t>x</m:t>
            </m:r>
          </m:e>
          <m:sub>
            <m:r>
              <w:rPr>
                <w:rFonts w:ascii="Cambria Math" w:hAnsi="Cambria Math"/>
              </w:rPr>
              <m:t>j</m:t>
            </m:r>
          </m:sub>
        </m:sSub>
      </m:oMath>
    </w:p>
    <w:p w14:paraId="21754DB8" w14:textId="77777777" w:rsidR="00D35F36" w:rsidRPr="005E6273" w:rsidRDefault="00D35F36" w:rsidP="005925D5">
      <w:pPr>
        <w:pStyle w:val="ListParagraph"/>
        <w:numPr>
          <w:ilvl w:val="1"/>
          <w:numId w:val="59"/>
        </w:numPr>
      </w:pPr>
      <w:r w:rsidRPr="35DAF9E0">
        <w:t xml:space="preserve">Obtain a second target estimate </w:t>
      </w:r>
      <m:oMath>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oMath>
      <w:r w:rsidRPr="35DAF9E0">
        <w:t xml:space="preserve"> using data augmentation modified data </w:t>
      </w:r>
      <m:oMath>
        <m:sSubSup>
          <m:sSubSupPr>
            <m:ctrlPr>
              <w:rPr>
                <w:rFonts w:ascii="Cambria Math" w:hAnsi="Cambria Math"/>
              </w:rPr>
            </m:ctrlPr>
          </m:sSubSupPr>
          <m:e>
            <m:r>
              <w:rPr>
                <w:rFonts w:ascii="Cambria Math" w:hAnsi="Cambria Math"/>
              </w:rPr>
              <m:t>x</m:t>
            </m:r>
          </m:e>
          <m:sub>
            <m:r>
              <w:rPr>
                <w:rFonts w:ascii="Cambria Math" w:hAnsi="Cambria Math"/>
              </w:rPr>
              <m:t>j</m:t>
            </m:r>
          </m:sub>
          <m:sup>
            <m:r>
              <m:rPr>
                <m:sty m:val="p"/>
              </m:rPr>
              <w:rPr>
                <w:rFonts w:ascii="Cambria Math" w:hAnsi="Cambria Math"/>
              </w:rPr>
              <m:t>'</m:t>
            </m:r>
          </m:sup>
        </m:sSubSup>
      </m:oMath>
      <w:r w:rsidRPr="35DAF9E0">
        <w:t xml:space="preserve"> </w:t>
      </w:r>
    </w:p>
    <w:p w14:paraId="2C334D42" w14:textId="77777777" w:rsidR="00D35F36" w:rsidRPr="005E6273" w:rsidRDefault="00D35F36" w:rsidP="005925D5">
      <w:pPr>
        <w:pStyle w:val="ListParagraph"/>
        <w:numPr>
          <w:ilvl w:val="1"/>
          <w:numId w:val="59"/>
        </w:numPr>
      </w:pPr>
      <w:r w:rsidRPr="005E6273">
        <w:t xml:space="preserve">Check the difference between the two target estimates, </w:t>
      </w:r>
      <m:oMath>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r>
          <m:rPr>
            <m:sty m:val="p"/>
          </m:rPr>
          <w:rPr>
            <w:rFonts w:ascii="Cambria Math" w:hAnsi="Cambria Math"/>
          </w:rPr>
          <m:t>‖</m:t>
        </m:r>
      </m:oMath>
      <w:r w:rsidRPr="005E6273">
        <w:t xml:space="preserve">. </w:t>
      </w:r>
    </w:p>
    <w:p w14:paraId="4727A668" w14:textId="2E31919E" w:rsidR="00D35F36" w:rsidRPr="005E6273" w:rsidRDefault="00D35F36" w:rsidP="00D35F36">
      <w:r w:rsidRPr="005E6273">
        <w:t xml:space="preserve">We investigate the effectiveness of this self-monitoring approach using </w:t>
      </w:r>
      <w:r w:rsidRPr="005F0C6D">
        <w:t>the smallest model</w:t>
      </w:r>
      <w:r w:rsidRPr="005E6273">
        <w:t xml:space="preserve"> (0.73 M parameters) for the centralized direct positioning approach trained with {60%, 6m, 2m} dataset samples. The CDF of the test results are summarized in </w:t>
      </w:r>
      <w:r w:rsidRPr="005E6273">
        <w:fldChar w:fldCharType="begin"/>
      </w:r>
      <w:r w:rsidRPr="005F0C6D">
        <w:instrText xml:space="preserve"> REF _Ref126938774 \h  \* MERGEFORMAT </w:instrText>
      </w:r>
      <w:r w:rsidRPr="005E6273">
        <w:fldChar w:fldCharType="separate"/>
      </w:r>
      <w:r w:rsidR="00C713E4" w:rsidRPr="005E6273">
        <w:t xml:space="preserve">Figure </w:t>
      </w:r>
      <w:r w:rsidR="00C713E4" w:rsidRPr="00C713E4">
        <w:t>9</w:t>
      </w:r>
      <w:r w:rsidRPr="005E6273">
        <w:fldChar w:fldCharType="end"/>
      </w:r>
      <w:r w:rsidRPr="005E6273">
        <w:t>. It can be observed that:</w:t>
      </w:r>
    </w:p>
    <w:p w14:paraId="5727BDEB" w14:textId="77777777" w:rsidR="00D35F36" w:rsidRPr="005E6273" w:rsidRDefault="00D35F36" w:rsidP="005925D5">
      <w:pPr>
        <w:pStyle w:val="ListParagraph"/>
        <w:numPr>
          <w:ilvl w:val="0"/>
          <w:numId w:val="59"/>
        </w:numPr>
      </w:pPr>
      <w:r w:rsidRPr="35DAF9E0">
        <w:t xml:space="preserve">When the model is operating in environments </w:t>
      </w:r>
      <w:proofErr w:type="gramStart"/>
      <w:r w:rsidRPr="35DAF9E0">
        <w:t>similar to</w:t>
      </w:r>
      <w:proofErr w:type="gramEnd"/>
      <w:r w:rsidRPr="35DAF9E0">
        <w:t xml:space="preserve"> that it was trained for (such as the {60%, 6m, 2m} and {40%, 6m, 2m} environments), the two UE position estimates do not differ by more than 1 m, i.e., </w:t>
      </w:r>
      <m:oMath>
        <m:d>
          <m:dPr>
            <m:begChr m:val="‖"/>
            <m:endChr m:val="‖"/>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j</m:t>
                </m:r>
              </m:sub>
            </m:sSub>
            <m:r>
              <m:rPr>
                <m:sty m:val="p"/>
              </m:rPr>
              <w:rPr>
                <w:rFonts w:ascii="Cambria Math" w:hAnsi="Cambria Math"/>
              </w:rPr>
              <m:t>-</m:t>
            </m:r>
            <m:sSubSup>
              <m:sSubSupPr>
                <m:ctrlPr>
                  <w:rPr>
                    <w:rFonts w:ascii="Cambria Math" w:hAnsi="Cambria Math"/>
                  </w:rPr>
                </m:ctrlPr>
              </m:sSubSupPr>
              <m:e>
                <m:acc>
                  <m:accPr>
                    <m:ctrlPr>
                      <w:rPr>
                        <w:rFonts w:ascii="Cambria Math" w:hAnsi="Cambria Math"/>
                      </w:rPr>
                    </m:ctrlPr>
                  </m:accPr>
                  <m:e>
                    <m:r>
                      <w:rPr>
                        <w:rFonts w:ascii="Cambria Math" w:hAnsi="Cambria Math"/>
                      </w:rPr>
                      <m:t>y</m:t>
                    </m:r>
                  </m:e>
                </m:acc>
              </m:e>
              <m:sub>
                <m:r>
                  <w:rPr>
                    <w:rFonts w:ascii="Cambria Math" w:hAnsi="Cambria Math"/>
                  </w:rPr>
                  <m:t>j</m:t>
                </m:r>
              </m:sub>
              <m:sup>
                <m:r>
                  <m:rPr>
                    <m:sty m:val="p"/>
                  </m:rPr>
                  <w:rPr>
                    <w:rFonts w:ascii="Cambria Math" w:hAnsi="Cambria Math"/>
                  </w:rPr>
                  <m:t>'</m:t>
                </m:r>
              </m:sup>
            </m:sSubSup>
          </m:e>
        </m:d>
        <m:r>
          <m:rPr>
            <m:sty m:val="p"/>
          </m:rPr>
          <w:rPr>
            <w:rFonts w:ascii="Cambria Math" w:hAnsi="Cambria Math"/>
          </w:rPr>
          <m:t>&lt;1</m:t>
        </m:r>
      </m:oMath>
      <w:r w:rsidRPr="35DAF9E0">
        <w:t xml:space="preserve"> m.</w:t>
      </w:r>
    </w:p>
    <w:p w14:paraId="2AADCDEB" w14:textId="77777777" w:rsidR="00D35F36" w:rsidRPr="005E6273" w:rsidRDefault="00D35F36" w:rsidP="005925D5">
      <w:pPr>
        <w:pStyle w:val="ListParagraph"/>
        <w:numPr>
          <w:ilvl w:val="0"/>
          <w:numId w:val="59"/>
        </w:numPr>
      </w:pPr>
      <w:r w:rsidRPr="35DAF9E0">
        <w:t>When the model is operating in environments which it was not trained for and hence is under-performing, the two UE position estimates differ by more than 1 m with substantially high probabilities. For instance, in the {60%, 2m, 2m} and {40%, 2m, 2m} environments, the two UE position estimates differ by more than 1 m with 20% and 33% probabilities, respectively.</w:t>
      </w:r>
    </w:p>
    <w:p w14:paraId="68C17946" w14:textId="77777777" w:rsidR="00D35F36" w:rsidRPr="005E6273" w:rsidRDefault="00D35F36" w:rsidP="005925D5">
      <w:pPr>
        <w:pStyle w:val="ListParagraph"/>
        <w:numPr>
          <w:ilvl w:val="0"/>
          <w:numId w:val="59"/>
        </w:numPr>
      </w:pPr>
      <w:r w:rsidRPr="005E6273">
        <w:t xml:space="preserve">While observing one UE position estimate difference of </w:t>
      </w:r>
      <w:r>
        <w:t xml:space="preserve">above </w:t>
      </w:r>
      <w:r w:rsidRPr="005E6273">
        <w:t xml:space="preserve">1 m is not reliable enough to ensure model is still operating in the intended environment, checking the </w:t>
      </w:r>
      <m:oMath>
        <m:sSub>
          <m:sSubPr>
            <m:ctrlPr>
              <w:rPr>
                <w:rFonts w:ascii="Cambria Math" w:hAnsi="Cambria Math"/>
              </w:rPr>
            </m:ctrlPr>
          </m:sSubPr>
          <m:e>
            <m:r>
              <w:rPr>
                <w:rFonts w:ascii="Cambria Math" w:hAnsi="Cambria Math"/>
              </w:rPr>
              <m:t>d</m:t>
            </m:r>
          </m:e>
          <m:sub>
            <m:r>
              <w:rPr>
                <w:rFonts w:ascii="Cambria Math" w:hAnsi="Cambria Math"/>
              </w:rPr>
              <m:t>j</m:t>
            </m:r>
          </m:sub>
        </m:sSub>
      </m:oMath>
      <w:r w:rsidRPr="005E6273">
        <w:t xml:space="preserve"> distribution in a small window of 10s-20s model inferences can achieve monitoring accuracy &gt;99%.</w:t>
      </w:r>
    </w:p>
    <w:p w14:paraId="61566884" w14:textId="77777777" w:rsidR="00D35F36" w:rsidRPr="005E6273" w:rsidRDefault="00D35F36" w:rsidP="005925D5">
      <w:pPr>
        <w:pStyle w:val="ListParagraph"/>
        <w:numPr>
          <w:ilvl w:val="1"/>
          <w:numId w:val="59"/>
        </w:numPr>
      </w:pPr>
      <w:r w:rsidRPr="005E6273">
        <w:t xml:space="preserve">Observing 14 UE position estimate differences of </w:t>
      </w:r>
      <w:r>
        <w:t xml:space="preserve">above </w:t>
      </w:r>
      <w:r w:rsidRPr="005E6273">
        <w:t>1 m is enough to ensure an environment change from {60%, 6m, 2m} to {60%, 2m, 2m} is identified with a probability &gt; 95%.</w:t>
      </w:r>
    </w:p>
    <w:p w14:paraId="4AF473FB" w14:textId="77777777" w:rsidR="00D35F36" w:rsidRPr="005E6273" w:rsidRDefault="00D35F36" w:rsidP="005925D5">
      <w:pPr>
        <w:pStyle w:val="ListParagraph"/>
        <w:numPr>
          <w:ilvl w:val="2"/>
          <w:numId w:val="59"/>
        </w:numPr>
      </w:pPr>
      <w:r w:rsidRPr="005E6273">
        <w:t xml:space="preserve">Observing 21 UE position estimate differences of </w:t>
      </w:r>
      <w:r>
        <w:t xml:space="preserve">above </w:t>
      </w:r>
      <w:r w:rsidRPr="005E6273">
        <w:t>1 m is enough to ensure an environment change from {60%, 6m, 2m} to {60%, 2m, 2m} is identified with a probability &gt; 99%.</w:t>
      </w:r>
    </w:p>
    <w:p w14:paraId="1F1250D5" w14:textId="77777777" w:rsidR="00D35F36" w:rsidRPr="005E6273" w:rsidRDefault="00D35F36" w:rsidP="005925D5">
      <w:pPr>
        <w:pStyle w:val="ListParagraph"/>
        <w:numPr>
          <w:ilvl w:val="1"/>
          <w:numId w:val="59"/>
        </w:numPr>
      </w:pPr>
      <w:r w:rsidRPr="005E6273">
        <w:t xml:space="preserve">Observing 8 UE position estimate differences of </w:t>
      </w:r>
      <w:r>
        <w:t xml:space="preserve">above </w:t>
      </w:r>
      <w:r w:rsidRPr="005E6273">
        <w:t>1 m is enough to ensure an environment change from {60%, 6m, 2m} to {40%, 2m, 2m} is identified with a probability &gt; 96%.</w:t>
      </w:r>
    </w:p>
    <w:p w14:paraId="1CB3BD65" w14:textId="77777777" w:rsidR="00D35F36" w:rsidRPr="005E6273" w:rsidRDefault="00D35F36" w:rsidP="005925D5">
      <w:pPr>
        <w:pStyle w:val="ListParagraph"/>
        <w:numPr>
          <w:ilvl w:val="2"/>
          <w:numId w:val="59"/>
        </w:numPr>
      </w:pPr>
      <w:r w:rsidRPr="005E6273">
        <w:t xml:space="preserve">Observing 12 UE position estimate differences of </w:t>
      </w:r>
      <w:r>
        <w:t xml:space="preserve">above </w:t>
      </w:r>
      <w:r w:rsidRPr="005E6273">
        <w:t>1 m is enough to ensure an environment change from {60%, 6m, 2m} to {40%, 2m, 2m} is identified with a probability &gt; 99%.</w:t>
      </w:r>
    </w:p>
    <w:p w14:paraId="31236214" w14:textId="1BF1607A" w:rsidR="00D35F36" w:rsidRPr="00150AF2" w:rsidRDefault="00D35F36" w:rsidP="00D35F36">
      <w:r w:rsidRPr="005E6273">
        <w:t>Note that the need of observing multiple instances is no different than any other model monitoring methods, since poor performance at a single instance cannot tell whether the model has truly degraded, or it’s a random anomaly.</w:t>
      </w:r>
    </w:p>
    <w:p w14:paraId="35765D9A" w14:textId="77777777" w:rsidR="00D35F36" w:rsidRPr="003F7CFD" w:rsidRDefault="00D35F36" w:rsidP="00D35F36">
      <w:pPr>
        <w:jc w:val="center"/>
        <w:rPr>
          <w:color w:val="7030A0"/>
        </w:rPr>
      </w:pPr>
      <w:r w:rsidRPr="003F7CFD">
        <w:rPr>
          <w:noProof/>
          <w:color w:val="7030A0"/>
        </w:rPr>
        <w:drawing>
          <wp:inline distT="0" distB="0" distL="0" distR="0" wp14:anchorId="351C7107" wp14:editId="1F28E752">
            <wp:extent cx="3676650" cy="25717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676650" cy="2571750"/>
                    </a:xfrm>
                    <a:prstGeom prst="rect">
                      <a:avLst/>
                    </a:prstGeom>
                  </pic:spPr>
                </pic:pic>
              </a:graphicData>
            </a:graphic>
          </wp:inline>
        </w:drawing>
      </w:r>
    </w:p>
    <w:p w14:paraId="18F1A99A" w14:textId="72C081CF" w:rsidR="00D35F36" w:rsidRPr="005E6273" w:rsidRDefault="00D35F36" w:rsidP="00D35F36">
      <w:pPr>
        <w:pStyle w:val="Caption"/>
      </w:pPr>
      <w:bookmarkStart w:id="2551" w:name="_Ref126938774"/>
      <w:r w:rsidRPr="005E6273">
        <w:t xml:space="preserve">Figure </w:t>
      </w:r>
      <w:r w:rsidRPr="005E6273">
        <w:fldChar w:fldCharType="begin"/>
      </w:r>
      <w:r w:rsidRPr="003F7CFD">
        <w:rPr>
          <w:color w:val="7030A0"/>
        </w:rPr>
        <w:instrText xml:space="preserve"> SEQ Figure \* ARABIC </w:instrText>
      </w:r>
      <w:r w:rsidRPr="005E6273">
        <w:fldChar w:fldCharType="separate"/>
      </w:r>
      <w:r w:rsidR="00C713E4">
        <w:rPr>
          <w:noProof/>
          <w:color w:val="7030A0"/>
        </w:rPr>
        <w:t>9</w:t>
      </w:r>
      <w:r w:rsidRPr="005E6273">
        <w:fldChar w:fldCharType="end"/>
      </w:r>
      <w:bookmarkEnd w:id="2551"/>
      <w:r w:rsidRPr="005E6273">
        <w:t>. 2D position estimate difference using unmodified or modified positioning request data at production in different operating environments for a small centralized direct positioning model trained with {60%, 6m, 2m} dataset samples.</w:t>
      </w:r>
    </w:p>
    <w:p w14:paraId="0A042575" w14:textId="77777777" w:rsidR="00D35F36" w:rsidRPr="005E6273" w:rsidRDefault="00D35F36" w:rsidP="00D35F36"/>
    <w:p w14:paraId="5C1DA8EF" w14:textId="5EE0DED5" w:rsidR="00D35F36" w:rsidRPr="005E6273" w:rsidRDefault="00D35F36" w:rsidP="00D35F36">
      <w:r w:rsidRPr="005E6273">
        <w:t xml:space="preserve">The curves </w:t>
      </w:r>
      <w:r w:rsidRPr="005E6273">
        <w:fldChar w:fldCharType="begin"/>
      </w:r>
      <w:r w:rsidRPr="003F7CFD">
        <w:rPr>
          <w:color w:val="7030A0"/>
        </w:rPr>
        <w:instrText xml:space="preserve"> REF _Ref126938774 \h  \* MERGEFORMAT </w:instrText>
      </w:r>
      <w:r w:rsidRPr="005E6273">
        <w:fldChar w:fldCharType="separate"/>
      </w:r>
      <w:r w:rsidR="00C713E4" w:rsidRPr="005E6273">
        <w:t xml:space="preserve">Figure </w:t>
      </w:r>
      <w:r w:rsidR="00C713E4" w:rsidRPr="00C713E4">
        <w:rPr>
          <w:noProof/>
        </w:rPr>
        <w:t>9</w:t>
      </w:r>
      <w:r w:rsidRPr="005E6273">
        <w:fldChar w:fldCharType="end"/>
      </w:r>
      <w:r w:rsidRPr="005E6273">
        <w:t xml:space="preserve"> can be used to devise a monitoring method </w:t>
      </w:r>
      <w:r w:rsidRPr="005E6273">
        <w:rPr>
          <w:rFonts w:cs="Tahoma"/>
          <w:spacing w:val="2"/>
        </w:rPr>
        <w:t xml:space="preserve">and calculate </w:t>
      </w:r>
      <w:r w:rsidRPr="005E6273">
        <w:t>false alarm rate (FAR), missed detection rate (MDR), and detection delay as well.</w:t>
      </w:r>
      <w:r>
        <w:t xml:space="preserve"> </w:t>
      </w:r>
      <w:r w:rsidRPr="005E6273">
        <w:rPr>
          <w:rFonts w:cs="Tahoma"/>
          <w:spacing w:val="2"/>
        </w:rPr>
        <w:t xml:space="preserve">Take the threshold of 2D position estimate difference </w:t>
      </w:r>
      <m:oMath>
        <m:sSub>
          <m:sSubPr>
            <m:ctrlPr>
              <w:rPr>
                <w:rFonts w:ascii="Cambria Math" w:hAnsi="Cambria Math" w:cs="Tahoma"/>
                <w:i/>
                <w:spacing w:val="2"/>
              </w:rPr>
            </m:ctrlPr>
          </m:sSubPr>
          <m:e>
            <m:r>
              <w:rPr>
                <w:rFonts w:ascii="Cambria Math" w:hAnsi="Cambria Math" w:cs="Tahoma"/>
                <w:spacing w:val="2"/>
              </w:rPr>
              <m:t>d</m:t>
            </m:r>
          </m:e>
          <m:sub>
            <m:r>
              <w:rPr>
                <w:rFonts w:ascii="Cambria Math" w:hAnsi="Cambria Math" w:cs="Tahoma"/>
                <w:spacing w:val="2"/>
              </w:rPr>
              <m:t>thresh</m:t>
            </m:r>
          </m:sub>
        </m:sSub>
      </m:oMath>
      <w:r w:rsidRPr="005E6273">
        <w:rPr>
          <w:rFonts w:cs="Tahoma"/>
          <w:spacing w:val="2"/>
        </w:rPr>
        <w:t>= 1m. At this point, CDF=</w:t>
      </w:r>
      <w:r w:rsidRPr="005E6273">
        <w:t>99.96% for {60%, 6m, 2m} and {40%, 6m, 2m}, CDF=80% for {60%, 2m, 2m}, and CDF= 67% for {40%, 2m, 2m}. The model monitoring protocol can be:</w:t>
      </w:r>
    </w:p>
    <w:p w14:paraId="78E6B1D6" w14:textId="77777777" w:rsidR="00D35F36" w:rsidRPr="005E6273" w:rsidRDefault="00D35F36" w:rsidP="005925D5">
      <w:pPr>
        <w:pStyle w:val="ListParagraph"/>
        <w:numPr>
          <w:ilvl w:val="0"/>
          <w:numId w:val="58"/>
        </w:numPr>
      </w:pPr>
      <w:r w:rsidRPr="005E6273">
        <w:t xml:space="preserve">Declare ‘no drift’ from {60%, 6m, 2m} to {60%, 2m, 2m} if the last </w:t>
      </w:r>
      <m:oMath>
        <m:r>
          <w:rPr>
            <w:rFonts w:ascii="Cambria Math" w:hAnsi="Cambria Math"/>
          </w:rPr>
          <m:t>m</m:t>
        </m:r>
      </m:oMath>
      <w:r w:rsidRPr="005E6273">
        <w:t xml:space="preserve"> positioning instances have </w:t>
      </w:r>
      <m:oMath>
        <m:sSub>
          <m:sSubPr>
            <m:ctrlPr>
              <w:rPr>
                <w:rFonts w:ascii="Cambria Math" w:hAnsi="Cambria Math" w:cs="Tahoma"/>
                <w:i/>
                <w:spacing w:val="2"/>
              </w:rPr>
            </m:ctrlPr>
          </m:sSubPr>
          <m:e>
            <m:r>
              <w:rPr>
                <w:rFonts w:ascii="Cambria Math" w:hAnsi="Cambria Math" w:cs="Tahoma"/>
                <w:spacing w:val="2"/>
              </w:rPr>
              <m:t>d&lt;d</m:t>
            </m:r>
          </m:e>
          <m:sub>
            <m:r>
              <w:rPr>
                <w:rFonts w:ascii="Cambria Math" w:hAnsi="Cambria Math" w:cs="Tahoma"/>
                <w:spacing w:val="2"/>
              </w:rPr>
              <m:t>thresh</m:t>
            </m:r>
          </m:sub>
        </m:sSub>
      </m:oMath>
      <w:r w:rsidRPr="005E6273">
        <w:t>.</w:t>
      </w:r>
    </w:p>
    <w:p w14:paraId="454156DA" w14:textId="77777777" w:rsidR="00D35F36" w:rsidRPr="005E6273" w:rsidRDefault="00D35F36" w:rsidP="005925D5">
      <w:pPr>
        <w:pStyle w:val="ListParagraph"/>
        <w:numPr>
          <w:ilvl w:val="0"/>
          <w:numId w:val="58"/>
        </w:numPr>
      </w:pPr>
      <w:r w:rsidRPr="005E6273">
        <w:t xml:space="preserve">Declare ‘no drift’ from {60%, 6m, 2m} to {40%, 2m, 2m} if the last </w:t>
      </w:r>
      <m:oMath>
        <m:r>
          <w:rPr>
            <w:rFonts w:ascii="Cambria Math" w:hAnsi="Cambria Math"/>
          </w:rPr>
          <m:t>m</m:t>
        </m:r>
      </m:oMath>
      <w:r w:rsidRPr="005E6273">
        <w:t xml:space="preserve"> position instances have </w:t>
      </w:r>
      <m:oMath>
        <m:sSub>
          <m:sSubPr>
            <m:ctrlPr>
              <w:rPr>
                <w:rFonts w:ascii="Cambria Math" w:hAnsi="Cambria Math" w:cs="Tahoma"/>
                <w:i/>
                <w:spacing w:val="2"/>
              </w:rPr>
            </m:ctrlPr>
          </m:sSubPr>
          <m:e>
            <m:r>
              <w:rPr>
                <w:rFonts w:ascii="Cambria Math" w:hAnsi="Cambria Math" w:cs="Tahoma"/>
                <w:spacing w:val="2"/>
              </w:rPr>
              <m:t>d&lt;d</m:t>
            </m:r>
          </m:e>
          <m:sub>
            <m:r>
              <w:rPr>
                <w:rFonts w:ascii="Cambria Math" w:hAnsi="Cambria Math" w:cs="Tahoma"/>
                <w:spacing w:val="2"/>
              </w:rPr>
              <m:t>thresh</m:t>
            </m:r>
          </m:sub>
        </m:sSub>
      </m:oMath>
      <w:r w:rsidRPr="005E6273">
        <w:t>.</w:t>
      </w:r>
    </w:p>
    <w:p w14:paraId="76ADC9A0" w14:textId="77777777" w:rsidR="00D35F36" w:rsidRPr="005E6273" w:rsidRDefault="00D35F36" w:rsidP="005925D5">
      <w:pPr>
        <w:pStyle w:val="ListParagraph"/>
        <w:numPr>
          <w:ilvl w:val="0"/>
          <w:numId w:val="58"/>
        </w:numPr>
      </w:pPr>
      <w:r w:rsidRPr="005E6273">
        <w:t>Otherwise, declare ‘drift’ and the model trained for {60%, 6m, 2m} is no longer appropriate.</w:t>
      </w:r>
    </w:p>
    <w:p w14:paraId="041CF691" w14:textId="77777777" w:rsidR="00D35F36" w:rsidRPr="005E6273" w:rsidRDefault="00D35F36" w:rsidP="00D35F36">
      <w:pPr>
        <w:rPr>
          <w:rFonts w:cs="Tahoma"/>
          <w:spacing w:val="2"/>
        </w:rPr>
      </w:pPr>
      <w:r w:rsidRPr="005E6273">
        <w:rPr>
          <w:rFonts w:cs="Tahoma"/>
          <w:spacing w:val="2"/>
        </w:rPr>
        <w:t xml:space="preserve">In this case, take </w:t>
      </w:r>
      <m:oMath>
        <m:r>
          <w:rPr>
            <w:rFonts w:ascii="Cambria Math" w:hAnsi="Cambria Math" w:cs="Tahoma"/>
            <w:spacing w:val="2"/>
          </w:rPr>
          <m:t>m=21</m:t>
        </m:r>
      </m:oMath>
      <w:r w:rsidRPr="005E6273">
        <w:rPr>
          <w:rFonts w:cs="Tahoma"/>
          <w:spacing w:val="2"/>
        </w:rPr>
        <w:t>,</w:t>
      </w:r>
    </w:p>
    <w:p w14:paraId="662BBA77" w14:textId="77777777" w:rsidR="00D35F36" w:rsidRPr="005E6273" w:rsidRDefault="00D35F36" w:rsidP="005925D5">
      <w:pPr>
        <w:pStyle w:val="ListParagraph"/>
        <w:numPr>
          <w:ilvl w:val="0"/>
          <w:numId w:val="58"/>
        </w:numPr>
      </w:pPr>
      <w:r w:rsidRPr="005E6273">
        <w:t xml:space="preserve">FAR = </w:t>
      </w:r>
      <m:oMath>
        <m:r>
          <w:rPr>
            <w:rFonts w:ascii="Cambria Math" w:hAnsi="Cambria Math"/>
          </w:rPr>
          <m:t xml:space="preserve">1 – </m:t>
        </m:r>
        <m:sSup>
          <m:sSupPr>
            <m:ctrlPr>
              <w:rPr>
                <w:rFonts w:ascii="Cambria Math" w:hAnsi="Cambria Math"/>
                <w:i/>
              </w:rPr>
            </m:ctrlPr>
          </m:sSupPr>
          <m:e>
            <m:r>
              <w:rPr>
                <w:rFonts w:ascii="Cambria Math" w:hAnsi="Cambria Math"/>
              </w:rPr>
              <m:t>0.9996</m:t>
            </m:r>
          </m:e>
          <m:sup>
            <m:r>
              <w:rPr>
                <w:rFonts w:ascii="Cambria Math" w:hAnsi="Cambria Math"/>
              </w:rPr>
              <m:t>21</m:t>
            </m:r>
          </m:sup>
        </m:sSup>
      </m:oMath>
      <w:r w:rsidRPr="005E6273">
        <w:t xml:space="preserve"> = 0.8%</w:t>
      </w:r>
    </w:p>
    <w:p w14:paraId="369D645D" w14:textId="77777777" w:rsidR="00D35F36" w:rsidRPr="005E6273" w:rsidRDefault="00D35F36" w:rsidP="005925D5">
      <w:pPr>
        <w:pStyle w:val="ListParagraph"/>
        <w:numPr>
          <w:ilvl w:val="0"/>
          <w:numId w:val="58"/>
        </w:numPr>
      </w:pPr>
      <w:r w:rsidRPr="005E6273">
        <w:t>Missed detection rate of drift from {60%, 6m, 2m} to {60%, 2m, 2</w:t>
      </w:r>
      <w:proofErr w:type="gramStart"/>
      <w:r w:rsidRPr="005E6273">
        <w:t>m}=</w:t>
      </w:r>
      <w:proofErr w:type="gramEnd"/>
      <w:r w:rsidRPr="005E6273">
        <w:t xml:space="preserve"> </w:t>
      </w:r>
      <m:oMath>
        <m:sSup>
          <m:sSupPr>
            <m:ctrlPr>
              <w:rPr>
                <w:rFonts w:ascii="Cambria Math" w:hAnsi="Cambria Math"/>
                <w:i/>
              </w:rPr>
            </m:ctrlPr>
          </m:sSupPr>
          <m:e>
            <m:r>
              <w:rPr>
                <w:rFonts w:ascii="Cambria Math" w:hAnsi="Cambria Math"/>
              </w:rPr>
              <m:t>0.8</m:t>
            </m:r>
          </m:e>
          <m:sup>
            <m:r>
              <w:rPr>
                <w:rFonts w:ascii="Cambria Math" w:hAnsi="Cambria Math"/>
              </w:rPr>
              <m:t>21</m:t>
            </m:r>
          </m:sup>
        </m:sSup>
      </m:oMath>
      <w:r w:rsidRPr="005E6273">
        <w:t xml:space="preserve"> = 0.9%</w:t>
      </w:r>
    </w:p>
    <w:p w14:paraId="4F20044C" w14:textId="77777777" w:rsidR="00D35F36" w:rsidRPr="005E6273" w:rsidRDefault="00D35F36" w:rsidP="005925D5">
      <w:pPr>
        <w:pStyle w:val="ListParagraph"/>
        <w:numPr>
          <w:ilvl w:val="0"/>
          <w:numId w:val="58"/>
        </w:numPr>
      </w:pPr>
      <w:r w:rsidRPr="005E6273">
        <w:t>Missed detection rate of drift from {60%, 6m, 2m} to {40%, 2m, 2</w:t>
      </w:r>
      <w:proofErr w:type="gramStart"/>
      <w:r w:rsidRPr="005E6273">
        <w:t>m}=</w:t>
      </w:r>
      <w:proofErr w:type="gramEnd"/>
      <w:r w:rsidRPr="005E6273">
        <w:t xml:space="preserve"> </w:t>
      </w:r>
      <m:oMath>
        <m:sSup>
          <m:sSupPr>
            <m:ctrlPr>
              <w:rPr>
                <w:rFonts w:ascii="Cambria Math" w:hAnsi="Cambria Math"/>
                <w:i/>
              </w:rPr>
            </m:ctrlPr>
          </m:sSupPr>
          <m:e>
            <m:r>
              <w:rPr>
                <w:rFonts w:ascii="Cambria Math" w:hAnsi="Cambria Math"/>
              </w:rPr>
              <m:t>0.67</m:t>
            </m:r>
          </m:e>
          <m:sup>
            <m:r>
              <w:rPr>
                <w:rFonts w:ascii="Cambria Math" w:hAnsi="Cambria Math"/>
              </w:rPr>
              <m:t>21</m:t>
            </m:r>
          </m:sup>
        </m:sSup>
      </m:oMath>
      <w:r w:rsidRPr="005E6273">
        <w:t xml:space="preserve"> = 0.02%</w:t>
      </w:r>
    </w:p>
    <w:p w14:paraId="1A51C083" w14:textId="77777777" w:rsidR="00D35F36" w:rsidRPr="005E6273" w:rsidRDefault="00D35F36" w:rsidP="00D35F36">
      <w:pPr>
        <w:rPr>
          <w:rFonts w:cs="Tahoma"/>
          <w:spacing w:val="2"/>
        </w:rPr>
      </w:pPr>
      <w:r w:rsidRPr="005E6273">
        <w:t xml:space="preserve">The detection delay is the time to observe </w:t>
      </w:r>
      <m:oMath>
        <m:r>
          <w:rPr>
            <w:rFonts w:ascii="Cambria Math" w:hAnsi="Cambria Math"/>
          </w:rPr>
          <m:t>m</m:t>
        </m:r>
      </m:oMath>
      <w:r w:rsidRPr="005E6273">
        <w:t xml:space="preserve"> positioning occasions.</w:t>
      </w:r>
    </w:p>
    <w:p w14:paraId="4D532074" w14:textId="4663D9FD" w:rsidR="00D35F36" w:rsidRPr="00506870" w:rsidRDefault="00D35F36" w:rsidP="00D35F36">
      <w:r w:rsidRPr="005E6273">
        <w:rPr>
          <w:rFonts w:cs="Tahoma"/>
          <w:spacing w:val="2"/>
        </w:rPr>
        <w:t xml:space="preserve">Thus, compared with the </w:t>
      </w:r>
      <w:r>
        <w:rPr>
          <w:rFonts w:cs="Tahoma"/>
          <w:spacing w:val="2"/>
        </w:rPr>
        <w:t xml:space="preserve">label-based </w:t>
      </w:r>
      <w:r w:rsidRPr="005E6273">
        <w:rPr>
          <w:rFonts w:cs="Tahoma"/>
          <w:spacing w:val="2"/>
        </w:rPr>
        <w:t>model monitoring method</w:t>
      </w:r>
      <w:r>
        <w:rPr>
          <w:rFonts w:cs="Tahoma"/>
          <w:spacing w:val="2"/>
        </w:rPr>
        <w:t>s</w:t>
      </w:r>
      <w:r w:rsidRPr="005E6273">
        <w:rPr>
          <w:rFonts w:cs="Tahoma"/>
          <w:spacing w:val="2"/>
        </w:rPr>
        <w:t xml:space="preserve"> </w:t>
      </w:r>
      <w:r>
        <w:rPr>
          <w:rFonts w:cs="Tahoma"/>
          <w:spacing w:val="2"/>
        </w:rPr>
        <w:t xml:space="preserve">(e.g., see analysis in section </w:t>
      </w:r>
      <w:r>
        <w:rPr>
          <w:rFonts w:cs="Tahoma"/>
          <w:spacing w:val="2"/>
        </w:rPr>
        <w:fldChar w:fldCharType="begin"/>
      </w:r>
      <w:r>
        <w:rPr>
          <w:rFonts w:cs="Tahoma"/>
          <w:spacing w:val="2"/>
        </w:rPr>
        <w:instrText xml:space="preserve"> REF _Ref166243197 \r </w:instrText>
      </w:r>
      <w:r>
        <w:rPr>
          <w:rFonts w:cs="Tahoma"/>
          <w:spacing w:val="2"/>
        </w:rPr>
        <w:fldChar w:fldCharType="separate"/>
      </w:r>
      <w:r w:rsidR="00C713E4">
        <w:rPr>
          <w:rFonts w:cs="Tahoma"/>
          <w:spacing w:val="2"/>
        </w:rPr>
        <w:t>11.1.2</w:t>
      </w:r>
      <w:r>
        <w:rPr>
          <w:rFonts w:cs="Tahoma"/>
          <w:spacing w:val="2"/>
        </w:rPr>
        <w:fldChar w:fldCharType="end"/>
      </w:r>
      <w:r>
        <w:rPr>
          <w:rFonts w:cs="Tahoma"/>
          <w:spacing w:val="2"/>
        </w:rPr>
        <w:t>)</w:t>
      </w:r>
      <w:r w:rsidRPr="005E6273">
        <w:rPr>
          <w:rFonts w:cs="Tahoma"/>
          <w:spacing w:val="2"/>
        </w:rPr>
        <w:t>, the self-model monitoring method requires longer observation time. On the other hand, it has the advantage of being self-contained</w:t>
      </w:r>
      <w:r>
        <w:rPr>
          <w:rFonts w:cs="Tahoma"/>
          <w:spacing w:val="2"/>
        </w:rPr>
        <w:t xml:space="preserve"> and label </w:t>
      </w:r>
      <w:proofErr w:type="gramStart"/>
      <w:r>
        <w:rPr>
          <w:rFonts w:cs="Tahoma"/>
          <w:spacing w:val="2"/>
        </w:rPr>
        <w:t>free</w:t>
      </w:r>
      <w:r w:rsidRPr="005E6273">
        <w:rPr>
          <w:rFonts w:cs="Tahoma"/>
          <w:spacing w:val="2"/>
        </w:rPr>
        <w:t>, and</w:t>
      </w:r>
      <w:proofErr w:type="gramEnd"/>
      <w:r w:rsidRPr="005E6273">
        <w:rPr>
          <w:rFonts w:cs="Tahoma"/>
          <w:spacing w:val="2"/>
        </w:rPr>
        <w:t xml:space="preserve"> requiring no external assistance or information exchange</w:t>
      </w:r>
      <w:r>
        <w:rPr>
          <w:rFonts w:cs="Tahoma"/>
          <w:spacing w:val="2"/>
        </w:rPr>
        <w:t xml:space="preserve"> beyond the model and its own data augmentation</w:t>
      </w:r>
      <w:r w:rsidRPr="005E6273">
        <w:rPr>
          <w:rFonts w:cs="Tahoma"/>
          <w:spacing w:val="2"/>
        </w:rPr>
        <w:t>.</w:t>
      </w:r>
    </w:p>
    <w:p w14:paraId="6BE7332E" w14:textId="77777777" w:rsidR="00D35F36" w:rsidRPr="00CE0424" w:rsidRDefault="00D35F36" w:rsidP="00024894">
      <w:pPr>
        <w:pStyle w:val="BodyText"/>
      </w:pPr>
    </w:p>
    <w:sectPr w:rsidR="00D35F36" w:rsidRPr="00CE0424" w:rsidSect="008B5A00">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4FE5" w14:textId="77777777" w:rsidR="00385D91" w:rsidRDefault="00385D91" w:rsidP="00024894">
      <w:r>
        <w:separator/>
      </w:r>
    </w:p>
  </w:endnote>
  <w:endnote w:type="continuationSeparator" w:id="0">
    <w:p w14:paraId="52D72E07" w14:textId="77777777" w:rsidR="00385D91" w:rsidRDefault="00385D91" w:rsidP="00024894">
      <w:r>
        <w:continuationSeparator/>
      </w:r>
    </w:p>
  </w:endnote>
  <w:endnote w:type="continuationNotice" w:id="1">
    <w:p w14:paraId="3CA4C5B3" w14:textId="77777777" w:rsidR="00385D91" w:rsidRDefault="00385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altName w:val="Microsoft JhengHei"/>
    <w:panose1 w:val="00000000000000000000"/>
    <w:charset w:val="00"/>
    <w:family w:val="roman"/>
    <w:notTrueType/>
    <w:pitch w:val="default"/>
  </w:font>
  <w:font w:name="CambriaMath">
    <w:altName w:val="Yu Gothic"/>
    <w:panose1 w:val="00000000000000000000"/>
    <w:charset w:val="80"/>
    <w:family w:val="auto"/>
    <w:notTrueType/>
    <w:pitch w:val="default"/>
    <w:sig w:usb0="00000003" w:usb1="08070000" w:usb2="00000010" w:usb3="00000000" w:csb0="00020001" w:csb1="00000000"/>
  </w:font>
  <w:font w:name="Yu Mincho">
    <w:altName w:val="游明朝"/>
    <w:charset w:val="80"/>
    <w:family w:val="roman"/>
    <w:pitch w:val="variable"/>
    <w:sig w:usb0="800002E7" w:usb1="2AC7FCFF" w:usb2="00000012" w:usb3="00000000" w:csb0="0002009F" w:csb1="00000000"/>
  </w:font>
  <w:font w:name="Helvetica Neue">
    <w:altName w:val="Sylfaen"/>
    <w:charset w:val="00"/>
    <w:family w:val="auto"/>
    <w:pitch w:val="variable"/>
    <w:sig w:usb0="E50002FF" w:usb1="500079DB" w:usb2="00000010" w:usb3="00000000" w:csb0="0000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12E81" w14:textId="77777777" w:rsidR="00385D91" w:rsidRDefault="00385D91" w:rsidP="00024894">
      <w:r>
        <w:separator/>
      </w:r>
    </w:p>
  </w:footnote>
  <w:footnote w:type="continuationSeparator" w:id="0">
    <w:p w14:paraId="568143F6" w14:textId="77777777" w:rsidR="00385D91" w:rsidRDefault="00385D91" w:rsidP="00024894">
      <w:r>
        <w:continuationSeparator/>
      </w:r>
    </w:p>
  </w:footnote>
  <w:footnote w:type="continuationNotice" w:id="1">
    <w:p w14:paraId="33AA7FC8" w14:textId="77777777" w:rsidR="00385D91" w:rsidRDefault="00385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FE3826"/>
    <w:multiLevelType w:val="hybridMultilevel"/>
    <w:tmpl w:val="9208B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31664"/>
    <w:multiLevelType w:val="hybridMultilevel"/>
    <w:tmpl w:val="7E8C4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316183"/>
    <w:multiLevelType w:val="hybridMultilevel"/>
    <w:tmpl w:val="3CF6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3D3289"/>
    <w:multiLevelType w:val="hybridMultilevel"/>
    <w:tmpl w:val="F12C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D48F5"/>
    <w:multiLevelType w:val="multilevel"/>
    <w:tmpl w:val="59C43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A616818"/>
    <w:multiLevelType w:val="hybridMultilevel"/>
    <w:tmpl w:val="7D3E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0A2013"/>
    <w:multiLevelType w:val="hybridMultilevel"/>
    <w:tmpl w:val="79567246"/>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0A7F06"/>
    <w:multiLevelType w:val="hybridMultilevel"/>
    <w:tmpl w:val="DB284E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4666C4"/>
    <w:multiLevelType w:val="hybridMultilevel"/>
    <w:tmpl w:val="29286978"/>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0BF2918"/>
    <w:multiLevelType w:val="hybridMultilevel"/>
    <w:tmpl w:val="569651C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502CFF"/>
    <w:multiLevelType w:val="hybridMultilevel"/>
    <w:tmpl w:val="7D5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9503D85"/>
    <w:multiLevelType w:val="hybridMultilevel"/>
    <w:tmpl w:val="BE1A7DD6"/>
    <w:lvl w:ilvl="0" w:tplc="D6D8DE98">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557F7F"/>
    <w:multiLevelType w:val="hybridMultilevel"/>
    <w:tmpl w:val="20302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0160FF"/>
    <w:multiLevelType w:val="hybridMultilevel"/>
    <w:tmpl w:val="F6C47BA8"/>
    <w:lvl w:ilvl="0" w:tplc="3E629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2946A5"/>
    <w:multiLevelType w:val="hybridMultilevel"/>
    <w:tmpl w:val="D99AA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B41622"/>
    <w:multiLevelType w:val="hybridMultilevel"/>
    <w:tmpl w:val="8CF4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E000B6A"/>
    <w:multiLevelType w:val="hybridMultilevel"/>
    <w:tmpl w:val="1DCED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F71059"/>
    <w:multiLevelType w:val="hybridMultilevel"/>
    <w:tmpl w:val="A55C599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20B74045"/>
    <w:multiLevelType w:val="hybridMultilevel"/>
    <w:tmpl w:val="9BEA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35E17DD"/>
    <w:multiLevelType w:val="multilevel"/>
    <w:tmpl w:val="7B1C5D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27F22B4C"/>
    <w:multiLevelType w:val="hybridMultilevel"/>
    <w:tmpl w:val="83F00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5B7501"/>
    <w:multiLevelType w:val="hybridMultilevel"/>
    <w:tmpl w:val="DB82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854DD4"/>
    <w:multiLevelType w:val="hybridMultilevel"/>
    <w:tmpl w:val="F8C89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F567B3"/>
    <w:multiLevelType w:val="hybridMultilevel"/>
    <w:tmpl w:val="261A3D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0674B3"/>
    <w:multiLevelType w:val="hybridMultilevel"/>
    <w:tmpl w:val="71EA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DDD2E3C"/>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E215811"/>
    <w:multiLevelType w:val="hybridMultilevel"/>
    <w:tmpl w:val="B1E63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471DCF"/>
    <w:multiLevelType w:val="hybridMultilevel"/>
    <w:tmpl w:val="A0C4EBBC"/>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2F4056FE"/>
    <w:multiLevelType w:val="hybridMultilevel"/>
    <w:tmpl w:val="3CA27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810E7E"/>
    <w:multiLevelType w:val="hybridMultilevel"/>
    <w:tmpl w:val="319CA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4DF0BF2"/>
    <w:multiLevelType w:val="hybridMultilevel"/>
    <w:tmpl w:val="DE38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5217616"/>
    <w:multiLevelType w:val="hybridMultilevel"/>
    <w:tmpl w:val="1B98E8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97E5715"/>
    <w:multiLevelType w:val="hybridMultilevel"/>
    <w:tmpl w:val="FCD2A466"/>
    <w:lvl w:ilvl="0" w:tplc="7ED896C8">
      <w:start w:val="1"/>
      <w:numFmt w:val="bullet"/>
      <w:lvlText w:val="-"/>
      <w:lvlJc w:val="left"/>
      <w:pPr>
        <w:tabs>
          <w:tab w:val="num" w:pos="720"/>
        </w:tabs>
        <w:ind w:left="720" w:hanging="360"/>
      </w:pPr>
      <w:rPr>
        <w:rFonts w:ascii="Symbol" w:hAnsi="Symbol" w:hint="default"/>
      </w:rPr>
    </w:lvl>
    <w:lvl w:ilvl="1" w:tplc="F0F206B0">
      <w:start w:val="1"/>
      <w:numFmt w:val="bullet"/>
      <w:lvlText w:val="-"/>
      <w:lvlJc w:val="left"/>
      <w:pPr>
        <w:tabs>
          <w:tab w:val="num" w:pos="1440"/>
        </w:tabs>
        <w:ind w:left="1440" w:hanging="360"/>
      </w:pPr>
      <w:rPr>
        <w:rFonts w:ascii="Symbol" w:hAnsi="Symbol" w:hint="default"/>
      </w:rPr>
    </w:lvl>
    <w:lvl w:ilvl="2" w:tplc="ED8A4D9E" w:tentative="1">
      <w:start w:val="1"/>
      <w:numFmt w:val="bullet"/>
      <w:lvlText w:val="-"/>
      <w:lvlJc w:val="left"/>
      <w:pPr>
        <w:tabs>
          <w:tab w:val="num" w:pos="2160"/>
        </w:tabs>
        <w:ind w:left="2160" w:hanging="360"/>
      </w:pPr>
      <w:rPr>
        <w:rFonts w:ascii="Symbol" w:hAnsi="Symbol" w:hint="default"/>
      </w:rPr>
    </w:lvl>
    <w:lvl w:ilvl="3" w:tplc="080889FC" w:tentative="1">
      <w:start w:val="1"/>
      <w:numFmt w:val="bullet"/>
      <w:lvlText w:val="-"/>
      <w:lvlJc w:val="left"/>
      <w:pPr>
        <w:tabs>
          <w:tab w:val="num" w:pos="2880"/>
        </w:tabs>
        <w:ind w:left="2880" w:hanging="360"/>
      </w:pPr>
      <w:rPr>
        <w:rFonts w:ascii="Symbol" w:hAnsi="Symbol" w:hint="default"/>
      </w:rPr>
    </w:lvl>
    <w:lvl w:ilvl="4" w:tplc="11E60EEA" w:tentative="1">
      <w:start w:val="1"/>
      <w:numFmt w:val="bullet"/>
      <w:lvlText w:val="-"/>
      <w:lvlJc w:val="left"/>
      <w:pPr>
        <w:tabs>
          <w:tab w:val="num" w:pos="3600"/>
        </w:tabs>
        <w:ind w:left="3600" w:hanging="360"/>
      </w:pPr>
      <w:rPr>
        <w:rFonts w:ascii="Symbol" w:hAnsi="Symbol" w:hint="default"/>
      </w:rPr>
    </w:lvl>
    <w:lvl w:ilvl="5" w:tplc="A860F646" w:tentative="1">
      <w:start w:val="1"/>
      <w:numFmt w:val="bullet"/>
      <w:lvlText w:val="-"/>
      <w:lvlJc w:val="left"/>
      <w:pPr>
        <w:tabs>
          <w:tab w:val="num" w:pos="4320"/>
        </w:tabs>
        <w:ind w:left="4320" w:hanging="360"/>
      </w:pPr>
      <w:rPr>
        <w:rFonts w:ascii="Symbol" w:hAnsi="Symbol" w:hint="default"/>
      </w:rPr>
    </w:lvl>
    <w:lvl w:ilvl="6" w:tplc="A784F1B2" w:tentative="1">
      <w:start w:val="1"/>
      <w:numFmt w:val="bullet"/>
      <w:lvlText w:val="-"/>
      <w:lvlJc w:val="left"/>
      <w:pPr>
        <w:tabs>
          <w:tab w:val="num" w:pos="5040"/>
        </w:tabs>
        <w:ind w:left="5040" w:hanging="360"/>
      </w:pPr>
      <w:rPr>
        <w:rFonts w:ascii="Symbol" w:hAnsi="Symbol" w:hint="default"/>
      </w:rPr>
    </w:lvl>
    <w:lvl w:ilvl="7" w:tplc="E84662E6" w:tentative="1">
      <w:start w:val="1"/>
      <w:numFmt w:val="bullet"/>
      <w:lvlText w:val="-"/>
      <w:lvlJc w:val="left"/>
      <w:pPr>
        <w:tabs>
          <w:tab w:val="num" w:pos="5760"/>
        </w:tabs>
        <w:ind w:left="5760" w:hanging="360"/>
      </w:pPr>
      <w:rPr>
        <w:rFonts w:ascii="Symbol" w:hAnsi="Symbol" w:hint="default"/>
      </w:rPr>
    </w:lvl>
    <w:lvl w:ilvl="8" w:tplc="A28A2B8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15:restartNumberingAfterBreak="0">
    <w:nsid w:val="3AA46647"/>
    <w:multiLevelType w:val="hybridMultilevel"/>
    <w:tmpl w:val="0E80BEAE"/>
    <w:lvl w:ilvl="0" w:tplc="0E867604">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3B235F33"/>
    <w:multiLevelType w:val="hybridMultilevel"/>
    <w:tmpl w:val="CDC0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3E0750BD"/>
    <w:multiLevelType w:val="hybridMultilevel"/>
    <w:tmpl w:val="381AB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E5F0A5C"/>
    <w:multiLevelType w:val="hybridMultilevel"/>
    <w:tmpl w:val="5204C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0B0630A"/>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6" w15:restartNumberingAfterBreak="0">
    <w:nsid w:val="415E6A66"/>
    <w:multiLevelType w:val="hybridMultilevel"/>
    <w:tmpl w:val="B5ECCD42"/>
    <w:lvl w:ilvl="0" w:tplc="F412E2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3A404E"/>
    <w:multiLevelType w:val="hybridMultilevel"/>
    <w:tmpl w:val="05E2EBF6"/>
    <w:lvl w:ilvl="0" w:tplc="EF0A0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437A8E"/>
    <w:multiLevelType w:val="hybridMultilevel"/>
    <w:tmpl w:val="C5A00AE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4CC7A23"/>
    <w:multiLevelType w:val="hybridMultilevel"/>
    <w:tmpl w:val="E8B4DA3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5312400"/>
    <w:multiLevelType w:val="hybridMultilevel"/>
    <w:tmpl w:val="5C28CB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3" w15:restartNumberingAfterBreak="0">
    <w:nsid w:val="46462269"/>
    <w:multiLevelType w:val="hybridMultilevel"/>
    <w:tmpl w:val="98266F7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BE5A9A"/>
    <w:multiLevelType w:val="hybridMultilevel"/>
    <w:tmpl w:val="F81A9012"/>
    <w:lvl w:ilvl="0" w:tplc="DC4A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8CC001E"/>
    <w:multiLevelType w:val="hybridMultilevel"/>
    <w:tmpl w:val="688C2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9F50561"/>
    <w:multiLevelType w:val="hybridMultilevel"/>
    <w:tmpl w:val="F5042112"/>
    <w:lvl w:ilvl="0" w:tplc="AD3082AC">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294A0A"/>
    <w:multiLevelType w:val="hybridMultilevel"/>
    <w:tmpl w:val="5282B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9B3768"/>
    <w:multiLevelType w:val="hybridMultilevel"/>
    <w:tmpl w:val="909E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E7D48A2"/>
    <w:multiLevelType w:val="hybridMultilevel"/>
    <w:tmpl w:val="7536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101505E"/>
    <w:multiLevelType w:val="hybridMultilevel"/>
    <w:tmpl w:val="7ABC0C8A"/>
    <w:lvl w:ilvl="0" w:tplc="5AC83DB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12011FD"/>
    <w:multiLevelType w:val="hybridMultilevel"/>
    <w:tmpl w:val="C8E80D34"/>
    <w:lvl w:ilvl="0" w:tplc="04090001">
      <w:start w:val="1"/>
      <w:numFmt w:val="bullet"/>
      <w:lvlText w:val=""/>
      <w:lvlJc w:val="left"/>
      <w:pPr>
        <w:tabs>
          <w:tab w:val="num" w:pos="1304"/>
        </w:tabs>
        <w:ind w:left="1304" w:hanging="1304"/>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51474E8E"/>
    <w:multiLevelType w:val="hybridMultilevel"/>
    <w:tmpl w:val="B612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526C2FF3"/>
    <w:multiLevelType w:val="hybridMultilevel"/>
    <w:tmpl w:val="891C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3C45D77"/>
    <w:multiLevelType w:val="hybridMultilevel"/>
    <w:tmpl w:val="E01E8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90" w15:restartNumberingAfterBreak="0">
    <w:nsid w:val="5786777A"/>
    <w:multiLevelType w:val="hybridMultilevel"/>
    <w:tmpl w:val="BE64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E33B2B"/>
    <w:multiLevelType w:val="hybridMultilevel"/>
    <w:tmpl w:val="05E2EB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6" w15:restartNumberingAfterBreak="0">
    <w:nsid w:val="5C253396"/>
    <w:multiLevelType w:val="hybridMultilevel"/>
    <w:tmpl w:val="690EB66A"/>
    <w:lvl w:ilvl="0" w:tplc="6108F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0352C2"/>
    <w:multiLevelType w:val="hybridMultilevel"/>
    <w:tmpl w:val="600E6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ED73AC1"/>
    <w:multiLevelType w:val="hybridMultilevel"/>
    <w:tmpl w:val="70D879A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75453E2"/>
    <w:multiLevelType w:val="hybridMultilevel"/>
    <w:tmpl w:val="B5283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6D3584"/>
    <w:multiLevelType w:val="hybridMultilevel"/>
    <w:tmpl w:val="6E9AA5A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A7F6853"/>
    <w:multiLevelType w:val="hybridMultilevel"/>
    <w:tmpl w:val="136C5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5" w15:restartNumberingAfterBreak="0">
    <w:nsid w:val="6E62742D"/>
    <w:multiLevelType w:val="hybridMultilevel"/>
    <w:tmpl w:val="56488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9B2BE0"/>
    <w:multiLevelType w:val="multilevel"/>
    <w:tmpl w:val="A4724B8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0DA3BBE"/>
    <w:multiLevelType w:val="hybridMultilevel"/>
    <w:tmpl w:val="5980F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14F3364"/>
    <w:multiLevelType w:val="hybridMultilevel"/>
    <w:tmpl w:val="6FBC11B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BC0F8A"/>
    <w:multiLevelType w:val="hybridMultilevel"/>
    <w:tmpl w:val="B790B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1C03064"/>
    <w:multiLevelType w:val="hybridMultilevel"/>
    <w:tmpl w:val="2EE2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222656D"/>
    <w:multiLevelType w:val="multilevel"/>
    <w:tmpl w:val="AA3E90F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3" w15:restartNumberingAfterBreak="0">
    <w:nsid w:val="73276020"/>
    <w:multiLevelType w:val="hybridMultilevel"/>
    <w:tmpl w:val="E9DC4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5E1BAF"/>
    <w:multiLevelType w:val="multilevel"/>
    <w:tmpl w:val="74DA70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7" w15:restartNumberingAfterBreak="0">
    <w:nsid w:val="766F54C2"/>
    <w:multiLevelType w:val="hybridMultilevel"/>
    <w:tmpl w:val="B7D60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7A36EDA"/>
    <w:multiLevelType w:val="hybridMultilevel"/>
    <w:tmpl w:val="FCB0770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8994CFC"/>
    <w:multiLevelType w:val="hybridMultilevel"/>
    <w:tmpl w:val="265CDB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F867A56"/>
    <w:multiLevelType w:val="hybridMultilevel"/>
    <w:tmpl w:val="14963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1597798">
    <w:abstractNumId w:val="80"/>
  </w:num>
  <w:num w:numId="2" w16cid:durableId="415564987">
    <w:abstractNumId w:val="59"/>
  </w:num>
  <w:num w:numId="3" w16cid:durableId="867568839">
    <w:abstractNumId w:val="0"/>
  </w:num>
  <w:num w:numId="4" w16cid:durableId="1207719406">
    <w:abstractNumId w:val="82"/>
  </w:num>
  <w:num w:numId="5" w16cid:durableId="4669518">
    <w:abstractNumId w:val="85"/>
  </w:num>
  <w:num w:numId="6" w16cid:durableId="642733273">
    <w:abstractNumId w:val="95"/>
  </w:num>
  <w:num w:numId="7" w16cid:durableId="1492598676">
    <w:abstractNumId w:val="30"/>
  </w:num>
  <w:num w:numId="8" w16cid:durableId="1328627241">
    <w:abstractNumId w:val="36"/>
  </w:num>
  <w:num w:numId="9" w16cid:durableId="1046876792">
    <w:abstractNumId w:val="16"/>
  </w:num>
  <w:num w:numId="10" w16cid:durableId="1115516000">
    <w:abstractNumId w:val="115"/>
  </w:num>
  <w:num w:numId="11" w16cid:durableId="68769850">
    <w:abstractNumId w:val="52"/>
  </w:num>
  <w:num w:numId="12" w16cid:durableId="654771362">
    <w:abstractNumId w:val="104"/>
  </w:num>
  <w:num w:numId="13" w16cid:durableId="797837551">
    <w:abstractNumId w:val="65"/>
  </w:num>
  <w:num w:numId="14" w16cid:durableId="1573268883">
    <w:abstractNumId w:val="94"/>
  </w:num>
  <w:num w:numId="15" w16cid:durableId="169758662">
    <w:abstractNumId w:val="45"/>
  </w:num>
  <w:num w:numId="16" w16cid:durableId="249854933">
    <w:abstractNumId w:val="39"/>
  </w:num>
  <w:num w:numId="17" w16cid:durableId="1564294928">
    <w:abstractNumId w:val="120"/>
  </w:num>
  <w:num w:numId="18" w16cid:durableId="1594506458">
    <w:abstractNumId w:val="58"/>
  </w:num>
  <w:num w:numId="19" w16cid:durableId="1109275955">
    <w:abstractNumId w:val="25"/>
  </w:num>
  <w:num w:numId="20" w16cid:durableId="1981184564">
    <w:abstractNumId w:val="106"/>
  </w:num>
  <w:num w:numId="21" w16cid:durableId="101071647">
    <w:abstractNumId w:val="84"/>
  </w:num>
  <w:num w:numId="22" w16cid:durableId="543636176">
    <w:abstractNumId w:val="110"/>
  </w:num>
  <w:num w:numId="23" w16cid:durableId="126436495">
    <w:abstractNumId w:val="88"/>
  </w:num>
  <w:num w:numId="24" w16cid:durableId="935938947">
    <w:abstractNumId w:val="40"/>
  </w:num>
  <w:num w:numId="25" w16cid:durableId="1605842619">
    <w:abstractNumId w:val="105"/>
  </w:num>
  <w:num w:numId="26" w16cid:durableId="589855426">
    <w:abstractNumId w:val="75"/>
  </w:num>
  <w:num w:numId="27" w16cid:durableId="858543621">
    <w:abstractNumId w:val="72"/>
  </w:num>
  <w:num w:numId="28" w16cid:durableId="1008025142">
    <w:abstractNumId w:val="101"/>
  </w:num>
  <w:num w:numId="29" w16cid:durableId="783156000">
    <w:abstractNumId w:val="79"/>
  </w:num>
  <w:num w:numId="30" w16cid:durableId="2147307529">
    <w:abstractNumId w:val="99"/>
  </w:num>
  <w:num w:numId="31" w16cid:durableId="2042048029">
    <w:abstractNumId w:val="119"/>
  </w:num>
  <w:num w:numId="32" w16cid:durableId="982196201">
    <w:abstractNumId w:val="13"/>
  </w:num>
  <w:num w:numId="33" w16cid:durableId="1992518544">
    <w:abstractNumId w:val="51"/>
  </w:num>
  <w:num w:numId="34" w16cid:durableId="1325429204">
    <w:abstractNumId w:val="28"/>
  </w:num>
  <w:num w:numId="35" w16cid:durableId="246548307">
    <w:abstractNumId w:val="41"/>
  </w:num>
  <w:num w:numId="36" w16cid:durableId="347678512">
    <w:abstractNumId w:val="24"/>
  </w:num>
  <w:num w:numId="37" w16cid:durableId="360281505">
    <w:abstractNumId w:val="67"/>
  </w:num>
  <w:num w:numId="38" w16cid:durableId="394278690">
    <w:abstractNumId w:val="81"/>
  </w:num>
  <w:num w:numId="39" w16cid:durableId="1826505575">
    <w:abstractNumId w:val="10"/>
  </w:num>
  <w:num w:numId="40" w16cid:durableId="681124103">
    <w:abstractNumId w:val="78"/>
  </w:num>
  <w:num w:numId="41" w16cid:durableId="1129861104">
    <w:abstractNumId w:val="97"/>
  </w:num>
  <w:num w:numId="42" w16cid:durableId="503908768">
    <w:abstractNumId w:val="56"/>
  </w:num>
  <w:num w:numId="43" w16cid:durableId="1647051535">
    <w:abstractNumId w:val="38"/>
  </w:num>
  <w:num w:numId="44" w16cid:durableId="119689434">
    <w:abstractNumId w:val="23"/>
  </w:num>
  <w:num w:numId="45" w16cid:durableId="1525440898">
    <w:abstractNumId w:val="15"/>
  </w:num>
  <w:num w:numId="46" w16cid:durableId="990131945">
    <w:abstractNumId w:val="63"/>
  </w:num>
  <w:num w:numId="47" w16cid:durableId="362829932">
    <w:abstractNumId w:val="113"/>
  </w:num>
  <w:num w:numId="48" w16cid:durableId="1530753652">
    <w:abstractNumId w:val="48"/>
  </w:num>
  <w:num w:numId="49" w16cid:durableId="563956141">
    <w:abstractNumId w:val="37"/>
  </w:num>
  <w:num w:numId="50" w16cid:durableId="12342781">
    <w:abstractNumId w:val="62"/>
  </w:num>
  <w:num w:numId="51" w16cid:durableId="69888565">
    <w:abstractNumId w:val="8"/>
  </w:num>
  <w:num w:numId="52" w16cid:durableId="1144010167">
    <w:abstractNumId w:val="90"/>
  </w:num>
  <w:num w:numId="53" w16cid:durableId="1533029558">
    <w:abstractNumId w:val="1"/>
  </w:num>
  <w:num w:numId="54" w16cid:durableId="5207523">
    <w:abstractNumId w:val="87"/>
  </w:num>
  <w:num w:numId="55" w16cid:durableId="1476146244">
    <w:abstractNumId w:val="102"/>
  </w:num>
  <w:num w:numId="56" w16cid:durableId="864170102">
    <w:abstractNumId w:val="27"/>
  </w:num>
  <w:num w:numId="57" w16cid:durableId="1335525278">
    <w:abstractNumId w:val="43"/>
  </w:num>
  <w:num w:numId="58" w16cid:durableId="176508976">
    <w:abstractNumId w:val="31"/>
  </w:num>
  <w:num w:numId="59" w16cid:durableId="1760756324">
    <w:abstractNumId w:val="111"/>
  </w:num>
  <w:num w:numId="60" w16cid:durableId="530340883">
    <w:abstractNumId w:val="7"/>
  </w:num>
  <w:num w:numId="61" w16cid:durableId="694382275">
    <w:abstractNumId w:val="6"/>
  </w:num>
  <w:num w:numId="62" w16cid:durableId="1727296677">
    <w:abstractNumId w:val="46"/>
  </w:num>
  <w:num w:numId="63" w16cid:durableId="943928283">
    <w:abstractNumId w:val="19"/>
  </w:num>
  <w:num w:numId="64" w16cid:durableId="564292554">
    <w:abstractNumId w:val="18"/>
  </w:num>
  <w:num w:numId="65" w16cid:durableId="2043898525">
    <w:abstractNumId w:val="3"/>
  </w:num>
  <w:num w:numId="66" w16cid:durableId="714618988">
    <w:abstractNumId w:val="60"/>
  </w:num>
  <w:num w:numId="67" w16cid:durableId="115493418">
    <w:abstractNumId w:val="122"/>
  </w:num>
  <w:num w:numId="68" w16cid:durableId="1161434023">
    <w:abstractNumId w:val="26"/>
  </w:num>
  <w:num w:numId="69" w16cid:durableId="59865484">
    <w:abstractNumId w:val="53"/>
  </w:num>
  <w:num w:numId="70" w16cid:durableId="590310159">
    <w:abstractNumId w:val="117"/>
  </w:num>
  <w:num w:numId="71" w16cid:durableId="248659195">
    <w:abstractNumId w:val="22"/>
  </w:num>
  <w:num w:numId="72" w16cid:durableId="1054743574">
    <w:abstractNumId w:val="54"/>
  </w:num>
  <w:num w:numId="73" w16cid:durableId="779496590">
    <w:abstractNumId w:val="11"/>
  </w:num>
  <w:num w:numId="74" w16cid:durableId="1003777119">
    <w:abstractNumId w:val="47"/>
  </w:num>
  <w:num w:numId="75" w16cid:durableId="1012414080">
    <w:abstractNumId w:val="14"/>
  </w:num>
  <w:num w:numId="76" w16cid:durableId="957376844">
    <w:abstractNumId w:val="83"/>
  </w:num>
  <w:num w:numId="77" w16cid:durableId="1899046191">
    <w:abstractNumId w:val="44"/>
  </w:num>
  <w:num w:numId="78" w16cid:durableId="945964571">
    <w:abstractNumId w:val="2"/>
  </w:num>
  <w:num w:numId="79" w16cid:durableId="1106852103">
    <w:abstractNumId w:val="12"/>
  </w:num>
  <w:num w:numId="80" w16cid:durableId="1691296078">
    <w:abstractNumId w:val="71"/>
  </w:num>
  <w:num w:numId="81" w16cid:durableId="1859537659">
    <w:abstractNumId w:val="20"/>
  </w:num>
  <w:num w:numId="82" w16cid:durableId="1705449004">
    <w:abstractNumId w:val="61"/>
  </w:num>
  <w:num w:numId="83" w16cid:durableId="1862354201">
    <w:abstractNumId w:val="66"/>
  </w:num>
  <w:num w:numId="84" w16cid:durableId="1998339437">
    <w:abstractNumId w:val="96"/>
  </w:num>
  <w:num w:numId="85" w16cid:durableId="941569343">
    <w:abstractNumId w:val="74"/>
  </w:num>
  <w:num w:numId="86" w16cid:durableId="231544467">
    <w:abstractNumId w:val="116"/>
  </w:num>
  <w:num w:numId="87" w16cid:durableId="490676300">
    <w:abstractNumId w:val="5"/>
  </w:num>
  <w:num w:numId="88" w16cid:durableId="2110082645">
    <w:abstractNumId w:val="33"/>
  </w:num>
  <w:num w:numId="89" w16cid:durableId="1048148615">
    <w:abstractNumId w:val="109"/>
  </w:num>
  <w:num w:numId="90" w16cid:durableId="285934724">
    <w:abstractNumId w:val="98"/>
  </w:num>
  <w:num w:numId="91" w16cid:durableId="761610756">
    <w:abstractNumId w:val="9"/>
  </w:num>
  <w:num w:numId="92" w16cid:durableId="2090693765">
    <w:abstractNumId w:val="107"/>
  </w:num>
  <w:num w:numId="93" w16cid:durableId="1280186113">
    <w:abstractNumId w:val="21"/>
  </w:num>
  <w:num w:numId="94" w16cid:durableId="649603533">
    <w:abstractNumId w:val="9"/>
  </w:num>
  <w:num w:numId="95" w16cid:durableId="1606494877">
    <w:abstractNumId w:val="32"/>
  </w:num>
  <w:num w:numId="96" w16cid:durableId="295599880">
    <w:abstractNumId w:val="103"/>
  </w:num>
  <w:num w:numId="97" w16cid:durableId="1734161048">
    <w:abstractNumId w:val="76"/>
  </w:num>
  <w:num w:numId="98" w16cid:durableId="1494636374">
    <w:abstractNumId w:val="35"/>
  </w:num>
  <w:num w:numId="99" w16cid:durableId="232467451">
    <w:abstractNumId w:val="57"/>
  </w:num>
  <w:num w:numId="100" w16cid:durableId="1650204641">
    <w:abstractNumId w:val="68"/>
  </w:num>
  <w:num w:numId="101" w16cid:durableId="392317148">
    <w:abstractNumId w:val="91"/>
  </w:num>
  <w:num w:numId="102" w16cid:durableId="235555202">
    <w:abstractNumId w:val="73"/>
  </w:num>
  <w:num w:numId="103" w16cid:durableId="1255630274">
    <w:abstractNumId w:val="65"/>
  </w:num>
  <w:num w:numId="104" w16cid:durableId="1365712200">
    <w:abstractNumId w:val="17"/>
  </w:num>
  <w:num w:numId="105" w16cid:durableId="1862935015">
    <w:abstractNumId w:val="70"/>
  </w:num>
  <w:num w:numId="106" w16cid:durableId="1373336691">
    <w:abstractNumId w:val="42"/>
  </w:num>
  <w:num w:numId="107" w16cid:durableId="1329098290">
    <w:abstractNumId w:val="77"/>
  </w:num>
  <w:num w:numId="108" w16cid:durableId="206380226">
    <w:abstractNumId w:val="100"/>
  </w:num>
  <w:num w:numId="109" w16cid:durableId="1827361764">
    <w:abstractNumId w:val="29"/>
  </w:num>
  <w:num w:numId="110" w16cid:durableId="1642227167">
    <w:abstractNumId w:val="118"/>
  </w:num>
  <w:num w:numId="111" w16cid:durableId="1686050218">
    <w:abstractNumId w:val="35"/>
  </w:num>
  <w:num w:numId="112" w16cid:durableId="105319533">
    <w:abstractNumId w:val="108"/>
  </w:num>
  <w:num w:numId="113" w16cid:durableId="1942911730">
    <w:abstractNumId w:val="35"/>
  </w:num>
  <w:num w:numId="114" w16cid:durableId="1139490750">
    <w:abstractNumId w:val="114"/>
  </w:num>
  <w:num w:numId="115" w16cid:durableId="133252613">
    <w:abstractNumId w:val="112"/>
  </w:num>
  <w:num w:numId="116" w16cid:durableId="21445389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904069366">
    <w:abstractNumId w:val="64"/>
  </w:num>
  <w:num w:numId="118" w16cid:durableId="1204514134">
    <w:abstractNumId w:val="86"/>
  </w:num>
  <w:num w:numId="119" w16cid:durableId="1379551738">
    <w:abstractNumId w:val="89"/>
  </w:num>
  <w:num w:numId="120" w16cid:durableId="1557397932">
    <w:abstractNumId w:val="34"/>
  </w:num>
  <w:num w:numId="121" w16cid:durableId="424306660">
    <w:abstractNumId w:val="49"/>
  </w:num>
  <w:num w:numId="122" w16cid:durableId="1428768668">
    <w:abstractNumId w:val="93"/>
  </w:num>
  <w:num w:numId="123" w16cid:durableId="1518229681">
    <w:abstractNumId w:val="4"/>
  </w:num>
  <w:num w:numId="124" w16cid:durableId="256332873">
    <w:abstractNumId w:val="50"/>
  </w:num>
  <w:num w:numId="125" w16cid:durableId="1051155218">
    <w:abstractNumId w:val="121"/>
  </w:num>
  <w:num w:numId="126" w16cid:durableId="803040402">
    <w:abstractNumId w:val="69"/>
  </w:num>
  <w:num w:numId="127" w16cid:durableId="1823619678">
    <w:abstractNumId w:val="55"/>
  </w:num>
  <w:num w:numId="128" w16cid:durableId="294918898">
    <w:abstractNumId w:val="92"/>
  </w:num>
  <w:num w:numId="129" w16cid:durableId="131395116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765421693">
    <w:abstractNumId w:val="65"/>
  </w:num>
  <w:num w:numId="131" w16cid:durableId="632909683">
    <w:abstractNumId w:val="65"/>
  </w:num>
  <w:num w:numId="132" w16cid:durableId="1698038846">
    <w:abstractNumId w:val="5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activeWritingStyle w:appName="MSWord" w:lang="pt-BR"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016"/>
    <w:rsid w:val="00000204"/>
    <w:rsid w:val="000005E7"/>
    <w:rsid w:val="000006CF"/>
    <w:rsid w:val="000006E1"/>
    <w:rsid w:val="000009CE"/>
    <w:rsid w:val="00000EE9"/>
    <w:rsid w:val="000012F1"/>
    <w:rsid w:val="000013DA"/>
    <w:rsid w:val="0000160D"/>
    <w:rsid w:val="00001657"/>
    <w:rsid w:val="00001C6E"/>
    <w:rsid w:val="00001D0A"/>
    <w:rsid w:val="00002349"/>
    <w:rsid w:val="000023B2"/>
    <w:rsid w:val="00002499"/>
    <w:rsid w:val="000028D1"/>
    <w:rsid w:val="000029A8"/>
    <w:rsid w:val="00002A37"/>
    <w:rsid w:val="00002AB6"/>
    <w:rsid w:val="00002F66"/>
    <w:rsid w:val="00002F7B"/>
    <w:rsid w:val="00003116"/>
    <w:rsid w:val="000031F2"/>
    <w:rsid w:val="00003826"/>
    <w:rsid w:val="00003AC0"/>
    <w:rsid w:val="00003D22"/>
    <w:rsid w:val="0000429A"/>
    <w:rsid w:val="0000431F"/>
    <w:rsid w:val="00004346"/>
    <w:rsid w:val="00004756"/>
    <w:rsid w:val="0000484E"/>
    <w:rsid w:val="000048B6"/>
    <w:rsid w:val="0000496B"/>
    <w:rsid w:val="00004B13"/>
    <w:rsid w:val="00004E33"/>
    <w:rsid w:val="00004F4F"/>
    <w:rsid w:val="0000505D"/>
    <w:rsid w:val="0000531F"/>
    <w:rsid w:val="0000564C"/>
    <w:rsid w:val="00005CB0"/>
    <w:rsid w:val="00005D3B"/>
    <w:rsid w:val="00005FF9"/>
    <w:rsid w:val="00006062"/>
    <w:rsid w:val="000061F9"/>
    <w:rsid w:val="00006446"/>
    <w:rsid w:val="00006797"/>
    <w:rsid w:val="000067F1"/>
    <w:rsid w:val="00006896"/>
    <w:rsid w:val="0000694F"/>
    <w:rsid w:val="00006C0F"/>
    <w:rsid w:val="00006CFA"/>
    <w:rsid w:val="00006D1E"/>
    <w:rsid w:val="00006EFA"/>
    <w:rsid w:val="00006FA3"/>
    <w:rsid w:val="00007134"/>
    <w:rsid w:val="00007164"/>
    <w:rsid w:val="0000739F"/>
    <w:rsid w:val="00007424"/>
    <w:rsid w:val="00007586"/>
    <w:rsid w:val="0000778B"/>
    <w:rsid w:val="000078CD"/>
    <w:rsid w:val="00007AC9"/>
    <w:rsid w:val="00007B9F"/>
    <w:rsid w:val="00007C62"/>
    <w:rsid w:val="00007CDC"/>
    <w:rsid w:val="00007D9B"/>
    <w:rsid w:val="00010110"/>
    <w:rsid w:val="0001022D"/>
    <w:rsid w:val="00010628"/>
    <w:rsid w:val="0001063E"/>
    <w:rsid w:val="0001071B"/>
    <w:rsid w:val="0001083F"/>
    <w:rsid w:val="000108D6"/>
    <w:rsid w:val="00010906"/>
    <w:rsid w:val="000109F8"/>
    <w:rsid w:val="00010C5E"/>
    <w:rsid w:val="00010CA5"/>
    <w:rsid w:val="0001121E"/>
    <w:rsid w:val="00011398"/>
    <w:rsid w:val="000114A6"/>
    <w:rsid w:val="000115E8"/>
    <w:rsid w:val="00011649"/>
    <w:rsid w:val="00011959"/>
    <w:rsid w:val="000119A7"/>
    <w:rsid w:val="000119E5"/>
    <w:rsid w:val="00011A43"/>
    <w:rsid w:val="00011A8A"/>
    <w:rsid w:val="00011AF0"/>
    <w:rsid w:val="00011B28"/>
    <w:rsid w:val="00011D4A"/>
    <w:rsid w:val="00012461"/>
    <w:rsid w:val="0001258D"/>
    <w:rsid w:val="00012613"/>
    <w:rsid w:val="00012949"/>
    <w:rsid w:val="00012D0D"/>
    <w:rsid w:val="00013377"/>
    <w:rsid w:val="0001348C"/>
    <w:rsid w:val="0001375A"/>
    <w:rsid w:val="00013A41"/>
    <w:rsid w:val="00013AD3"/>
    <w:rsid w:val="00013B05"/>
    <w:rsid w:val="00013BD4"/>
    <w:rsid w:val="00013C5F"/>
    <w:rsid w:val="00013DEB"/>
    <w:rsid w:val="00013ED2"/>
    <w:rsid w:val="00013EDF"/>
    <w:rsid w:val="00013F7B"/>
    <w:rsid w:val="000140AE"/>
    <w:rsid w:val="00014318"/>
    <w:rsid w:val="00014368"/>
    <w:rsid w:val="000143DA"/>
    <w:rsid w:val="00014464"/>
    <w:rsid w:val="000145DF"/>
    <w:rsid w:val="0001460E"/>
    <w:rsid w:val="00014729"/>
    <w:rsid w:val="0001492C"/>
    <w:rsid w:val="00014BDE"/>
    <w:rsid w:val="00014CD1"/>
    <w:rsid w:val="00014E69"/>
    <w:rsid w:val="000150C9"/>
    <w:rsid w:val="00015647"/>
    <w:rsid w:val="0001569D"/>
    <w:rsid w:val="0001572B"/>
    <w:rsid w:val="00015788"/>
    <w:rsid w:val="000158EC"/>
    <w:rsid w:val="00015A16"/>
    <w:rsid w:val="00015B31"/>
    <w:rsid w:val="00015B3F"/>
    <w:rsid w:val="00015BBB"/>
    <w:rsid w:val="00015D15"/>
    <w:rsid w:val="000161F0"/>
    <w:rsid w:val="00016308"/>
    <w:rsid w:val="0001660E"/>
    <w:rsid w:val="000166E2"/>
    <w:rsid w:val="000168FA"/>
    <w:rsid w:val="00016A17"/>
    <w:rsid w:val="00016A4B"/>
    <w:rsid w:val="00016BEF"/>
    <w:rsid w:val="00016BFB"/>
    <w:rsid w:val="00016C26"/>
    <w:rsid w:val="000170E7"/>
    <w:rsid w:val="0001724C"/>
    <w:rsid w:val="00017606"/>
    <w:rsid w:val="00017620"/>
    <w:rsid w:val="00017C83"/>
    <w:rsid w:val="00017DA9"/>
    <w:rsid w:val="00017DBE"/>
    <w:rsid w:val="00017F12"/>
    <w:rsid w:val="00020223"/>
    <w:rsid w:val="000203AC"/>
    <w:rsid w:val="000207E1"/>
    <w:rsid w:val="00020A5F"/>
    <w:rsid w:val="00020A6E"/>
    <w:rsid w:val="00020C43"/>
    <w:rsid w:val="00020CAC"/>
    <w:rsid w:val="00020ED6"/>
    <w:rsid w:val="00020F7F"/>
    <w:rsid w:val="00020FDA"/>
    <w:rsid w:val="00021083"/>
    <w:rsid w:val="000210C1"/>
    <w:rsid w:val="00021120"/>
    <w:rsid w:val="000211D5"/>
    <w:rsid w:val="000219EA"/>
    <w:rsid w:val="00021D62"/>
    <w:rsid w:val="00021E15"/>
    <w:rsid w:val="00021E3B"/>
    <w:rsid w:val="00021EB4"/>
    <w:rsid w:val="000220E1"/>
    <w:rsid w:val="00022337"/>
    <w:rsid w:val="00022365"/>
    <w:rsid w:val="000225BD"/>
    <w:rsid w:val="00022883"/>
    <w:rsid w:val="00022A90"/>
    <w:rsid w:val="00022F5B"/>
    <w:rsid w:val="000231F5"/>
    <w:rsid w:val="000232D7"/>
    <w:rsid w:val="000235FF"/>
    <w:rsid w:val="00023BB9"/>
    <w:rsid w:val="00023CC3"/>
    <w:rsid w:val="00023F96"/>
    <w:rsid w:val="000240B5"/>
    <w:rsid w:val="0002444D"/>
    <w:rsid w:val="0002459D"/>
    <w:rsid w:val="0002465A"/>
    <w:rsid w:val="0002465F"/>
    <w:rsid w:val="0002471C"/>
    <w:rsid w:val="00024846"/>
    <w:rsid w:val="0002484D"/>
    <w:rsid w:val="00024894"/>
    <w:rsid w:val="0002493C"/>
    <w:rsid w:val="00024A45"/>
    <w:rsid w:val="00024B46"/>
    <w:rsid w:val="00024DF2"/>
    <w:rsid w:val="00024EAA"/>
    <w:rsid w:val="00024EEF"/>
    <w:rsid w:val="000254D1"/>
    <w:rsid w:val="0002562A"/>
    <w:rsid w:val="0002564D"/>
    <w:rsid w:val="00025814"/>
    <w:rsid w:val="000258F7"/>
    <w:rsid w:val="00025B07"/>
    <w:rsid w:val="00025CF2"/>
    <w:rsid w:val="00025ECA"/>
    <w:rsid w:val="00025EEF"/>
    <w:rsid w:val="000262F7"/>
    <w:rsid w:val="00026457"/>
    <w:rsid w:val="0002675C"/>
    <w:rsid w:val="00026DB5"/>
    <w:rsid w:val="00026F83"/>
    <w:rsid w:val="00027169"/>
    <w:rsid w:val="000271CC"/>
    <w:rsid w:val="00027271"/>
    <w:rsid w:val="00027344"/>
    <w:rsid w:val="00027375"/>
    <w:rsid w:val="000273BF"/>
    <w:rsid w:val="0002740E"/>
    <w:rsid w:val="000274DB"/>
    <w:rsid w:val="000274FD"/>
    <w:rsid w:val="00027749"/>
    <w:rsid w:val="00027751"/>
    <w:rsid w:val="000277EF"/>
    <w:rsid w:val="000279BD"/>
    <w:rsid w:val="00027B2E"/>
    <w:rsid w:val="00027C00"/>
    <w:rsid w:val="00027C3A"/>
    <w:rsid w:val="00027C67"/>
    <w:rsid w:val="00027D2C"/>
    <w:rsid w:val="00027D73"/>
    <w:rsid w:val="00027F16"/>
    <w:rsid w:val="000300B6"/>
    <w:rsid w:val="00030105"/>
    <w:rsid w:val="00030134"/>
    <w:rsid w:val="000303FA"/>
    <w:rsid w:val="00030505"/>
    <w:rsid w:val="0003075E"/>
    <w:rsid w:val="000308C1"/>
    <w:rsid w:val="0003093C"/>
    <w:rsid w:val="00030A1F"/>
    <w:rsid w:val="00030A9C"/>
    <w:rsid w:val="00030B3E"/>
    <w:rsid w:val="00030C2F"/>
    <w:rsid w:val="00031226"/>
    <w:rsid w:val="00031234"/>
    <w:rsid w:val="00031252"/>
    <w:rsid w:val="000313B7"/>
    <w:rsid w:val="000314FE"/>
    <w:rsid w:val="000316D8"/>
    <w:rsid w:val="00031948"/>
    <w:rsid w:val="00031A54"/>
    <w:rsid w:val="00031BD0"/>
    <w:rsid w:val="00031DE9"/>
    <w:rsid w:val="00031ECF"/>
    <w:rsid w:val="0003233C"/>
    <w:rsid w:val="00032484"/>
    <w:rsid w:val="000325B8"/>
    <w:rsid w:val="000327F5"/>
    <w:rsid w:val="000329FF"/>
    <w:rsid w:val="00032AA2"/>
    <w:rsid w:val="00032AEC"/>
    <w:rsid w:val="00032BA2"/>
    <w:rsid w:val="00032CE9"/>
    <w:rsid w:val="00032DD8"/>
    <w:rsid w:val="00033023"/>
    <w:rsid w:val="0003302B"/>
    <w:rsid w:val="00033250"/>
    <w:rsid w:val="0003332F"/>
    <w:rsid w:val="0003333B"/>
    <w:rsid w:val="00033679"/>
    <w:rsid w:val="00033680"/>
    <w:rsid w:val="00033815"/>
    <w:rsid w:val="000338B2"/>
    <w:rsid w:val="00033911"/>
    <w:rsid w:val="00033B5B"/>
    <w:rsid w:val="00033BEF"/>
    <w:rsid w:val="00033D61"/>
    <w:rsid w:val="00033E3F"/>
    <w:rsid w:val="00033F3E"/>
    <w:rsid w:val="00033F64"/>
    <w:rsid w:val="00033FD4"/>
    <w:rsid w:val="00034408"/>
    <w:rsid w:val="00034581"/>
    <w:rsid w:val="0003476C"/>
    <w:rsid w:val="00034855"/>
    <w:rsid w:val="000349BB"/>
    <w:rsid w:val="00034B70"/>
    <w:rsid w:val="00034C15"/>
    <w:rsid w:val="00034C3C"/>
    <w:rsid w:val="000352F8"/>
    <w:rsid w:val="00035749"/>
    <w:rsid w:val="0003585B"/>
    <w:rsid w:val="000358FF"/>
    <w:rsid w:val="00035ABD"/>
    <w:rsid w:val="00035B22"/>
    <w:rsid w:val="00035DE9"/>
    <w:rsid w:val="0003637A"/>
    <w:rsid w:val="000363DB"/>
    <w:rsid w:val="0003647C"/>
    <w:rsid w:val="0003664E"/>
    <w:rsid w:val="0003666E"/>
    <w:rsid w:val="000367E3"/>
    <w:rsid w:val="00036AC0"/>
    <w:rsid w:val="00036BA1"/>
    <w:rsid w:val="00036C00"/>
    <w:rsid w:val="00036D0E"/>
    <w:rsid w:val="00036EFB"/>
    <w:rsid w:val="000370A9"/>
    <w:rsid w:val="0003758F"/>
    <w:rsid w:val="000376F2"/>
    <w:rsid w:val="0003795E"/>
    <w:rsid w:val="00037B72"/>
    <w:rsid w:val="00037F56"/>
    <w:rsid w:val="00037FF5"/>
    <w:rsid w:val="00040056"/>
    <w:rsid w:val="0004021D"/>
    <w:rsid w:val="0004047A"/>
    <w:rsid w:val="00040A6C"/>
    <w:rsid w:val="00040BDA"/>
    <w:rsid w:val="00040EBB"/>
    <w:rsid w:val="00041139"/>
    <w:rsid w:val="00041299"/>
    <w:rsid w:val="00041336"/>
    <w:rsid w:val="00041B0A"/>
    <w:rsid w:val="00041BAF"/>
    <w:rsid w:val="00041C2F"/>
    <w:rsid w:val="0004209A"/>
    <w:rsid w:val="000420A8"/>
    <w:rsid w:val="000420AF"/>
    <w:rsid w:val="00042115"/>
    <w:rsid w:val="000422E2"/>
    <w:rsid w:val="0004277A"/>
    <w:rsid w:val="00042827"/>
    <w:rsid w:val="0004288D"/>
    <w:rsid w:val="00042946"/>
    <w:rsid w:val="00042C65"/>
    <w:rsid w:val="00042F22"/>
    <w:rsid w:val="0004311E"/>
    <w:rsid w:val="000433AE"/>
    <w:rsid w:val="000434C4"/>
    <w:rsid w:val="000436C1"/>
    <w:rsid w:val="0004399A"/>
    <w:rsid w:val="000439A2"/>
    <w:rsid w:val="00043C0E"/>
    <w:rsid w:val="00043D43"/>
    <w:rsid w:val="00043E10"/>
    <w:rsid w:val="00043E26"/>
    <w:rsid w:val="0004427F"/>
    <w:rsid w:val="000442B1"/>
    <w:rsid w:val="00044393"/>
    <w:rsid w:val="00044436"/>
    <w:rsid w:val="000444AB"/>
    <w:rsid w:val="000444EF"/>
    <w:rsid w:val="000448B8"/>
    <w:rsid w:val="00044925"/>
    <w:rsid w:val="00044A7B"/>
    <w:rsid w:val="00044B6D"/>
    <w:rsid w:val="00044C7D"/>
    <w:rsid w:val="00044CDD"/>
    <w:rsid w:val="00044E1F"/>
    <w:rsid w:val="00045278"/>
    <w:rsid w:val="00045C5D"/>
    <w:rsid w:val="00045DC4"/>
    <w:rsid w:val="00045E5A"/>
    <w:rsid w:val="00046039"/>
    <w:rsid w:val="0004624F"/>
    <w:rsid w:val="000463BF"/>
    <w:rsid w:val="000465F3"/>
    <w:rsid w:val="000466D0"/>
    <w:rsid w:val="00046832"/>
    <w:rsid w:val="000468A7"/>
    <w:rsid w:val="00046903"/>
    <w:rsid w:val="00046D66"/>
    <w:rsid w:val="00046F87"/>
    <w:rsid w:val="000470DC"/>
    <w:rsid w:val="00047205"/>
    <w:rsid w:val="000472E6"/>
    <w:rsid w:val="000472ED"/>
    <w:rsid w:val="00047450"/>
    <w:rsid w:val="0004766D"/>
    <w:rsid w:val="0004784A"/>
    <w:rsid w:val="00047CD3"/>
    <w:rsid w:val="00047EE0"/>
    <w:rsid w:val="000502DF"/>
    <w:rsid w:val="0005056D"/>
    <w:rsid w:val="0005060D"/>
    <w:rsid w:val="000508EC"/>
    <w:rsid w:val="0005098C"/>
    <w:rsid w:val="00050CF7"/>
    <w:rsid w:val="00050E6D"/>
    <w:rsid w:val="00050ED2"/>
    <w:rsid w:val="00050FE1"/>
    <w:rsid w:val="0005153D"/>
    <w:rsid w:val="0005174D"/>
    <w:rsid w:val="00051B44"/>
    <w:rsid w:val="00051DEE"/>
    <w:rsid w:val="00051E18"/>
    <w:rsid w:val="00051FEB"/>
    <w:rsid w:val="000520AA"/>
    <w:rsid w:val="000520EA"/>
    <w:rsid w:val="00052121"/>
    <w:rsid w:val="000521DA"/>
    <w:rsid w:val="00052778"/>
    <w:rsid w:val="000527CF"/>
    <w:rsid w:val="00052891"/>
    <w:rsid w:val="00052923"/>
    <w:rsid w:val="00052A07"/>
    <w:rsid w:val="00052BF4"/>
    <w:rsid w:val="00052D4F"/>
    <w:rsid w:val="00052D5E"/>
    <w:rsid w:val="00052E1A"/>
    <w:rsid w:val="00052FC2"/>
    <w:rsid w:val="000532FA"/>
    <w:rsid w:val="000534E3"/>
    <w:rsid w:val="00053504"/>
    <w:rsid w:val="00053A80"/>
    <w:rsid w:val="00053B15"/>
    <w:rsid w:val="00053CE1"/>
    <w:rsid w:val="00053DF2"/>
    <w:rsid w:val="00053E70"/>
    <w:rsid w:val="00053E7A"/>
    <w:rsid w:val="00053F0B"/>
    <w:rsid w:val="0005416E"/>
    <w:rsid w:val="000542A0"/>
    <w:rsid w:val="000542C8"/>
    <w:rsid w:val="000543F2"/>
    <w:rsid w:val="000545DE"/>
    <w:rsid w:val="00054711"/>
    <w:rsid w:val="0005479C"/>
    <w:rsid w:val="00054CDE"/>
    <w:rsid w:val="00054EB3"/>
    <w:rsid w:val="000551FF"/>
    <w:rsid w:val="00055349"/>
    <w:rsid w:val="00055376"/>
    <w:rsid w:val="00055436"/>
    <w:rsid w:val="00055736"/>
    <w:rsid w:val="000559D5"/>
    <w:rsid w:val="00055AE5"/>
    <w:rsid w:val="00055B72"/>
    <w:rsid w:val="00055D80"/>
    <w:rsid w:val="00055F94"/>
    <w:rsid w:val="00055FD6"/>
    <w:rsid w:val="0005606A"/>
    <w:rsid w:val="0005668C"/>
    <w:rsid w:val="00056725"/>
    <w:rsid w:val="00056844"/>
    <w:rsid w:val="00056BA9"/>
    <w:rsid w:val="00056C0D"/>
    <w:rsid w:val="00056C64"/>
    <w:rsid w:val="00056DD8"/>
    <w:rsid w:val="00056E99"/>
    <w:rsid w:val="00056F2A"/>
    <w:rsid w:val="00057117"/>
    <w:rsid w:val="000573E5"/>
    <w:rsid w:val="000573F3"/>
    <w:rsid w:val="000575F3"/>
    <w:rsid w:val="0005771E"/>
    <w:rsid w:val="00057791"/>
    <w:rsid w:val="000577E7"/>
    <w:rsid w:val="00057974"/>
    <w:rsid w:val="00057A80"/>
    <w:rsid w:val="00057EF1"/>
    <w:rsid w:val="00057F34"/>
    <w:rsid w:val="00057F60"/>
    <w:rsid w:val="00057FFD"/>
    <w:rsid w:val="00060038"/>
    <w:rsid w:val="00060404"/>
    <w:rsid w:val="00060561"/>
    <w:rsid w:val="000607CA"/>
    <w:rsid w:val="00060D17"/>
    <w:rsid w:val="00061131"/>
    <w:rsid w:val="0006129D"/>
    <w:rsid w:val="000613A9"/>
    <w:rsid w:val="00061463"/>
    <w:rsid w:val="00061668"/>
    <w:rsid w:val="000616E7"/>
    <w:rsid w:val="00061731"/>
    <w:rsid w:val="00061877"/>
    <w:rsid w:val="0006196B"/>
    <w:rsid w:val="0006198D"/>
    <w:rsid w:val="000619BD"/>
    <w:rsid w:val="00061A4F"/>
    <w:rsid w:val="00061B89"/>
    <w:rsid w:val="00061D5D"/>
    <w:rsid w:val="00062447"/>
    <w:rsid w:val="00062537"/>
    <w:rsid w:val="0006255F"/>
    <w:rsid w:val="00062741"/>
    <w:rsid w:val="000627D8"/>
    <w:rsid w:val="00062840"/>
    <w:rsid w:val="00062D1A"/>
    <w:rsid w:val="00062D7D"/>
    <w:rsid w:val="00062E8C"/>
    <w:rsid w:val="00063169"/>
    <w:rsid w:val="000631C1"/>
    <w:rsid w:val="0006322C"/>
    <w:rsid w:val="000633C1"/>
    <w:rsid w:val="0006341C"/>
    <w:rsid w:val="00063531"/>
    <w:rsid w:val="00063551"/>
    <w:rsid w:val="0006368B"/>
    <w:rsid w:val="000636B5"/>
    <w:rsid w:val="00063A4D"/>
    <w:rsid w:val="00063AFF"/>
    <w:rsid w:val="00063C44"/>
    <w:rsid w:val="00063F20"/>
    <w:rsid w:val="000640D8"/>
    <w:rsid w:val="000642E9"/>
    <w:rsid w:val="00064338"/>
    <w:rsid w:val="00064545"/>
    <w:rsid w:val="000645A0"/>
    <w:rsid w:val="000647F9"/>
    <w:rsid w:val="0006486B"/>
    <w:rsid w:val="0006487E"/>
    <w:rsid w:val="00064919"/>
    <w:rsid w:val="00064AE5"/>
    <w:rsid w:val="00064B22"/>
    <w:rsid w:val="00064C48"/>
    <w:rsid w:val="00064DB2"/>
    <w:rsid w:val="00064E5E"/>
    <w:rsid w:val="000651ED"/>
    <w:rsid w:val="00065251"/>
    <w:rsid w:val="00065325"/>
    <w:rsid w:val="0006536D"/>
    <w:rsid w:val="00065428"/>
    <w:rsid w:val="000657A3"/>
    <w:rsid w:val="000657D0"/>
    <w:rsid w:val="000657E5"/>
    <w:rsid w:val="000657FF"/>
    <w:rsid w:val="00065804"/>
    <w:rsid w:val="00065956"/>
    <w:rsid w:val="00065E1A"/>
    <w:rsid w:val="00065EA3"/>
    <w:rsid w:val="0006606B"/>
    <w:rsid w:val="0006619E"/>
    <w:rsid w:val="0006630B"/>
    <w:rsid w:val="000665A5"/>
    <w:rsid w:val="000667AC"/>
    <w:rsid w:val="00066859"/>
    <w:rsid w:val="00066C5F"/>
    <w:rsid w:val="00066CC0"/>
    <w:rsid w:val="00066CC9"/>
    <w:rsid w:val="00066DDF"/>
    <w:rsid w:val="00066F5A"/>
    <w:rsid w:val="000671A8"/>
    <w:rsid w:val="0006721F"/>
    <w:rsid w:val="000677DD"/>
    <w:rsid w:val="000679EC"/>
    <w:rsid w:val="00067C84"/>
    <w:rsid w:val="00067DFD"/>
    <w:rsid w:val="00067FB1"/>
    <w:rsid w:val="0007016A"/>
    <w:rsid w:val="00070195"/>
    <w:rsid w:val="000701F0"/>
    <w:rsid w:val="00070345"/>
    <w:rsid w:val="0007041E"/>
    <w:rsid w:val="0007052A"/>
    <w:rsid w:val="000709AA"/>
    <w:rsid w:val="00070F83"/>
    <w:rsid w:val="0007129B"/>
    <w:rsid w:val="000713F9"/>
    <w:rsid w:val="0007169A"/>
    <w:rsid w:val="0007186E"/>
    <w:rsid w:val="00071D36"/>
    <w:rsid w:val="00071E16"/>
    <w:rsid w:val="00071E23"/>
    <w:rsid w:val="00071F69"/>
    <w:rsid w:val="0007218D"/>
    <w:rsid w:val="000722F0"/>
    <w:rsid w:val="00072BDD"/>
    <w:rsid w:val="00072E8B"/>
    <w:rsid w:val="00072F06"/>
    <w:rsid w:val="0007302E"/>
    <w:rsid w:val="00073131"/>
    <w:rsid w:val="0007354B"/>
    <w:rsid w:val="0007354E"/>
    <w:rsid w:val="00073678"/>
    <w:rsid w:val="00073688"/>
    <w:rsid w:val="0007370E"/>
    <w:rsid w:val="00073776"/>
    <w:rsid w:val="00073852"/>
    <w:rsid w:val="00073AFA"/>
    <w:rsid w:val="00073BDE"/>
    <w:rsid w:val="00073D65"/>
    <w:rsid w:val="00073E65"/>
    <w:rsid w:val="00074002"/>
    <w:rsid w:val="000741D2"/>
    <w:rsid w:val="000742BE"/>
    <w:rsid w:val="00074375"/>
    <w:rsid w:val="000744D0"/>
    <w:rsid w:val="000745F5"/>
    <w:rsid w:val="000746F2"/>
    <w:rsid w:val="000747E2"/>
    <w:rsid w:val="00074801"/>
    <w:rsid w:val="00074CD3"/>
    <w:rsid w:val="00074CE9"/>
    <w:rsid w:val="00074E2D"/>
    <w:rsid w:val="00074F02"/>
    <w:rsid w:val="00075312"/>
    <w:rsid w:val="00075438"/>
    <w:rsid w:val="0007578C"/>
    <w:rsid w:val="000757BF"/>
    <w:rsid w:val="0007593C"/>
    <w:rsid w:val="00075BD0"/>
    <w:rsid w:val="00075DAF"/>
    <w:rsid w:val="00076006"/>
    <w:rsid w:val="00076173"/>
    <w:rsid w:val="0007622B"/>
    <w:rsid w:val="0007630A"/>
    <w:rsid w:val="0007650D"/>
    <w:rsid w:val="000765E9"/>
    <w:rsid w:val="0007662B"/>
    <w:rsid w:val="000767F6"/>
    <w:rsid w:val="0007690B"/>
    <w:rsid w:val="0007691C"/>
    <w:rsid w:val="00076C47"/>
    <w:rsid w:val="00076E02"/>
    <w:rsid w:val="0007702A"/>
    <w:rsid w:val="00077058"/>
    <w:rsid w:val="00077172"/>
    <w:rsid w:val="0007748E"/>
    <w:rsid w:val="0007773A"/>
    <w:rsid w:val="00077DC5"/>
    <w:rsid w:val="00077E5F"/>
    <w:rsid w:val="00080086"/>
    <w:rsid w:val="000801B2"/>
    <w:rsid w:val="0008036A"/>
    <w:rsid w:val="0008087B"/>
    <w:rsid w:val="00080CA7"/>
    <w:rsid w:val="00080DEA"/>
    <w:rsid w:val="00080E9C"/>
    <w:rsid w:val="00081137"/>
    <w:rsid w:val="00081258"/>
    <w:rsid w:val="000812D3"/>
    <w:rsid w:val="0008138B"/>
    <w:rsid w:val="000814BE"/>
    <w:rsid w:val="00081A55"/>
    <w:rsid w:val="00081AE6"/>
    <w:rsid w:val="00081BDF"/>
    <w:rsid w:val="00081C63"/>
    <w:rsid w:val="00081D82"/>
    <w:rsid w:val="00081E6C"/>
    <w:rsid w:val="00081EB4"/>
    <w:rsid w:val="00082F12"/>
    <w:rsid w:val="00082F1C"/>
    <w:rsid w:val="00083279"/>
    <w:rsid w:val="00083714"/>
    <w:rsid w:val="000839F3"/>
    <w:rsid w:val="00083AAA"/>
    <w:rsid w:val="00083CA5"/>
    <w:rsid w:val="00083D63"/>
    <w:rsid w:val="00084010"/>
    <w:rsid w:val="00084160"/>
    <w:rsid w:val="000842DD"/>
    <w:rsid w:val="00084388"/>
    <w:rsid w:val="0008442E"/>
    <w:rsid w:val="00084935"/>
    <w:rsid w:val="00084D5D"/>
    <w:rsid w:val="00084E10"/>
    <w:rsid w:val="00084EB9"/>
    <w:rsid w:val="00084FF8"/>
    <w:rsid w:val="0008526F"/>
    <w:rsid w:val="000855BE"/>
    <w:rsid w:val="000855EB"/>
    <w:rsid w:val="0008573E"/>
    <w:rsid w:val="000858BF"/>
    <w:rsid w:val="0008591D"/>
    <w:rsid w:val="00085950"/>
    <w:rsid w:val="00085AA0"/>
    <w:rsid w:val="00085B52"/>
    <w:rsid w:val="00085BC3"/>
    <w:rsid w:val="0008624D"/>
    <w:rsid w:val="00086298"/>
    <w:rsid w:val="00086395"/>
    <w:rsid w:val="00086549"/>
    <w:rsid w:val="00086643"/>
    <w:rsid w:val="000866F2"/>
    <w:rsid w:val="00086771"/>
    <w:rsid w:val="00086984"/>
    <w:rsid w:val="00086B14"/>
    <w:rsid w:val="00086E8A"/>
    <w:rsid w:val="0008700E"/>
    <w:rsid w:val="00087057"/>
    <w:rsid w:val="00087347"/>
    <w:rsid w:val="00087654"/>
    <w:rsid w:val="00087697"/>
    <w:rsid w:val="00087A96"/>
    <w:rsid w:val="0009005D"/>
    <w:rsid w:val="0009009F"/>
    <w:rsid w:val="00090116"/>
    <w:rsid w:val="0009028B"/>
    <w:rsid w:val="00090375"/>
    <w:rsid w:val="000909F8"/>
    <w:rsid w:val="00090E06"/>
    <w:rsid w:val="00090E76"/>
    <w:rsid w:val="00091264"/>
    <w:rsid w:val="00091539"/>
    <w:rsid w:val="00091557"/>
    <w:rsid w:val="000916E2"/>
    <w:rsid w:val="00091772"/>
    <w:rsid w:val="00091924"/>
    <w:rsid w:val="00091AF5"/>
    <w:rsid w:val="00091B86"/>
    <w:rsid w:val="00091BCC"/>
    <w:rsid w:val="00091BE5"/>
    <w:rsid w:val="00091C80"/>
    <w:rsid w:val="00091D02"/>
    <w:rsid w:val="000921C4"/>
    <w:rsid w:val="000924C1"/>
    <w:rsid w:val="000924F0"/>
    <w:rsid w:val="0009288E"/>
    <w:rsid w:val="00092BF4"/>
    <w:rsid w:val="00092C95"/>
    <w:rsid w:val="00093207"/>
    <w:rsid w:val="0009336A"/>
    <w:rsid w:val="00093474"/>
    <w:rsid w:val="00093614"/>
    <w:rsid w:val="000936E4"/>
    <w:rsid w:val="00093717"/>
    <w:rsid w:val="0009397D"/>
    <w:rsid w:val="00093C75"/>
    <w:rsid w:val="00093CFD"/>
    <w:rsid w:val="00093D86"/>
    <w:rsid w:val="00093EBB"/>
    <w:rsid w:val="00094050"/>
    <w:rsid w:val="000940E1"/>
    <w:rsid w:val="00094221"/>
    <w:rsid w:val="000943C7"/>
    <w:rsid w:val="00094577"/>
    <w:rsid w:val="000945A7"/>
    <w:rsid w:val="00094A1B"/>
    <w:rsid w:val="00094B41"/>
    <w:rsid w:val="00094CF7"/>
    <w:rsid w:val="00094F2D"/>
    <w:rsid w:val="0009510F"/>
    <w:rsid w:val="00095459"/>
    <w:rsid w:val="00095636"/>
    <w:rsid w:val="0009586A"/>
    <w:rsid w:val="00095AE4"/>
    <w:rsid w:val="00095FA5"/>
    <w:rsid w:val="00095FF6"/>
    <w:rsid w:val="00096030"/>
    <w:rsid w:val="000960CB"/>
    <w:rsid w:val="000968F7"/>
    <w:rsid w:val="00096926"/>
    <w:rsid w:val="00096B55"/>
    <w:rsid w:val="00096CBF"/>
    <w:rsid w:val="00096EE7"/>
    <w:rsid w:val="00097168"/>
    <w:rsid w:val="0009757A"/>
    <w:rsid w:val="0009779F"/>
    <w:rsid w:val="00097E91"/>
    <w:rsid w:val="00097F46"/>
    <w:rsid w:val="000A04EB"/>
    <w:rsid w:val="000A04F8"/>
    <w:rsid w:val="000A05D8"/>
    <w:rsid w:val="000A0B65"/>
    <w:rsid w:val="000A0EE7"/>
    <w:rsid w:val="000A10C1"/>
    <w:rsid w:val="000A1148"/>
    <w:rsid w:val="000A1505"/>
    <w:rsid w:val="000A1B7B"/>
    <w:rsid w:val="000A1C49"/>
    <w:rsid w:val="000A1C9E"/>
    <w:rsid w:val="000A1E95"/>
    <w:rsid w:val="000A1EF0"/>
    <w:rsid w:val="000A2296"/>
    <w:rsid w:val="000A2310"/>
    <w:rsid w:val="000A233F"/>
    <w:rsid w:val="000A2496"/>
    <w:rsid w:val="000A26D6"/>
    <w:rsid w:val="000A28E9"/>
    <w:rsid w:val="000A291B"/>
    <w:rsid w:val="000A2AC3"/>
    <w:rsid w:val="000A2CB7"/>
    <w:rsid w:val="000A2EDE"/>
    <w:rsid w:val="000A30DA"/>
    <w:rsid w:val="000A32C6"/>
    <w:rsid w:val="000A32E1"/>
    <w:rsid w:val="000A3358"/>
    <w:rsid w:val="000A33FA"/>
    <w:rsid w:val="000A342C"/>
    <w:rsid w:val="000A3588"/>
    <w:rsid w:val="000A3594"/>
    <w:rsid w:val="000A3719"/>
    <w:rsid w:val="000A375D"/>
    <w:rsid w:val="000A3A9C"/>
    <w:rsid w:val="000A3C2E"/>
    <w:rsid w:val="000A3CA3"/>
    <w:rsid w:val="000A3DD7"/>
    <w:rsid w:val="000A3DF9"/>
    <w:rsid w:val="000A3F04"/>
    <w:rsid w:val="000A3F21"/>
    <w:rsid w:val="000A40B7"/>
    <w:rsid w:val="000A426A"/>
    <w:rsid w:val="000A44EF"/>
    <w:rsid w:val="000A463C"/>
    <w:rsid w:val="000A466C"/>
    <w:rsid w:val="000A473F"/>
    <w:rsid w:val="000A476A"/>
    <w:rsid w:val="000A47D3"/>
    <w:rsid w:val="000A487A"/>
    <w:rsid w:val="000A4980"/>
    <w:rsid w:val="000A4A7B"/>
    <w:rsid w:val="000A4B30"/>
    <w:rsid w:val="000A4CDF"/>
    <w:rsid w:val="000A4CF3"/>
    <w:rsid w:val="000A4DC9"/>
    <w:rsid w:val="000A4E18"/>
    <w:rsid w:val="000A4ED4"/>
    <w:rsid w:val="000A4F02"/>
    <w:rsid w:val="000A4F07"/>
    <w:rsid w:val="000A50A8"/>
    <w:rsid w:val="000A51FA"/>
    <w:rsid w:val="000A53CD"/>
    <w:rsid w:val="000A5400"/>
    <w:rsid w:val="000A56F2"/>
    <w:rsid w:val="000A5781"/>
    <w:rsid w:val="000A5838"/>
    <w:rsid w:val="000A598E"/>
    <w:rsid w:val="000A5BCA"/>
    <w:rsid w:val="000A5CD3"/>
    <w:rsid w:val="000A5DBC"/>
    <w:rsid w:val="000A5F23"/>
    <w:rsid w:val="000A607A"/>
    <w:rsid w:val="000A637F"/>
    <w:rsid w:val="000A647A"/>
    <w:rsid w:val="000A65A8"/>
    <w:rsid w:val="000A664E"/>
    <w:rsid w:val="000A6752"/>
    <w:rsid w:val="000A68CD"/>
    <w:rsid w:val="000A6984"/>
    <w:rsid w:val="000A6BB5"/>
    <w:rsid w:val="000A6D35"/>
    <w:rsid w:val="000A6E82"/>
    <w:rsid w:val="000A6F35"/>
    <w:rsid w:val="000A6FA7"/>
    <w:rsid w:val="000A6FC7"/>
    <w:rsid w:val="000A72EE"/>
    <w:rsid w:val="000A7363"/>
    <w:rsid w:val="000A79AB"/>
    <w:rsid w:val="000A7A25"/>
    <w:rsid w:val="000A7B69"/>
    <w:rsid w:val="000A7CA0"/>
    <w:rsid w:val="000A7E9E"/>
    <w:rsid w:val="000A7F5A"/>
    <w:rsid w:val="000B0054"/>
    <w:rsid w:val="000B00CC"/>
    <w:rsid w:val="000B03B1"/>
    <w:rsid w:val="000B0803"/>
    <w:rsid w:val="000B09DC"/>
    <w:rsid w:val="000B0AD6"/>
    <w:rsid w:val="000B0F7D"/>
    <w:rsid w:val="000B1028"/>
    <w:rsid w:val="000B1262"/>
    <w:rsid w:val="000B1278"/>
    <w:rsid w:val="000B129D"/>
    <w:rsid w:val="000B1306"/>
    <w:rsid w:val="000B16EA"/>
    <w:rsid w:val="000B179B"/>
    <w:rsid w:val="000B1861"/>
    <w:rsid w:val="000B1A1A"/>
    <w:rsid w:val="000B1A68"/>
    <w:rsid w:val="000B1D7C"/>
    <w:rsid w:val="000B1D96"/>
    <w:rsid w:val="000B2087"/>
    <w:rsid w:val="000B229B"/>
    <w:rsid w:val="000B25FB"/>
    <w:rsid w:val="000B26F8"/>
    <w:rsid w:val="000B2719"/>
    <w:rsid w:val="000B291F"/>
    <w:rsid w:val="000B2B08"/>
    <w:rsid w:val="000B2B2E"/>
    <w:rsid w:val="000B2FC4"/>
    <w:rsid w:val="000B337B"/>
    <w:rsid w:val="000B357A"/>
    <w:rsid w:val="000B368A"/>
    <w:rsid w:val="000B3767"/>
    <w:rsid w:val="000B386B"/>
    <w:rsid w:val="000B3912"/>
    <w:rsid w:val="000B3A8F"/>
    <w:rsid w:val="000B3D52"/>
    <w:rsid w:val="000B3E77"/>
    <w:rsid w:val="000B415D"/>
    <w:rsid w:val="000B41BC"/>
    <w:rsid w:val="000B43BF"/>
    <w:rsid w:val="000B43CF"/>
    <w:rsid w:val="000B4A9D"/>
    <w:rsid w:val="000B4AB9"/>
    <w:rsid w:val="000B4F6A"/>
    <w:rsid w:val="000B4F9D"/>
    <w:rsid w:val="000B4FBA"/>
    <w:rsid w:val="000B5305"/>
    <w:rsid w:val="000B547C"/>
    <w:rsid w:val="000B56CE"/>
    <w:rsid w:val="000B58C3"/>
    <w:rsid w:val="000B5B1E"/>
    <w:rsid w:val="000B61E9"/>
    <w:rsid w:val="000B6202"/>
    <w:rsid w:val="000B6356"/>
    <w:rsid w:val="000B63AE"/>
    <w:rsid w:val="000B659A"/>
    <w:rsid w:val="000B65A8"/>
    <w:rsid w:val="000B678E"/>
    <w:rsid w:val="000B67F6"/>
    <w:rsid w:val="000B68FC"/>
    <w:rsid w:val="000B6A9A"/>
    <w:rsid w:val="000B73AD"/>
    <w:rsid w:val="000B747F"/>
    <w:rsid w:val="000B74D9"/>
    <w:rsid w:val="000B7508"/>
    <w:rsid w:val="000B7562"/>
    <w:rsid w:val="000B78A7"/>
    <w:rsid w:val="000B7A8B"/>
    <w:rsid w:val="000B7B68"/>
    <w:rsid w:val="000B7E84"/>
    <w:rsid w:val="000B7F07"/>
    <w:rsid w:val="000C01CA"/>
    <w:rsid w:val="000C02B1"/>
    <w:rsid w:val="000C0663"/>
    <w:rsid w:val="000C0767"/>
    <w:rsid w:val="000C0A4F"/>
    <w:rsid w:val="000C0D35"/>
    <w:rsid w:val="000C107C"/>
    <w:rsid w:val="000C128E"/>
    <w:rsid w:val="000C1492"/>
    <w:rsid w:val="000C15B3"/>
    <w:rsid w:val="000C1637"/>
    <w:rsid w:val="000C165A"/>
    <w:rsid w:val="000C1870"/>
    <w:rsid w:val="000C189A"/>
    <w:rsid w:val="000C1A4A"/>
    <w:rsid w:val="000C1AA0"/>
    <w:rsid w:val="000C1B45"/>
    <w:rsid w:val="000C2034"/>
    <w:rsid w:val="000C2086"/>
    <w:rsid w:val="000C216F"/>
    <w:rsid w:val="000C2237"/>
    <w:rsid w:val="000C2557"/>
    <w:rsid w:val="000C2E19"/>
    <w:rsid w:val="000C32E7"/>
    <w:rsid w:val="000C3361"/>
    <w:rsid w:val="000C33C0"/>
    <w:rsid w:val="000C3631"/>
    <w:rsid w:val="000C3648"/>
    <w:rsid w:val="000C3746"/>
    <w:rsid w:val="000C3909"/>
    <w:rsid w:val="000C391F"/>
    <w:rsid w:val="000C3A2D"/>
    <w:rsid w:val="000C3B7B"/>
    <w:rsid w:val="000C3D12"/>
    <w:rsid w:val="000C3D16"/>
    <w:rsid w:val="000C427C"/>
    <w:rsid w:val="000C4328"/>
    <w:rsid w:val="000C43C3"/>
    <w:rsid w:val="000C4578"/>
    <w:rsid w:val="000C45E5"/>
    <w:rsid w:val="000C4A88"/>
    <w:rsid w:val="000C4B2D"/>
    <w:rsid w:val="000C4C2A"/>
    <w:rsid w:val="000C4C7B"/>
    <w:rsid w:val="000C4CC8"/>
    <w:rsid w:val="000C4DAC"/>
    <w:rsid w:val="000C4FED"/>
    <w:rsid w:val="000C50A2"/>
    <w:rsid w:val="000C51E1"/>
    <w:rsid w:val="000C536E"/>
    <w:rsid w:val="000C53FE"/>
    <w:rsid w:val="000C54AE"/>
    <w:rsid w:val="000C57EF"/>
    <w:rsid w:val="000C5D67"/>
    <w:rsid w:val="000C5F9F"/>
    <w:rsid w:val="000C614B"/>
    <w:rsid w:val="000C631B"/>
    <w:rsid w:val="000C643A"/>
    <w:rsid w:val="000C663C"/>
    <w:rsid w:val="000C671D"/>
    <w:rsid w:val="000C6EDA"/>
    <w:rsid w:val="000C6EEE"/>
    <w:rsid w:val="000C6F62"/>
    <w:rsid w:val="000C723B"/>
    <w:rsid w:val="000C7330"/>
    <w:rsid w:val="000C736D"/>
    <w:rsid w:val="000C73AC"/>
    <w:rsid w:val="000C73BD"/>
    <w:rsid w:val="000C7481"/>
    <w:rsid w:val="000C76B4"/>
    <w:rsid w:val="000C775E"/>
    <w:rsid w:val="000C77A4"/>
    <w:rsid w:val="000C780B"/>
    <w:rsid w:val="000D0439"/>
    <w:rsid w:val="000D04C5"/>
    <w:rsid w:val="000D0613"/>
    <w:rsid w:val="000D08F0"/>
    <w:rsid w:val="000D0A43"/>
    <w:rsid w:val="000D0ABD"/>
    <w:rsid w:val="000D0B7E"/>
    <w:rsid w:val="000D0D07"/>
    <w:rsid w:val="000D0F08"/>
    <w:rsid w:val="000D0F47"/>
    <w:rsid w:val="000D1096"/>
    <w:rsid w:val="000D124C"/>
    <w:rsid w:val="000D157E"/>
    <w:rsid w:val="000D15F9"/>
    <w:rsid w:val="000D1784"/>
    <w:rsid w:val="000D1814"/>
    <w:rsid w:val="000D1897"/>
    <w:rsid w:val="000D1976"/>
    <w:rsid w:val="000D1D2C"/>
    <w:rsid w:val="000D1D5E"/>
    <w:rsid w:val="000D1EC2"/>
    <w:rsid w:val="000D1FCC"/>
    <w:rsid w:val="000D1FCD"/>
    <w:rsid w:val="000D22B1"/>
    <w:rsid w:val="000D2548"/>
    <w:rsid w:val="000D279A"/>
    <w:rsid w:val="000D2EED"/>
    <w:rsid w:val="000D31C0"/>
    <w:rsid w:val="000D3295"/>
    <w:rsid w:val="000D3412"/>
    <w:rsid w:val="000D3561"/>
    <w:rsid w:val="000D3716"/>
    <w:rsid w:val="000D387F"/>
    <w:rsid w:val="000D398C"/>
    <w:rsid w:val="000D39F5"/>
    <w:rsid w:val="000D3A0D"/>
    <w:rsid w:val="000D3B37"/>
    <w:rsid w:val="000D3E58"/>
    <w:rsid w:val="000D3FD7"/>
    <w:rsid w:val="000D40BF"/>
    <w:rsid w:val="000D41C7"/>
    <w:rsid w:val="000D4229"/>
    <w:rsid w:val="000D4797"/>
    <w:rsid w:val="000D4C9B"/>
    <w:rsid w:val="000D4F63"/>
    <w:rsid w:val="000D4FDA"/>
    <w:rsid w:val="000D5008"/>
    <w:rsid w:val="000D5059"/>
    <w:rsid w:val="000D50D0"/>
    <w:rsid w:val="000D5137"/>
    <w:rsid w:val="000D5347"/>
    <w:rsid w:val="000D5540"/>
    <w:rsid w:val="000D5BD6"/>
    <w:rsid w:val="000D5C1D"/>
    <w:rsid w:val="000D5D16"/>
    <w:rsid w:val="000D5D82"/>
    <w:rsid w:val="000D5F4C"/>
    <w:rsid w:val="000D605D"/>
    <w:rsid w:val="000D611C"/>
    <w:rsid w:val="000D624D"/>
    <w:rsid w:val="000D65BE"/>
    <w:rsid w:val="000D66EB"/>
    <w:rsid w:val="000D673C"/>
    <w:rsid w:val="000D677B"/>
    <w:rsid w:val="000D67F0"/>
    <w:rsid w:val="000D698C"/>
    <w:rsid w:val="000D6A51"/>
    <w:rsid w:val="000D6BB9"/>
    <w:rsid w:val="000D6C1D"/>
    <w:rsid w:val="000D6ED9"/>
    <w:rsid w:val="000D71EA"/>
    <w:rsid w:val="000D7516"/>
    <w:rsid w:val="000D761A"/>
    <w:rsid w:val="000D7C7C"/>
    <w:rsid w:val="000D7DC9"/>
    <w:rsid w:val="000D7E35"/>
    <w:rsid w:val="000D7E91"/>
    <w:rsid w:val="000D7EEE"/>
    <w:rsid w:val="000D7F28"/>
    <w:rsid w:val="000E0527"/>
    <w:rsid w:val="000E0B61"/>
    <w:rsid w:val="000E0BE8"/>
    <w:rsid w:val="000E0D31"/>
    <w:rsid w:val="000E0DA6"/>
    <w:rsid w:val="000E0F92"/>
    <w:rsid w:val="000E1012"/>
    <w:rsid w:val="000E101F"/>
    <w:rsid w:val="000E1288"/>
    <w:rsid w:val="000E12B6"/>
    <w:rsid w:val="000E17DF"/>
    <w:rsid w:val="000E1B3A"/>
    <w:rsid w:val="000E1B77"/>
    <w:rsid w:val="000E1C03"/>
    <w:rsid w:val="000E1C7E"/>
    <w:rsid w:val="000E1E92"/>
    <w:rsid w:val="000E1EE7"/>
    <w:rsid w:val="000E1F54"/>
    <w:rsid w:val="000E220C"/>
    <w:rsid w:val="000E223F"/>
    <w:rsid w:val="000E22D6"/>
    <w:rsid w:val="000E27A9"/>
    <w:rsid w:val="000E2835"/>
    <w:rsid w:val="000E285E"/>
    <w:rsid w:val="000E293B"/>
    <w:rsid w:val="000E299C"/>
    <w:rsid w:val="000E2D47"/>
    <w:rsid w:val="000E2DCC"/>
    <w:rsid w:val="000E2ED6"/>
    <w:rsid w:val="000E3039"/>
    <w:rsid w:val="000E33ED"/>
    <w:rsid w:val="000E34B5"/>
    <w:rsid w:val="000E367C"/>
    <w:rsid w:val="000E3824"/>
    <w:rsid w:val="000E388F"/>
    <w:rsid w:val="000E39F0"/>
    <w:rsid w:val="000E3AF7"/>
    <w:rsid w:val="000E3BB8"/>
    <w:rsid w:val="000E3DD6"/>
    <w:rsid w:val="000E46CF"/>
    <w:rsid w:val="000E484D"/>
    <w:rsid w:val="000E490D"/>
    <w:rsid w:val="000E499D"/>
    <w:rsid w:val="000E49ED"/>
    <w:rsid w:val="000E4A74"/>
    <w:rsid w:val="000E4B6A"/>
    <w:rsid w:val="000E4BA5"/>
    <w:rsid w:val="000E4CAB"/>
    <w:rsid w:val="000E51C7"/>
    <w:rsid w:val="000E53E1"/>
    <w:rsid w:val="000E5AC5"/>
    <w:rsid w:val="000E6024"/>
    <w:rsid w:val="000E6351"/>
    <w:rsid w:val="000E6359"/>
    <w:rsid w:val="000E6591"/>
    <w:rsid w:val="000E68A3"/>
    <w:rsid w:val="000E6AE8"/>
    <w:rsid w:val="000E6D18"/>
    <w:rsid w:val="000E6E62"/>
    <w:rsid w:val="000E6FAF"/>
    <w:rsid w:val="000E7046"/>
    <w:rsid w:val="000E709B"/>
    <w:rsid w:val="000E7150"/>
    <w:rsid w:val="000E7484"/>
    <w:rsid w:val="000E769F"/>
    <w:rsid w:val="000E76D4"/>
    <w:rsid w:val="000E7747"/>
    <w:rsid w:val="000E7962"/>
    <w:rsid w:val="000E796B"/>
    <w:rsid w:val="000E7CDF"/>
    <w:rsid w:val="000E7D07"/>
    <w:rsid w:val="000E7D2E"/>
    <w:rsid w:val="000E7E5B"/>
    <w:rsid w:val="000E7EB8"/>
    <w:rsid w:val="000F03D1"/>
    <w:rsid w:val="000F0529"/>
    <w:rsid w:val="000F06D6"/>
    <w:rsid w:val="000F0747"/>
    <w:rsid w:val="000F0759"/>
    <w:rsid w:val="000F07DA"/>
    <w:rsid w:val="000F084D"/>
    <w:rsid w:val="000F0A4F"/>
    <w:rsid w:val="000F0B7E"/>
    <w:rsid w:val="000F0D02"/>
    <w:rsid w:val="000F0DE4"/>
    <w:rsid w:val="000F0EB1"/>
    <w:rsid w:val="000F1106"/>
    <w:rsid w:val="000F1399"/>
    <w:rsid w:val="000F1551"/>
    <w:rsid w:val="000F1567"/>
    <w:rsid w:val="000F158A"/>
    <w:rsid w:val="000F1881"/>
    <w:rsid w:val="000F1BEA"/>
    <w:rsid w:val="000F1DBB"/>
    <w:rsid w:val="000F1F8D"/>
    <w:rsid w:val="000F25BA"/>
    <w:rsid w:val="000F27C0"/>
    <w:rsid w:val="000F2828"/>
    <w:rsid w:val="000F2A6A"/>
    <w:rsid w:val="000F2D91"/>
    <w:rsid w:val="000F2DC1"/>
    <w:rsid w:val="000F2E7B"/>
    <w:rsid w:val="000F2F18"/>
    <w:rsid w:val="000F32A3"/>
    <w:rsid w:val="000F3376"/>
    <w:rsid w:val="000F33F4"/>
    <w:rsid w:val="000F37DD"/>
    <w:rsid w:val="000F38D2"/>
    <w:rsid w:val="000F3AEB"/>
    <w:rsid w:val="000F3BDA"/>
    <w:rsid w:val="000F3BE9"/>
    <w:rsid w:val="000F3F6C"/>
    <w:rsid w:val="000F436B"/>
    <w:rsid w:val="000F499C"/>
    <w:rsid w:val="000F4A0B"/>
    <w:rsid w:val="000F4DA6"/>
    <w:rsid w:val="000F4F98"/>
    <w:rsid w:val="000F4FE1"/>
    <w:rsid w:val="000F510A"/>
    <w:rsid w:val="000F52AC"/>
    <w:rsid w:val="000F52B2"/>
    <w:rsid w:val="000F53C6"/>
    <w:rsid w:val="000F5564"/>
    <w:rsid w:val="000F55B3"/>
    <w:rsid w:val="000F56AC"/>
    <w:rsid w:val="000F58E7"/>
    <w:rsid w:val="000F5C5C"/>
    <w:rsid w:val="000F5D86"/>
    <w:rsid w:val="000F5D94"/>
    <w:rsid w:val="000F5E93"/>
    <w:rsid w:val="000F5F01"/>
    <w:rsid w:val="000F5F93"/>
    <w:rsid w:val="000F6083"/>
    <w:rsid w:val="000F6643"/>
    <w:rsid w:val="000F6935"/>
    <w:rsid w:val="000F6DF3"/>
    <w:rsid w:val="000F6FF3"/>
    <w:rsid w:val="000F73E2"/>
    <w:rsid w:val="000F73FF"/>
    <w:rsid w:val="000F7548"/>
    <w:rsid w:val="000F763F"/>
    <w:rsid w:val="000F77DF"/>
    <w:rsid w:val="000F787B"/>
    <w:rsid w:val="000F78DD"/>
    <w:rsid w:val="000F7973"/>
    <w:rsid w:val="000F7B0E"/>
    <w:rsid w:val="000F7B7E"/>
    <w:rsid w:val="000F7C1C"/>
    <w:rsid w:val="000F7D8D"/>
    <w:rsid w:val="000F7D97"/>
    <w:rsid w:val="000F7DF5"/>
    <w:rsid w:val="00100168"/>
    <w:rsid w:val="00100385"/>
    <w:rsid w:val="001005FF"/>
    <w:rsid w:val="00100E32"/>
    <w:rsid w:val="00101165"/>
    <w:rsid w:val="001017B6"/>
    <w:rsid w:val="00101800"/>
    <w:rsid w:val="001019AF"/>
    <w:rsid w:val="001019D1"/>
    <w:rsid w:val="00101A0E"/>
    <w:rsid w:val="00101B55"/>
    <w:rsid w:val="00101C7F"/>
    <w:rsid w:val="00101D70"/>
    <w:rsid w:val="00101DDB"/>
    <w:rsid w:val="00101EFE"/>
    <w:rsid w:val="001022BC"/>
    <w:rsid w:val="00102583"/>
    <w:rsid w:val="00102693"/>
    <w:rsid w:val="00102764"/>
    <w:rsid w:val="00102923"/>
    <w:rsid w:val="001029EE"/>
    <w:rsid w:val="00102BED"/>
    <w:rsid w:val="00102C90"/>
    <w:rsid w:val="00102E67"/>
    <w:rsid w:val="00102F27"/>
    <w:rsid w:val="00103000"/>
    <w:rsid w:val="001030AC"/>
    <w:rsid w:val="0010314C"/>
    <w:rsid w:val="00103186"/>
    <w:rsid w:val="001031B3"/>
    <w:rsid w:val="00103440"/>
    <w:rsid w:val="001035E7"/>
    <w:rsid w:val="0010379A"/>
    <w:rsid w:val="001037A0"/>
    <w:rsid w:val="001037B9"/>
    <w:rsid w:val="001037BA"/>
    <w:rsid w:val="00103B58"/>
    <w:rsid w:val="00103C7C"/>
    <w:rsid w:val="00104023"/>
    <w:rsid w:val="001045A7"/>
    <w:rsid w:val="001045B7"/>
    <w:rsid w:val="001045C5"/>
    <w:rsid w:val="001048F5"/>
    <w:rsid w:val="001049E1"/>
    <w:rsid w:val="00104B22"/>
    <w:rsid w:val="00104BCC"/>
    <w:rsid w:val="00104E0A"/>
    <w:rsid w:val="00104E92"/>
    <w:rsid w:val="001050DF"/>
    <w:rsid w:val="0010515A"/>
    <w:rsid w:val="0010522B"/>
    <w:rsid w:val="00105423"/>
    <w:rsid w:val="001054E2"/>
    <w:rsid w:val="00105521"/>
    <w:rsid w:val="00105616"/>
    <w:rsid w:val="0010586A"/>
    <w:rsid w:val="00105B9C"/>
    <w:rsid w:val="001062FB"/>
    <w:rsid w:val="001063C8"/>
    <w:rsid w:val="001063E6"/>
    <w:rsid w:val="0010681B"/>
    <w:rsid w:val="00106A55"/>
    <w:rsid w:val="00106AC9"/>
    <w:rsid w:val="00106C78"/>
    <w:rsid w:val="00106C83"/>
    <w:rsid w:val="00106D40"/>
    <w:rsid w:val="00106FFA"/>
    <w:rsid w:val="0010708E"/>
    <w:rsid w:val="00107B24"/>
    <w:rsid w:val="00107D44"/>
    <w:rsid w:val="0011008C"/>
    <w:rsid w:val="0011022B"/>
    <w:rsid w:val="00110435"/>
    <w:rsid w:val="0011070A"/>
    <w:rsid w:val="001108AD"/>
    <w:rsid w:val="00110A01"/>
    <w:rsid w:val="00110BDC"/>
    <w:rsid w:val="00110BFC"/>
    <w:rsid w:val="00110C55"/>
    <w:rsid w:val="00110DBC"/>
    <w:rsid w:val="00110EC3"/>
    <w:rsid w:val="00110EF4"/>
    <w:rsid w:val="00110F99"/>
    <w:rsid w:val="00111687"/>
    <w:rsid w:val="001118D4"/>
    <w:rsid w:val="00111BA6"/>
    <w:rsid w:val="00111CB5"/>
    <w:rsid w:val="00111FAC"/>
    <w:rsid w:val="0011218E"/>
    <w:rsid w:val="0011233F"/>
    <w:rsid w:val="001123D0"/>
    <w:rsid w:val="00112697"/>
    <w:rsid w:val="00112923"/>
    <w:rsid w:val="0011296F"/>
    <w:rsid w:val="00112C3B"/>
    <w:rsid w:val="00112E42"/>
    <w:rsid w:val="00113328"/>
    <w:rsid w:val="001134A3"/>
    <w:rsid w:val="001134AD"/>
    <w:rsid w:val="0011357F"/>
    <w:rsid w:val="00113938"/>
    <w:rsid w:val="0011394E"/>
    <w:rsid w:val="00113C43"/>
    <w:rsid w:val="00113CF4"/>
    <w:rsid w:val="00113DA0"/>
    <w:rsid w:val="00113DBD"/>
    <w:rsid w:val="00113DD6"/>
    <w:rsid w:val="00113ED3"/>
    <w:rsid w:val="00113EF6"/>
    <w:rsid w:val="00113F49"/>
    <w:rsid w:val="001140C3"/>
    <w:rsid w:val="001143D3"/>
    <w:rsid w:val="0011440B"/>
    <w:rsid w:val="001144BB"/>
    <w:rsid w:val="001145C6"/>
    <w:rsid w:val="001153EA"/>
    <w:rsid w:val="00115643"/>
    <w:rsid w:val="00115702"/>
    <w:rsid w:val="00115E9C"/>
    <w:rsid w:val="0011607E"/>
    <w:rsid w:val="00116194"/>
    <w:rsid w:val="00116227"/>
    <w:rsid w:val="00116307"/>
    <w:rsid w:val="001163E6"/>
    <w:rsid w:val="001164CC"/>
    <w:rsid w:val="001165C6"/>
    <w:rsid w:val="00116765"/>
    <w:rsid w:val="00116A44"/>
    <w:rsid w:val="00116A69"/>
    <w:rsid w:val="00116A80"/>
    <w:rsid w:val="00116C20"/>
    <w:rsid w:val="00116F51"/>
    <w:rsid w:val="00117054"/>
    <w:rsid w:val="0011723E"/>
    <w:rsid w:val="00117268"/>
    <w:rsid w:val="001174E7"/>
    <w:rsid w:val="0011752C"/>
    <w:rsid w:val="001176B0"/>
    <w:rsid w:val="001177CB"/>
    <w:rsid w:val="00117C0F"/>
    <w:rsid w:val="00117C1D"/>
    <w:rsid w:val="00117E1F"/>
    <w:rsid w:val="00120073"/>
    <w:rsid w:val="001201C9"/>
    <w:rsid w:val="001205CA"/>
    <w:rsid w:val="001205D4"/>
    <w:rsid w:val="001206EF"/>
    <w:rsid w:val="00120861"/>
    <w:rsid w:val="00120A1F"/>
    <w:rsid w:val="00120C81"/>
    <w:rsid w:val="00120FC5"/>
    <w:rsid w:val="0012104E"/>
    <w:rsid w:val="0012123B"/>
    <w:rsid w:val="0012123C"/>
    <w:rsid w:val="0012149C"/>
    <w:rsid w:val="0012166A"/>
    <w:rsid w:val="001219F5"/>
    <w:rsid w:val="00121A20"/>
    <w:rsid w:val="00121C56"/>
    <w:rsid w:val="00121D61"/>
    <w:rsid w:val="00121FA9"/>
    <w:rsid w:val="001220B7"/>
    <w:rsid w:val="001220F5"/>
    <w:rsid w:val="001221A9"/>
    <w:rsid w:val="00122255"/>
    <w:rsid w:val="001222F1"/>
    <w:rsid w:val="001225C6"/>
    <w:rsid w:val="00122BC8"/>
    <w:rsid w:val="00123082"/>
    <w:rsid w:val="00123454"/>
    <w:rsid w:val="00123480"/>
    <w:rsid w:val="00123731"/>
    <w:rsid w:val="0012377F"/>
    <w:rsid w:val="0012390C"/>
    <w:rsid w:val="00123924"/>
    <w:rsid w:val="00123942"/>
    <w:rsid w:val="00123AD5"/>
    <w:rsid w:val="00124314"/>
    <w:rsid w:val="001243E8"/>
    <w:rsid w:val="001244FB"/>
    <w:rsid w:val="00124524"/>
    <w:rsid w:val="00124AB5"/>
    <w:rsid w:val="00124C9D"/>
    <w:rsid w:val="00124FBC"/>
    <w:rsid w:val="00125136"/>
    <w:rsid w:val="00125432"/>
    <w:rsid w:val="00125646"/>
    <w:rsid w:val="001256EF"/>
    <w:rsid w:val="001259E2"/>
    <w:rsid w:val="00125CC2"/>
    <w:rsid w:val="00125FD1"/>
    <w:rsid w:val="001260BB"/>
    <w:rsid w:val="0012653D"/>
    <w:rsid w:val="001267ED"/>
    <w:rsid w:val="0012699D"/>
    <w:rsid w:val="00126B4A"/>
    <w:rsid w:val="001274B5"/>
    <w:rsid w:val="00127B13"/>
    <w:rsid w:val="00129549"/>
    <w:rsid w:val="001301EE"/>
    <w:rsid w:val="0013022F"/>
    <w:rsid w:val="00130337"/>
    <w:rsid w:val="00130552"/>
    <w:rsid w:val="001306B6"/>
    <w:rsid w:val="00130716"/>
    <w:rsid w:val="001308E8"/>
    <w:rsid w:val="00130ABF"/>
    <w:rsid w:val="00130DEC"/>
    <w:rsid w:val="00130E58"/>
    <w:rsid w:val="0013107A"/>
    <w:rsid w:val="00131300"/>
    <w:rsid w:val="0013130B"/>
    <w:rsid w:val="0013140B"/>
    <w:rsid w:val="0013166B"/>
    <w:rsid w:val="00131677"/>
    <w:rsid w:val="00131818"/>
    <w:rsid w:val="00131D31"/>
    <w:rsid w:val="00131E0A"/>
    <w:rsid w:val="0013219F"/>
    <w:rsid w:val="001321ED"/>
    <w:rsid w:val="001322C3"/>
    <w:rsid w:val="00132369"/>
    <w:rsid w:val="0013238B"/>
    <w:rsid w:val="0013291C"/>
    <w:rsid w:val="00132CF0"/>
    <w:rsid w:val="00132CFC"/>
    <w:rsid w:val="00132DFD"/>
    <w:rsid w:val="00132E14"/>
    <w:rsid w:val="00132FD0"/>
    <w:rsid w:val="00133062"/>
    <w:rsid w:val="00133080"/>
    <w:rsid w:val="001331D1"/>
    <w:rsid w:val="00133363"/>
    <w:rsid w:val="001335BC"/>
    <w:rsid w:val="00133624"/>
    <w:rsid w:val="001337AC"/>
    <w:rsid w:val="001339BB"/>
    <w:rsid w:val="00133BC3"/>
    <w:rsid w:val="00133E52"/>
    <w:rsid w:val="00133E56"/>
    <w:rsid w:val="00133E64"/>
    <w:rsid w:val="00133F00"/>
    <w:rsid w:val="00133FAF"/>
    <w:rsid w:val="001340C2"/>
    <w:rsid w:val="001341D6"/>
    <w:rsid w:val="0013426F"/>
    <w:rsid w:val="001342FA"/>
    <w:rsid w:val="001344C0"/>
    <w:rsid w:val="001346FA"/>
    <w:rsid w:val="00134831"/>
    <w:rsid w:val="00134855"/>
    <w:rsid w:val="001348F0"/>
    <w:rsid w:val="001348FD"/>
    <w:rsid w:val="00134991"/>
    <w:rsid w:val="00134998"/>
    <w:rsid w:val="001349EE"/>
    <w:rsid w:val="00134AF0"/>
    <w:rsid w:val="00134BC3"/>
    <w:rsid w:val="00134CBC"/>
    <w:rsid w:val="00134D6D"/>
    <w:rsid w:val="001351E6"/>
    <w:rsid w:val="00135252"/>
    <w:rsid w:val="001354A0"/>
    <w:rsid w:val="001355D3"/>
    <w:rsid w:val="001356ED"/>
    <w:rsid w:val="0013582C"/>
    <w:rsid w:val="00135BCA"/>
    <w:rsid w:val="00135FB4"/>
    <w:rsid w:val="001360C4"/>
    <w:rsid w:val="00136496"/>
    <w:rsid w:val="0013649C"/>
    <w:rsid w:val="00136B93"/>
    <w:rsid w:val="00136C99"/>
    <w:rsid w:val="00136C9A"/>
    <w:rsid w:val="00136EBD"/>
    <w:rsid w:val="001370FA"/>
    <w:rsid w:val="00137269"/>
    <w:rsid w:val="00137293"/>
    <w:rsid w:val="00137AB5"/>
    <w:rsid w:val="00137D20"/>
    <w:rsid w:val="00137E0D"/>
    <w:rsid w:val="00137F0B"/>
    <w:rsid w:val="001400E7"/>
    <w:rsid w:val="0014018A"/>
    <w:rsid w:val="0014023F"/>
    <w:rsid w:val="001403D5"/>
    <w:rsid w:val="001403F8"/>
    <w:rsid w:val="00140557"/>
    <w:rsid w:val="0014074F"/>
    <w:rsid w:val="00140800"/>
    <w:rsid w:val="001408EE"/>
    <w:rsid w:val="00140979"/>
    <w:rsid w:val="00140C6A"/>
    <w:rsid w:val="00140E25"/>
    <w:rsid w:val="00140EC4"/>
    <w:rsid w:val="00140F92"/>
    <w:rsid w:val="0014105D"/>
    <w:rsid w:val="00141143"/>
    <w:rsid w:val="0014118F"/>
    <w:rsid w:val="001411CC"/>
    <w:rsid w:val="0014122A"/>
    <w:rsid w:val="00141310"/>
    <w:rsid w:val="00141700"/>
    <w:rsid w:val="001419B5"/>
    <w:rsid w:val="00141ED5"/>
    <w:rsid w:val="00141EEE"/>
    <w:rsid w:val="00142097"/>
    <w:rsid w:val="0014209D"/>
    <w:rsid w:val="00142331"/>
    <w:rsid w:val="001425F1"/>
    <w:rsid w:val="00142810"/>
    <w:rsid w:val="00142A84"/>
    <w:rsid w:val="00142D69"/>
    <w:rsid w:val="00143015"/>
    <w:rsid w:val="001431CD"/>
    <w:rsid w:val="001438B1"/>
    <w:rsid w:val="001438B7"/>
    <w:rsid w:val="00143939"/>
    <w:rsid w:val="00143A09"/>
    <w:rsid w:val="00143A27"/>
    <w:rsid w:val="00143BA7"/>
    <w:rsid w:val="00143FBD"/>
    <w:rsid w:val="001440EA"/>
    <w:rsid w:val="00144254"/>
    <w:rsid w:val="001443E2"/>
    <w:rsid w:val="0014441D"/>
    <w:rsid w:val="001446DC"/>
    <w:rsid w:val="00144869"/>
    <w:rsid w:val="00144917"/>
    <w:rsid w:val="00144C80"/>
    <w:rsid w:val="0014532C"/>
    <w:rsid w:val="0014536F"/>
    <w:rsid w:val="001453EE"/>
    <w:rsid w:val="00145438"/>
    <w:rsid w:val="001457C3"/>
    <w:rsid w:val="00145942"/>
    <w:rsid w:val="00145966"/>
    <w:rsid w:val="00145967"/>
    <w:rsid w:val="00145B86"/>
    <w:rsid w:val="00145F79"/>
    <w:rsid w:val="00145FDD"/>
    <w:rsid w:val="00146006"/>
    <w:rsid w:val="0014601B"/>
    <w:rsid w:val="001461A4"/>
    <w:rsid w:val="00146317"/>
    <w:rsid w:val="00146433"/>
    <w:rsid w:val="0014645F"/>
    <w:rsid w:val="001467FA"/>
    <w:rsid w:val="001468AD"/>
    <w:rsid w:val="001468C1"/>
    <w:rsid w:val="00146A50"/>
    <w:rsid w:val="00146B05"/>
    <w:rsid w:val="00146BAE"/>
    <w:rsid w:val="00146CA8"/>
    <w:rsid w:val="00146CC6"/>
    <w:rsid w:val="00146E21"/>
    <w:rsid w:val="00146F01"/>
    <w:rsid w:val="00147209"/>
    <w:rsid w:val="001472CA"/>
    <w:rsid w:val="00147F56"/>
    <w:rsid w:val="0015010E"/>
    <w:rsid w:val="00150341"/>
    <w:rsid w:val="001505D6"/>
    <w:rsid w:val="001509EA"/>
    <w:rsid w:val="00150A57"/>
    <w:rsid w:val="00150AD2"/>
    <w:rsid w:val="00150AF2"/>
    <w:rsid w:val="00150B59"/>
    <w:rsid w:val="00150FEC"/>
    <w:rsid w:val="00151025"/>
    <w:rsid w:val="00151257"/>
    <w:rsid w:val="001513C8"/>
    <w:rsid w:val="001513E2"/>
    <w:rsid w:val="001514B9"/>
    <w:rsid w:val="001514BA"/>
    <w:rsid w:val="00151646"/>
    <w:rsid w:val="00151A1D"/>
    <w:rsid w:val="00151A96"/>
    <w:rsid w:val="00151D80"/>
    <w:rsid w:val="00151E23"/>
    <w:rsid w:val="00151EC8"/>
    <w:rsid w:val="001520B1"/>
    <w:rsid w:val="001523AE"/>
    <w:rsid w:val="00152498"/>
    <w:rsid w:val="001526E0"/>
    <w:rsid w:val="001527AF"/>
    <w:rsid w:val="00152A5B"/>
    <w:rsid w:val="00152C06"/>
    <w:rsid w:val="00152DED"/>
    <w:rsid w:val="00152FB2"/>
    <w:rsid w:val="001534B3"/>
    <w:rsid w:val="0015375A"/>
    <w:rsid w:val="001538AB"/>
    <w:rsid w:val="0015397E"/>
    <w:rsid w:val="00153A20"/>
    <w:rsid w:val="00153C9D"/>
    <w:rsid w:val="00153E4D"/>
    <w:rsid w:val="00154004"/>
    <w:rsid w:val="00154106"/>
    <w:rsid w:val="00154170"/>
    <w:rsid w:val="001541CE"/>
    <w:rsid w:val="001543DF"/>
    <w:rsid w:val="00154401"/>
    <w:rsid w:val="001547AE"/>
    <w:rsid w:val="001549E2"/>
    <w:rsid w:val="001549FE"/>
    <w:rsid w:val="00154DD1"/>
    <w:rsid w:val="00154E22"/>
    <w:rsid w:val="00154F22"/>
    <w:rsid w:val="001551B5"/>
    <w:rsid w:val="0015543C"/>
    <w:rsid w:val="0015556A"/>
    <w:rsid w:val="0015582A"/>
    <w:rsid w:val="00155AFE"/>
    <w:rsid w:val="00155B77"/>
    <w:rsid w:val="00155EA2"/>
    <w:rsid w:val="00155F12"/>
    <w:rsid w:val="001563E3"/>
    <w:rsid w:val="001565B7"/>
    <w:rsid w:val="0015692B"/>
    <w:rsid w:val="00156AC5"/>
    <w:rsid w:val="00156E16"/>
    <w:rsid w:val="00157167"/>
    <w:rsid w:val="001571B6"/>
    <w:rsid w:val="001572CD"/>
    <w:rsid w:val="001576BA"/>
    <w:rsid w:val="001578B2"/>
    <w:rsid w:val="001578BC"/>
    <w:rsid w:val="001579F7"/>
    <w:rsid w:val="00157A72"/>
    <w:rsid w:val="00160174"/>
    <w:rsid w:val="0016082C"/>
    <w:rsid w:val="00160B09"/>
    <w:rsid w:val="00160DFA"/>
    <w:rsid w:val="00160F86"/>
    <w:rsid w:val="00161088"/>
    <w:rsid w:val="0016124D"/>
    <w:rsid w:val="001613D2"/>
    <w:rsid w:val="00161856"/>
    <w:rsid w:val="00161878"/>
    <w:rsid w:val="001619D0"/>
    <w:rsid w:val="00161B1F"/>
    <w:rsid w:val="00161E49"/>
    <w:rsid w:val="00161FCA"/>
    <w:rsid w:val="0016220D"/>
    <w:rsid w:val="001624FC"/>
    <w:rsid w:val="0016256E"/>
    <w:rsid w:val="001626CC"/>
    <w:rsid w:val="00162766"/>
    <w:rsid w:val="00162799"/>
    <w:rsid w:val="00162E3A"/>
    <w:rsid w:val="00162FAB"/>
    <w:rsid w:val="001630B6"/>
    <w:rsid w:val="00163103"/>
    <w:rsid w:val="0016322C"/>
    <w:rsid w:val="00163388"/>
    <w:rsid w:val="00163477"/>
    <w:rsid w:val="001636E1"/>
    <w:rsid w:val="0016375F"/>
    <w:rsid w:val="00163D75"/>
    <w:rsid w:val="00163E9E"/>
    <w:rsid w:val="00163FA3"/>
    <w:rsid w:val="00164430"/>
    <w:rsid w:val="00164435"/>
    <w:rsid w:val="001644EA"/>
    <w:rsid w:val="001645F1"/>
    <w:rsid w:val="00164B42"/>
    <w:rsid w:val="00164BA7"/>
    <w:rsid w:val="00164CF3"/>
    <w:rsid w:val="00164DE5"/>
    <w:rsid w:val="00164F1E"/>
    <w:rsid w:val="00164F97"/>
    <w:rsid w:val="001658B0"/>
    <w:rsid w:val="001659C1"/>
    <w:rsid w:val="00165C23"/>
    <w:rsid w:val="00165C9D"/>
    <w:rsid w:val="00165D2B"/>
    <w:rsid w:val="00165E2A"/>
    <w:rsid w:val="00165FDE"/>
    <w:rsid w:val="001660B9"/>
    <w:rsid w:val="001662B5"/>
    <w:rsid w:val="0016635C"/>
    <w:rsid w:val="001664B3"/>
    <w:rsid w:val="0016665A"/>
    <w:rsid w:val="001667B3"/>
    <w:rsid w:val="00166A54"/>
    <w:rsid w:val="00166C5E"/>
    <w:rsid w:val="00166F6C"/>
    <w:rsid w:val="00166F82"/>
    <w:rsid w:val="001674FB"/>
    <w:rsid w:val="0016758D"/>
    <w:rsid w:val="00167870"/>
    <w:rsid w:val="001678F9"/>
    <w:rsid w:val="00167AF1"/>
    <w:rsid w:val="00167F02"/>
    <w:rsid w:val="00167F10"/>
    <w:rsid w:val="001700DA"/>
    <w:rsid w:val="0017025F"/>
    <w:rsid w:val="001703DF"/>
    <w:rsid w:val="0017051D"/>
    <w:rsid w:val="0017053E"/>
    <w:rsid w:val="0017056D"/>
    <w:rsid w:val="001706EB"/>
    <w:rsid w:val="00170977"/>
    <w:rsid w:val="00170A6C"/>
    <w:rsid w:val="00170B0E"/>
    <w:rsid w:val="00170CEA"/>
    <w:rsid w:val="00170D82"/>
    <w:rsid w:val="00170DF1"/>
    <w:rsid w:val="00170EC0"/>
    <w:rsid w:val="00170EC3"/>
    <w:rsid w:val="00170F80"/>
    <w:rsid w:val="00171257"/>
    <w:rsid w:val="001714A5"/>
    <w:rsid w:val="00171556"/>
    <w:rsid w:val="001715F3"/>
    <w:rsid w:val="00171937"/>
    <w:rsid w:val="0017199B"/>
    <w:rsid w:val="00171B9E"/>
    <w:rsid w:val="00171BBF"/>
    <w:rsid w:val="00171EE6"/>
    <w:rsid w:val="001720CA"/>
    <w:rsid w:val="0017215B"/>
    <w:rsid w:val="00172462"/>
    <w:rsid w:val="001726B3"/>
    <w:rsid w:val="001727C0"/>
    <w:rsid w:val="00172AB1"/>
    <w:rsid w:val="00172B19"/>
    <w:rsid w:val="00172C24"/>
    <w:rsid w:val="00172F1B"/>
    <w:rsid w:val="001736DA"/>
    <w:rsid w:val="001738F6"/>
    <w:rsid w:val="00173A8E"/>
    <w:rsid w:val="00173C42"/>
    <w:rsid w:val="00173CFD"/>
    <w:rsid w:val="00173D31"/>
    <w:rsid w:val="00173E28"/>
    <w:rsid w:val="00173F25"/>
    <w:rsid w:val="00173F93"/>
    <w:rsid w:val="00174393"/>
    <w:rsid w:val="00174646"/>
    <w:rsid w:val="001746A3"/>
    <w:rsid w:val="00174728"/>
    <w:rsid w:val="00174744"/>
    <w:rsid w:val="00174CBD"/>
    <w:rsid w:val="00174D82"/>
    <w:rsid w:val="00174E1F"/>
    <w:rsid w:val="0017502C"/>
    <w:rsid w:val="00175447"/>
    <w:rsid w:val="001754E1"/>
    <w:rsid w:val="001755BB"/>
    <w:rsid w:val="00175659"/>
    <w:rsid w:val="001758DC"/>
    <w:rsid w:val="00175A8A"/>
    <w:rsid w:val="00175B6F"/>
    <w:rsid w:val="00175C10"/>
    <w:rsid w:val="00175ED1"/>
    <w:rsid w:val="00175F38"/>
    <w:rsid w:val="00175FD6"/>
    <w:rsid w:val="0017610F"/>
    <w:rsid w:val="00176149"/>
    <w:rsid w:val="00176673"/>
    <w:rsid w:val="00176738"/>
    <w:rsid w:val="00176852"/>
    <w:rsid w:val="00176D7C"/>
    <w:rsid w:val="00176FC5"/>
    <w:rsid w:val="00177187"/>
    <w:rsid w:val="00177250"/>
    <w:rsid w:val="0017734E"/>
    <w:rsid w:val="001777FD"/>
    <w:rsid w:val="00177B2B"/>
    <w:rsid w:val="00177B45"/>
    <w:rsid w:val="00177B68"/>
    <w:rsid w:val="00177D23"/>
    <w:rsid w:val="00177DD8"/>
    <w:rsid w:val="00177FB4"/>
    <w:rsid w:val="00180071"/>
    <w:rsid w:val="0018019D"/>
    <w:rsid w:val="001801E5"/>
    <w:rsid w:val="00180595"/>
    <w:rsid w:val="00180687"/>
    <w:rsid w:val="00180767"/>
    <w:rsid w:val="0018083D"/>
    <w:rsid w:val="0018099A"/>
    <w:rsid w:val="00180B04"/>
    <w:rsid w:val="00180E8B"/>
    <w:rsid w:val="0018106C"/>
    <w:rsid w:val="00181193"/>
    <w:rsid w:val="001811E5"/>
    <w:rsid w:val="001813C7"/>
    <w:rsid w:val="001813F8"/>
    <w:rsid w:val="0018143F"/>
    <w:rsid w:val="001815E7"/>
    <w:rsid w:val="001817C7"/>
    <w:rsid w:val="0018196F"/>
    <w:rsid w:val="001819D7"/>
    <w:rsid w:val="001819DD"/>
    <w:rsid w:val="00181B0D"/>
    <w:rsid w:val="00181FF8"/>
    <w:rsid w:val="0018238D"/>
    <w:rsid w:val="001823FE"/>
    <w:rsid w:val="00182623"/>
    <w:rsid w:val="0018265F"/>
    <w:rsid w:val="001826F3"/>
    <w:rsid w:val="00182829"/>
    <w:rsid w:val="001828E5"/>
    <w:rsid w:val="00182A7C"/>
    <w:rsid w:val="00182AD4"/>
    <w:rsid w:val="00182EE6"/>
    <w:rsid w:val="00182F17"/>
    <w:rsid w:val="00183249"/>
    <w:rsid w:val="0018328F"/>
    <w:rsid w:val="0018350D"/>
    <w:rsid w:val="00183654"/>
    <w:rsid w:val="00183695"/>
    <w:rsid w:val="001836E7"/>
    <w:rsid w:val="00183A5B"/>
    <w:rsid w:val="00183B75"/>
    <w:rsid w:val="00183BE0"/>
    <w:rsid w:val="00183C26"/>
    <w:rsid w:val="00183CD4"/>
    <w:rsid w:val="00183E09"/>
    <w:rsid w:val="00184438"/>
    <w:rsid w:val="001844FD"/>
    <w:rsid w:val="00184583"/>
    <w:rsid w:val="00184601"/>
    <w:rsid w:val="00184761"/>
    <w:rsid w:val="001848D6"/>
    <w:rsid w:val="00184CFA"/>
    <w:rsid w:val="00184D17"/>
    <w:rsid w:val="00184DE3"/>
    <w:rsid w:val="00184DEE"/>
    <w:rsid w:val="001850A9"/>
    <w:rsid w:val="00185160"/>
    <w:rsid w:val="001852E3"/>
    <w:rsid w:val="0018542C"/>
    <w:rsid w:val="00185549"/>
    <w:rsid w:val="00185558"/>
    <w:rsid w:val="001858DF"/>
    <w:rsid w:val="00185A0B"/>
    <w:rsid w:val="00185D6D"/>
    <w:rsid w:val="00185EB4"/>
    <w:rsid w:val="001861D3"/>
    <w:rsid w:val="00186440"/>
    <w:rsid w:val="0018649C"/>
    <w:rsid w:val="001865C8"/>
    <w:rsid w:val="001865D5"/>
    <w:rsid w:val="00186654"/>
    <w:rsid w:val="0018677E"/>
    <w:rsid w:val="001867E1"/>
    <w:rsid w:val="00186892"/>
    <w:rsid w:val="00186B6D"/>
    <w:rsid w:val="00186E7A"/>
    <w:rsid w:val="00187119"/>
    <w:rsid w:val="00187B5E"/>
    <w:rsid w:val="00187B6A"/>
    <w:rsid w:val="00187B8D"/>
    <w:rsid w:val="00187C00"/>
    <w:rsid w:val="00187C54"/>
    <w:rsid w:val="00187DCF"/>
    <w:rsid w:val="00190203"/>
    <w:rsid w:val="00190277"/>
    <w:rsid w:val="00190398"/>
    <w:rsid w:val="00190889"/>
    <w:rsid w:val="0019091F"/>
    <w:rsid w:val="00190A0C"/>
    <w:rsid w:val="00190AC1"/>
    <w:rsid w:val="00190AE9"/>
    <w:rsid w:val="00190C04"/>
    <w:rsid w:val="00190DF4"/>
    <w:rsid w:val="001915AB"/>
    <w:rsid w:val="001917DE"/>
    <w:rsid w:val="00191A47"/>
    <w:rsid w:val="00191F2C"/>
    <w:rsid w:val="001922A8"/>
    <w:rsid w:val="001922FA"/>
    <w:rsid w:val="001923F2"/>
    <w:rsid w:val="0019243B"/>
    <w:rsid w:val="0019248B"/>
    <w:rsid w:val="001927D6"/>
    <w:rsid w:val="00192A2B"/>
    <w:rsid w:val="00192D26"/>
    <w:rsid w:val="00192D62"/>
    <w:rsid w:val="00192EDE"/>
    <w:rsid w:val="00192FC8"/>
    <w:rsid w:val="00193084"/>
    <w:rsid w:val="0019341A"/>
    <w:rsid w:val="001935EB"/>
    <w:rsid w:val="0019369A"/>
    <w:rsid w:val="001938AA"/>
    <w:rsid w:val="001938F7"/>
    <w:rsid w:val="00193B2B"/>
    <w:rsid w:val="00193C41"/>
    <w:rsid w:val="00193CDF"/>
    <w:rsid w:val="00193F43"/>
    <w:rsid w:val="00193FFB"/>
    <w:rsid w:val="0019400A"/>
    <w:rsid w:val="001942D0"/>
    <w:rsid w:val="001947C8"/>
    <w:rsid w:val="00194877"/>
    <w:rsid w:val="00194913"/>
    <w:rsid w:val="00194B5B"/>
    <w:rsid w:val="00194DA1"/>
    <w:rsid w:val="0019500B"/>
    <w:rsid w:val="001950DF"/>
    <w:rsid w:val="00195482"/>
    <w:rsid w:val="0019578F"/>
    <w:rsid w:val="001960EE"/>
    <w:rsid w:val="0019618F"/>
    <w:rsid w:val="0019624E"/>
    <w:rsid w:val="0019630A"/>
    <w:rsid w:val="001963D7"/>
    <w:rsid w:val="001964F5"/>
    <w:rsid w:val="00196787"/>
    <w:rsid w:val="001968B8"/>
    <w:rsid w:val="001968C9"/>
    <w:rsid w:val="00196919"/>
    <w:rsid w:val="00196A48"/>
    <w:rsid w:val="00196B41"/>
    <w:rsid w:val="00197085"/>
    <w:rsid w:val="00197091"/>
    <w:rsid w:val="0019722C"/>
    <w:rsid w:val="001972A9"/>
    <w:rsid w:val="001973A4"/>
    <w:rsid w:val="00197436"/>
    <w:rsid w:val="001974CB"/>
    <w:rsid w:val="0019752A"/>
    <w:rsid w:val="0019765C"/>
    <w:rsid w:val="001976DC"/>
    <w:rsid w:val="001976F4"/>
    <w:rsid w:val="00197872"/>
    <w:rsid w:val="00197886"/>
    <w:rsid w:val="001978E7"/>
    <w:rsid w:val="00197A4F"/>
    <w:rsid w:val="00197D67"/>
    <w:rsid w:val="00197DF0"/>
    <w:rsid w:val="00197DF9"/>
    <w:rsid w:val="001A0226"/>
    <w:rsid w:val="001A02F9"/>
    <w:rsid w:val="001A031B"/>
    <w:rsid w:val="001A0568"/>
    <w:rsid w:val="001A08C9"/>
    <w:rsid w:val="001A09E1"/>
    <w:rsid w:val="001A0C37"/>
    <w:rsid w:val="001A0C51"/>
    <w:rsid w:val="001A0D8D"/>
    <w:rsid w:val="001A0DBF"/>
    <w:rsid w:val="001A0DFD"/>
    <w:rsid w:val="001A1078"/>
    <w:rsid w:val="001A1486"/>
    <w:rsid w:val="001A1518"/>
    <w:rsid w:val="001A15FB"/>
    <w:rsid w:val="001A1610"/>
    <w:rsid w:val="001A170A"/>
    <w:rsid w:val="001A18B3"/>
    <w:rsid w:val="001A1987"/>
    <w:rsid w:val="001A19F4"/>
    <w:rsid w:val="001A1A1A"/>
    <w:rsid w:val="001A1EAA"/>
    <w:rsid w:val="001A2088"/>
    <w:rsid w:val="001A2157"/>
    <w:rsid w:val="001A2250"/>
    <w:rsid w:val="001A2449"/>
    <w:rsid w:val="001A24E0"/>
    <w:rsid w:val="001A2525"/>
    <w:rsid w:val="001A2564"/>
    <w:rsid w:val="001A25A4"/>
    <w:rsid w:val="001A26D2"/>
    <w:rsid w:val="001A2B42"/>
    <w:rsid w:val="001A3185"/>
    <w:rsid w:val="001A3230"/>
    <w:rsid w:val="001A3677"/>
    <w:rsid w:val="001A36F1"/>
    <w:rsid w:val="001A3784"/>
    <w:rsid w:val="001A3922"/>
    <w:rsid w:val="001A398B"/>
    <w:rsid w:val="001A39BE"/>
    <w:rsid w:val="001A3B82"/>
    <w:rsid w:val="001A3ECF"/>
    <w:rsid w:val="001A4212"/>
    <w:rsid w:val="001A45F4"/>
    <w:rsid w:val="001A4860"/>
    <w:rsid w:val="001A48E1"/>
    <w:rsid w:val="001A4B00"/>
    <w:rsid w:val="001A4BA3"/>
    <w:rsid w:val="001A4C17"/>
    <w:rsid w:val="001A4C4C"/>
    <w:rsid w:val="001A4E4B"/>
    <w:rsid w:val="001A5251"/>
    <w:rsid w:val="001A55AE"/>
    <w:rsid w:val="001A574F"/>
    <w:rsid w:val="001A5BC7"/>
    <w:rsid w:val="001A5D79"/>
    <w:rsid w:val="001A6015"/>
    <w:rsid w:val="001A6173"/>
    <w:rsid w:val="001A6452"/>
    <w:rsid w:val="001A648D"/>
    <w:rsid w:val="001A6892"/>
    <w:rsid w:val="001A6AD9"/>
    <w:rsid w:val="001A6AFD"/>
    <w:rsid w:val="001A6CAF"/>
    <w:rsid w:val="001A6CBA"/>
    <w:rsid w:val="001A6F85"/>
    <w:rsid w:val="001A71A2"/>
    <w:rsid w:val="001A71D8"/>
    <w:rsid w:val="001A71F0"/>
    <w:rsid w:val="001A738E"/>
    <w:rsid w:val="001A7596"/>
    <w:rsid w:val="001A75F1"/>
    <w:rsid w:val="001A79F5"/>
    <w:rsid w:val="001B0005"/>
    <w:rsid w:val="001B0184"/>
    <w:rsid w:val="001B03A8"/>
    <w:rsid w:val="001B04F0"/>
    <w:rsid w:val="001B0522"/>
    <w:rsid w:val="001B0533"/>
    <w:rsid w:val="001B0909"/>
    <w:rsid w:val="001B0B29"/>
    <w:rsid w:val="001B0D97"/>
    <w:rsid w:val="001B0E78"/>
    <w:rsid w:val="001B0EA5"/>
    <w:rsid w:val="001B0F2D"/>
    <w:rsid w:val="001B0F57"/>
    <w:rsid w:val="001B1312"/>
    <w:rsid w:val="001B1764"/>
    <w:rsid w:val="001B17D0"/>
    <w:rsid w:val="001B19D2"/>
    <w:rsid w:val="001B1A4D"/>
    <w:rsid w:val="001B1AC6"/>
    <w:rsid w:val="001B1C52"/>
    <w:rsid w:val="001B1CCC"/>
    <w:rsid w:val="001B1F2F"/>
    <w:rsid w:val="001B1F61"/>
    <w:rsid w:val="001B22E5"/>
    <w:rsid w:val="001B260F"/>
    <w:rsid w:val="001B26CA"/>
    <w:rsid w:val="001B2890"/>
    <w:rsid w:val="001B28A7"/>
    <w:rsid w:val="001B2B14"/>
    <w:rsid w:val="001B2BFB"/>
    <w:rsid w:val="001B3131"/>
    <w:rsid w:val="001B31F3"/>
    <w:rsid w:val="001B322F"/>
    <w:rsid w:val="001B33FE"/>
    <w:rsid w:val="001B360B"/>
    <w:rsid w:val="001B3B03"/>
    <w:rsid w:val="001B3C71"/>
    <w:rsid w:val="001B41D7"/>
    <w:rsid w:val="001B4597"/>
    <w:rsid w:val="001B45A0"/>
    <w:rsid w:val="001B4644"/>
    <w:rsid w:val="001B46C7"/>
    <w:rsid w:val="001B48CD"/>
    <w:rsid w:val="001B4B23"/>
    <w:rsid w:val="001B4B46"/>
    <w:rsid w:val="001B4B4F"/>
    <w:rsid w:val="001B4DAC"/>
    <w:rsid w:val="001B4E95"/>
    <w:rsid w:val="001B51A8"/>
    <w:rsid w:val="001B5298"/>
    <w:rsid w:val="001B575F"/>
    <w:rsid w:val="001B5895"/>
    <w:rsid w:val="001B5A5D"/>
    <w:rsid w:val="001B5C58"/>
    <w:rsid w:val="001B5D8F"/>
    <w:rsid w:val="001B5F20"/>
    <w:rsid w:val="001B608A"/>
    <w:rsid w:val="001B60F7"/>
    <w:rsid w:val="001B6242"/>
    <w:rsid w:val="001B6534"/>
    <w:rsid w:val="001B65E4"/>
    <w:rsid w:val="001B6627"/>
    <w:rsid w:val="001B6641"/>
    <w:rsid w:val="001B6E69"/>
    <w:rsid w:val="001B6E6A"/>
    <w:rsid w:val="001B711B"/>
    <w:rsid w:val="001B7420"/>
    <w:rsid w:val="001B7620"/>
    <w:rsid w:val="001B76D0"/>
    <w:rsid w:val="001B7740"/>
    <w:rsid w:val="001B7894"/>
    <w:rsid w:val="001B7984"/>
    <w:rsid w:val="001B7B96"/>
    <w:rsid w:val="001C010F"/>
    <w:rsid w:val="001C02B0"/>
    <w:rsid w:val="001C02C0"/>
    <w:rsid w:val="001C03AD"/>
    <w:rsid w:val="001C0DF6"/>
    <w:rsid w:val="001C0E2E"/>
    <w:rsid w:val="001C1054"/>
    <w:rsid w:val="001C10F2"/>
    <w:rsid w:val="001C1293"/>
    <w:rsid w:val="001C1396"/>
    <w:rsid w:val="001C181F"/>
    <w:rsid w:val="001C19D5"/>
    <w:rsid w:val="001C1BA9"/>
    <w:rsid w:val="001C1CE5"/>
    <w:rsid w:val="001C1ED6"/>
    <w:rsid w:val="001C1EE3"/>
    <w:rsid w:val="001C1EED"/>
    <w:rsid w:val="001C2014"/>
    <w:rsid w:val="001C23C9"/>
    <w:rsid w:val="001C261C"/>
    <w:rsid w:val="001C26C2"/>
    <w:rsid w:val="001C29C6"/>
    <w:rsid w:val="001C2AB9"/>
    <w:rsid w:val="001C2B98"/>
    <w:rsid w:val="001C2C1F"/>
    <w:rsid w:val="001C2DBE"/>
    <w:rsid w:val="001C2F47"/>
    <w:rsid w:val="001C2F52"/>
    <w:rsid w:val="001C3367"/>
    <w:rsid w:val="001C3494"/>
    <w:rsid w:val="001C34FA"/>
    <w:rsid w:val="001C36BE"/>
    <w:rsid w:val="001C371C"/>
    <w:rsid w:val="001C3789"/>
    <w:rsid w:val="001C3AA7"/>
    <w:rsid w:val="001C3B64"/>
    <w:rsid w:val="001C3D2A"/>
    <w:rsid w:val="001C4025"/>
    <w:rsid w:val="001C40B7"/>
    <w:rsid w:val="001C44B9"/>
    <w:rsid w:val="001C44C7"/>
    <w:rsid w:val="001C463D"/>
    <w:rsid w:val="001C470D"/>
    <w:rsid w:val="001C47F7"/>
    <w:rsid w:val="001C481F"/>
    <w:rsid w:val="001C50FE"/>
    <w:rsid w:val="001C538A"/>
    <w:rsid w:val="001C55D9"/>
    <w:rsid w:val="001C5899"/>
    <w:rsid w:val="001C5978"/>
    <w:rsid w:val="001C5A83"/>
    <w:rsid w:val="001C5AD8"/>
    <w:rsid w:val="001C5BAA"/>
    <w:rsid w:val="001C5CC3"/>
    <w:rsid w:val="001C5D87"/>
    <w:rsid w:val="001C5DA0"/>
    <w:rsid w:val="001C5F94"/>
    <w:rsid w:val="001C5FD5"/>
    <w:rsid w:val="001C5FFC"/>
    <w:rsid w:val="001C60B0"/>
    <w:rsid w:val="001C62E7"/>
    <w:rsid w:val="001C62F9"/>
    <w:rsid w:val="001C6455"/>
    <w:rsid w:val="001C645E"/>
    <w:rsid w:val="001C6714"/>
    <w:rsid w:val="001C6826"/>
    <w:rsid w:val="001C68F6"/>
    <w:rsid w:val="001C69FE"/>
    <w:rsid w:val="001C6D31"/>
    <w:rsid w:val="001C6D8A"/>
    <w:rsid w:val="001C7625"/>
    <w:rsid w:val="001C7891"/>
    <w:rsid w:val="001C78C9"/>
    <w:rsid w:val="001C791F"/>
    <w:rsid w:val="001C7C0E"/>
    <w:rsid w:val="001C7F41"/>
    <w:rsid w:val="001D0429"/>
    <w:rsid w:val="001D04AA"/>
    <w:rsid w:val="001D06C4"/>
    <w:rsid w:val="001D081D"/>
    <w:rsid w:val="001D0847"/>
    <w:rsid w:val="001D0A2F"/>
    <w:rsid w:val="001D0AF3"/>
    <w:rsid w:val="001D0B60"/>
    <w:rsid w:val="001D0C43"/>
    <w:rsid w:val="001D0D63"/>
    <w:rsid w:val="001D0DA3"/>
    <w:rsid w:val="001D12D9"/>
    <w:rsid w:val="001D1503"/>
    <w:rsid w:val="001D1582"/>
    <w:rsid w:val="001D1822"/>
    <w:rsid w:val="001D2132"/>
    <w:rsid w:val="001D213D"/>
    <w:rsid w:val="001D283A"/>
    <w:rsid w:val="001D287F"/>
    <w:rsid w:val="001D2903"/>
    <w:rsid w:val="001D2EC9"/>
    <w:rsid w:val="001D311E"/>
    <w:rsid w:val="001D31FD"/>
    <w:rsid w:val="001D3306"/>
    <w:rsid w:val="001D3606"/>
    <w:rsid w:val="001D39D2"/>
    <w:rsid w:val="001D3B43"/>
    <w:rsid w:val="001D3B57"/>
    <w:rsid w:val="001D3DFA"/>
    <w:rsid w:val="001D3E0A"/>
    <w:rsid w:val="001D3E96"/>
    <w:rsid w:val="001D44BA"/>
    <w:rsid w:val="001D46D5"/>
    <w:rsid w:val="001D4703"/>
    <w:rsid w:val="001D4773"/>
    <w:rsid w:val="001D4796"/>
    <w:rsid w:val="001D4951"/>
    <w:rsid w:val="001D4980"/>
    <w:rsid w:val="001D4E3A"/>
    <w:rsid w:val="001D51BA"/>
    <w:rsid w:val="001D5310"/>
    <w:rsid w:val="001D5354"/>
    <w:rsid w:val="001D53E7"/>
    <w:rsid w:val="001D5785"/>
    <w:rsid w:val="001D57A4"/>
    <w:rsid w:val="001D595D"/>
    <w:rsid w:val="001D59C1"/>
    <w:rsid w:val="001D5AE5"/>
    <w:rsid w:val="001D5C30"/>
    <w:rsid w:val="001D5D2E"/>
    <w:rsid w:val="001D6342"/>
    <w:rsid w:val="001D65D6"/>
    <w:rsid w:val="001D6B0E"/>
    <w:rsid w:val="001D6C1C"/>
    <w:rsid w:val="001D6D53"/>
    <w:rsid w:val="001D6DA3"/>
    <w:rsid w:val="001D6F3F"/>
    <w:rsid w:val="001D713E"/>
    <w:rsid w:val="001D7583"/>
    <w:rsid w:val="001D77E5"/>
    <w:rsid w:val="001D7AD4"/>
    <w:rsid w:val="001D7FA4"/>
    <w:rsid w:val="001D7FEB"/>
    <w:rsid w:val="001E00CF"/>
    <w:rsid w:val="001E0120"/>
    <w:rsid w:val="001E03F7"/>
    <w:rsid w:val="001E0474"/>
    <w:rsid w:val="001E0986"/>
    <w:rsid w:val="001E0A64"/>
    <w:rsid w:val="001E0ACB"/>
    <w:rsid w:val="001E0B9D"/>
    <w:rsid w:val="001E0D19"/>
    <w:rsid w:val="001E0E81"/>
    <w:rsid w:val="001E0F61"/>
    <w:rsid w:val="001E0FAB"/>
    <w:rsid w:val="001E1151"/>
    <w:rsid w:val="001E119A"/>
    <w:rsid w:val="001E127B"/>
    <w:rsid w:val="001E12DD"/>
    <w:rsid w:val="001E132D"/>
    <w:rsid w:val="001E15CF"/>
    <w:rsid w:val="001E1630"/>
    <w:rsid w:val="001E1744"/>
    <w:rsid w:val="001E1C10"/>
    <w:rsid w:val="001E1EF3"/>
    <w:rsid w:val="001E2072"/>
    <w:rsid w:val="001E21D6"/>
    <w:rsid w:val="001E22DF"/>
    <w:rsid w:val="001E234F"/>
    <w:rsid w:val="001E2468"/>
    <w:rsid w:val="001E2683"/>
    <w:rsid w:val="001E272C"/>
    <w:rsid w:val="001E274F"/>
    <w:rsid w:val="001E2B61"/>
    <w:rsid w:val="001E2D84"/>
    <w:rsid w:val="001E30AE"/>
    <w:rsid w:val="001E3130"/>
    <w:rsid w:val="001E3135"/>
    <w:rsid w:val="001E3137"/>
    <w:rsid w:val="001E3176"/>
    <w:rsid w:val="001E3227"/>
    <w:rsid w:val="001E338A"/>
    <w:rsid w:val="001E3402"/>
    <w:rsid w:val="001E3B26"/>
    <w:rsid w:val="001E3BC9"/>
    <w:rsid w:val="001E3D75"/>
    <w:rsid w:val="001E3F3B"/>
    <w:rsid w:val="001E41B6"/>
    <w:rsid w:val="001E44D4"/>
    <w:rsid w:val="001E47ED"/>
    <w:rsid w:val="001E49D3"/>
    <w:rsid w:val="001E49F3"/>
    <w:rsid w:val="001E4A57"/>
    <w:rsid w:val="001E4A58"/>
    <w:rsid w:val="001E4A5A"/>
    <w:rsid w:val="001E4AEF"/>
    <w:rsid w:val="001E4CBB"/>
    <w:rsid w:val="001E4E86"/>
    <w:rsid w:val="001E50B1"/>
    <w:rsid w:val="001E54D5"/>
    <w:rsid w:val="001E58E2"/>
    <w:rsid w:val="001E59F7"/>
    <w:rsid w:val="001E5B63"/>
    <w:rsid w:val="001E5DB5"/>
    <w:rsid w:val="001E5FD2"/>
    <w:rsid w:val="001E6001"/>
    <w:rsid w:val="001E601F"/>
    <w:rsid w:val="001E6663"/>
    <w:rsid w:val="001E66E7"/>
    <w:rsid w:val="001E6711"/>
    <w:rsid w:val="001E6858"/>
    <w:rsid w:val="001E6891"/>
    <w:rsid w:val="001E69AE"/>
    <w:rsid w:val="001E69D4"/>
    <w:rsid w:val="001E6AA9"/>
    <w:rsid w:val="001E6B99"/>
    <w:rsid w:val="001E6C9A"/>
    <w:rsid w:val="001E6DC5"/>
    <w:rsid w:val="001E6EDE"/>
    <w:rsid w:val="001E70C6"/>
    <w:rsid w:val="001E74CF"/>
    <w:rsid w:val="001E7514"/>
    <w:rsid w:val="001E7534"/>
    <w:rsid w:val="001E7675"/>
    <w:rsid w:val="001E7824"/>
    <w:rsid w:val="001E7AED"/>
    <w:rsid w:val="001F0148"/>
    <w:rsid w:val="001F0242"/>
    <w:rsid w:val="001F0479"/>
    <w:rsid w:val="001F075E"/>
    <w:rsid w:val="001F07C3"/>
    <w:rsid w:val="001F0CAA"/>
    <w:rsid w:val="001F1681"/>
    <w:rsid w:val="001F17D6"/>
    <w:rsid w:val="001F1836"/>
    <w:rsid w:val="001F197A"/>
    <w:rsid w:val="001F197C"/>
    <w:rsid w:val="001F1AF6"/>
    <w:rsid w:val="001F1BAE"/>
    <w:rsid w:val="001F1BFA"/>
    <w:rsid w:val="001F1CE4"/>
    <w:rsid w:val="001F2132"/>
    <w:rsid w:val="001F2248"/>
    <w:rsid w:val="001F238F"/>
    <w:rsid w:val="001F244C"/>
    <w:rsid w:val="001F24CC"/>
    <w:rsid w:val="001F29B0"/>
    <w:rsid w:val="001F29CD"/>
    <w:rsid w:val="001F2C8F"/>
    <w:rsid w:val="001F2DFF"/>
    <w:rsid w:val="001F30EE"/>
    <w:rsid w:val="001F32C7"/>
    <w:rsid w:val="001F337D"/>
    <w:rsid w:val="001F379C"/>
    <w:rsid w:val="001F37E5"/>
    <w:rsid w:val="001F3916"/>
    <w:rsid w:val="001F3938"/>
    <w:rsid w:val="001F3B72"/>
    <w:rsid w:val="001F3BD9"/>
    <w:rsid w:val="001F3C63"/>
    <w:rsid w:val="001F3E66"/>
    <w:rsid w:val="001F412E"/>
    <w:rsid w:val="001F4263"/>
    <w:rsid w:val="001F433B"/>
    <w:rsid w:val="001F440A"/>
    <w:rsid w:val="001F4412"/>
    <w:rsid w:val="001F463D"/>
    <w:rsid w:val="001F46E8"/>
    <w:rsid w:val="001F4973"/>
    <w:rsid w:val="001F49A2"/>
    <w:rsid w:val="001F4A3E"/>
    <w:rsid w:val="001F4C0A"/>
    <w:rsid w:val="001F508D"/>
    <w:rsid w:val="001F522E"/>
    <w:rsid w:val="001F5272"/>
    <w:rsid w:val="001F54C5"/>
    <w:rsid w:val="001F5791"/>
    <w:rsid w:val="001F58D3"/>
    <w:rsid w:val="001F592E"/>
    <w:rsid w:val="001F608F"/>
    <w:rsid w:val="001F62D2"/>
    <w:rsid w:val="001F64AE"/>
    <w:rsid w:val="001F65EA"/>
    <w:rsid w:val="001F661F"/>
    <w:rsid w:val="001F662C"/>
    <w:rsid w:val="001F6687"/>
    <w:rsid w:val="001F6850"/>
    <w:rsid w:val="001F699A"/>
    <w:rsid w:val="001F6B5B"/>
    <w:rsid w:val="001F6C13"/>
    <w:rsid w:val="001F6FCD"/>
    <w:rsid w:val="001F7074"/>
    <w:rsid w:val="001F72CA"/>
    <w:rsid w:val="001F748B"/>
    <w:rsid w:val="001F7924"/>
    <w:rsid w:val="001F7AAF"/>
    <w:rsid w:val="001F7BE2"/>
    <w:rsid w:val="001F7D93"/>
    <w:rsid w:val="001F7E91"/>
    <w:rsid w:val="00200361"/>
    <w:rsid w:val="00200416"/>
    <w:rsid w:val="00200490"/>
    <w:rsid w:val="002004D6"/>
    <w:rsid w:val="00200670"/>
    <w:rsid w:val="00200728"/>
    <w:rsid w:val="00200A27"/>
    <w:rsid w:val="00200B8A"/>
    <w:rsid w:val="00200EB6"/>
    <w:rsid w:val="002010FE"/>
    <w:rsid w:val="00201273"/>
    <w:rsid w:val="00201402"/>
    <w:rsid w:val="002015E1"/>
    <w:rsid w:val="002016A9"/>
    <w:rsid w:val="00201948"/>
    <w:rsid w:val="00201C66"/>
    <w:rsid w:val="00201CEC"/>
    <w:rsid w:val="00201F3A"/>
    <w:rsid w:val="00201F66"/>
    <w:rsid w:val="00201FA2"/>
    <w:rsid w:val="0020218D"/>
    <w:rsid w:val="002021E7"/>
    <w:rsid w:val="002022C0"/>
    <w:rsid w:val="002022CD"/>
    <w:rsid w:val="002023E3"/>
    <w:rsid w:val="0020245A"/>
    <w:rsid w:val="002024BB"/>
    <w:rsid w:val="002025EF"/>
    <w:rsid w:val="002026C2"/>
    <w:rsid w:val="002028FF"/>
    <w:rsid w:val="00202953"/>
    <w:rsid w:val="0020295A"/>
    <w:rsid w:val="002029C1"/>
    <w:rsid w:val="00202D2A"/>
    <w:rsid w:val="00202D39"/>
    <w:rsid w:val="00202E8A"/>
    <w:rsid w:val="00202F7D"/>
    <w:rsid w:val="00202FAF"/>
    <w:rsid w:val="0020312A"/>
    <w:rsid w:val="0020338B"/>
    <w:rsid w:val="002034BA"/>
    <w:rsid w:val="002037E1"/>
    <w:rsid w:val="002037F7"/>
    <w:rsid w:val="00203864"/>
    <w:rsid w:val="00203915"/>
    <w:rsid w:val="0020394E"/>
    <w:rsid w:val="002039B8"/>
    <w:rsid w:val="00203F96"/>
    <w:rsid w:val="00203FDD"/>
    <w:rsid w:val="00203FF7"/>
    <w:rsid w:val="0020413D"/>
    <w:rsid w:val="0020429B"/>
    <w:rsid w:val="00204314"/>
    <w:rsid w:val="00204337"/>
    <w:rsid w:val="00204528"/>
    <w:rsid w:val="00204B0E"/>
    <w:rsid w:val="00204C39"/>
    <w:rsid w:val="00204CAD"/>
    <w:rsid w:val="00204D42"/>
    <w:rsid w:val="00204D64"/>
    <w:rsid w:val="00204F71"/>
    <w:rsid w:val="0020500E"/>
    <w:rsid w:val="00205603"/>
    <w:rsid w:val="0020571F"/>
    <w:rsid w:val="00205870"/>
    <w:rsid w:val="002059F3"/>
    <w:rsid w:val="00205A90"/>
    <w:rsid w:val="00205CD1"/>
    <w:rsid w:val="00205F01"/>
    <w:rsid w:val="00205F34"/>
    <w:rsid w:val="0020607B"/>
    <w:rsid w:val="0020670D"/>
    <w:rsid w:val="00206766"/>
    <w:rsid w:val="002067F6"/>
    <w:rsid w:val="00206836"/>
    <w:rsid w:val="0020686F"/>
    <w:rsid w:val="0020698D"/>
    <w:rsid w:val="002069B2"/>
    <w:rsid w:val="00206DF6"/>
    <w:rsid w:val="00206EA1"/>
    <w:rsid w:val="00207160"/>
    <w:rsid w:val="002071C1"/>
    <w:rsid w:val="0020731E"/>
    <w:rsid w:val="002073B4"/>
    <w:rsid w:val="0020780A"/>
    <w:rsid w:val="002079E3"/>
    <w:rsid w:val="00207B7A"/>
    <w:rsid w:val="00207C60"/>
    <w:rsid w:val="00207CDB"/>
    <w:rsid w:val="00207E60"/>
    <w:rsid w:val="00207FA3"/>
    <w:rsid w:val="00210117"/>
    <w:rsid w:val="002102F8"/>
    <w:rsid w:val="0021051B"/>
    <w:rsid w:val="0021095E"/>
    <w:rsid w:val="0021097B"/>
    <w:rsid w:val="00210A33"/>
    <w:rsid w:val="00210A94"/>
    <w:rsid w:val="00210C4B"/>
    <w:rsid w:val="00210D94"/>
    <w:rsid w:val="0021105A"/>
    <w:rsid w:val="00211116"/>
    <w:rsid w:val="00211287"/>
    <w:rsid w:val="00211394"/>
    <w:rsid w:val="0021149F"/>
    <w:rsid w:val="00211572"/>
    <w:rsid w:val="002116F4"/>
    <w:rsid w:val="00211804"/>
    <w:rsid w:val="002118CE"/>
    <w:rsid w:val="00211AFE"/>
    <w:rsid w:val="00211F0D"/>
    <w:rsid w:val="00211F42"/>
    <w:rsid w:val="00211FF6"/>
    <w:rsid w:val="002124A4"/>
    <w:rsid w:val="00212723"/>
    <w:rsid w:val="0021277B"/>
    <w:rsid w:val="00212ED5"/>
    <w:rsid w:val="00213182"/>
    <w:rsid w:val="002131E3"/>
    <w:rsid w:val="002133CF"/>
    <w:rsid w:val="00213529"/>
    <w:rsid w:val="00213DF4"/>
    <w:rsid w:val="00213F2D"/>
    <w:rsid w:val="00213F69"/>
    <w:rsid w:val="002140D7"/>
    <w:rsid w:val="002141A1"/>
    <w:rsid w:val="002141B7"/>
    <w:rsid w:val="00214803"/>
    <w:rsid w:val="00214A8B"/>
    <w:rsid w:val="00214CAD"/>
    <w:rsid w:val="00214DA8"/>
    <w:rsid w:val="00214FB8"/>
    <w:rsid w:val="00215073"/>
    <w:rsid w:val="002150A2"/>
    <w:rsid w:val="00215233"/>
    <w:rsid w:val="00215423"/>
    <w:rsid w:val="00215587"/>
    <w:rsid w:val="0021582C"/>
    <w:rsid w:val="002158FA"/>
    <w:rsid w:val="0021594D"/>
    <w:rsid w:val="00215B5B"/>
    <w:rsid w:val="002160E4"/>
    <w:rsid w:val="002162FC"/>
    <w:rsid w:val="002163E9"/>
    <w:rsid w:val="002163F0"/>
    <w:rsid w:val="00216545"/>
    <w:rsid w:val="002166E8"/>
    <w:rsid w:val="00216884"/>
    <w:rsid w:val="00216D9D"/>
    <w:rsid w:val="00216ECF"/>
    <w:rsid w:val="00216FFF"/>
    <w:rsid w:val="002170DB"/>
    <w:rsid w:val="0021710F"/>
    <w:rsid w:val="0021731A"/>
    <w:rsid w:val="00217372"/>
    <w:rsid w:val="002173CD"/>
    <w:rsid w:val="0021753D"/>
    <w:rsid w:val="002175F5"/>
    <w:rsid w:val="0021762E"/>
    <w:rsid w:val="0021762F"/>
    <w:rsid w:val="00217631"/>
    <w:rsid w:val="00217991"/>
    <w:rsid w:val="00217A82"/>
    <w:rsid w:val="00217C6D"/>
    <w:rsid w:val="0022023A"/>
    <w:rsid w:val="00220247"/>
    <w:rsid w:val="0022033A"/>
    <w:rsid w:val="002203EA"/>
    <w:rsid w:val="002204F7"/>
    <w:rsid w:val="00220600"/>
    <w:rsid w:val="00220841"/>
    <w:rsid w:val="0022094E"/>
    <w:rsid w:val="00220955"/>
    <w:rsid w:val="002209E4"/>
    <w:rsid w:val="00220A27"/>
    <w:rsid w:val="00220D63"/>
    <w:rsid w:val="00220F4A"/>
    <w:rsid w:val="00220F84"/>
    <w:rsid w:val="00220F90"/>
    <w:rsid w:val="002210E6"/>
    <w:rsid w:val="00221248"/>
    <w:rsid w:val="0022128B"/>
    <w:rsid w:val="00221398"/>
    <w:rsid w:val="002213AC"/>
    <w:rsid w:val="002214B1"/>
    <w:rsid w:val="002215E1"/>
    <w:rsid w:val="0022163D"/>
    <w:rsid w:val="0022171F"/>
    <w:rsid w:val="002218C6"/>
    <w:rsid w:val="00221CB0"/>
    <w:rsid w:val="00221D60"/>
    <w:rsid w:val="00221D75"/>
    <w:rsid w:val="00221F07"/>
    <w:rsid w:val="002221F6"/>
    <w:rsid w:val="00222385"/>
    <w:rsid w:val="002224DB"/>
    <w:rsid w:val="002225DC"/>
    <w:rsid w:val="00222811"/>
    <w:rsid w:val="00222947"/>
    <w:rsid w:val="00222C8E"/>
    <w:rsid w:val="00222CCD"/>
    <w:rsid w:val="00222D69"/>
    <w:rsid w:val="00222DC7"/>
    <w:rsid w:val="00222FEE"/>
    <w:rsid w:val="002231E5"/>
    <w:rsid w:val="00223435"/>
    <w:rsid w:val="002235AE"/>
    <w:rsid w:val="002238C6"/>
    <w:rsid w:val="00223906"/>
    <w:rsid w:val="00223A5B"/>
    <w:rsid w:val="00223BFC"/>
    <w:rsid w:val="00223D1A"/>
    <w:rsid w:val="00223D91"/>
    <w:rsid w:val="00223DA2"/>
    <w:rsid w:val="00223F2B"/>
    <w:rsid w:val="00223F53"/>
    <w:rsid w:val="00223FCB"/>
    <w:rsid w:val="00223FEA"/>
    <w:rsid w:val="00224515"/>
    <w:rsid w:val="0022455F"/>
    <w:rsid w:val="00224705"/>
    <w:rsid w:val="00224791"/>
    <w:rsid w:val="0022486B"/>
    <w:rsid w:val="002248CF"/>
    <w:rsid w:val="00224BE6"/>
    <w:rsid w:val="00224CE2"/>
    <w:rsid w:val="002250D6"/>
    <w:rsid w:val="0022513F"/>
    <w:rsid w:val="002252C3"/>
    <w:rsid w:val="0022549B"/>
    <w:rsid w:val="0022578F"/>
    <w:rsid w:val="00225950"/>
    <w:rsid w:val="00225B30"/>
    <w:rsid w:val="00225BA9"/>
    <w:rsid w:val="00225C54"/>
    <w:rsid w:val="00225CB5"/>
    <w:rsid w:val="00225F40"/>
    <w:rsid w:val="00226009"/>
    <w:rsid w:val="00226049"/>
    <w:rsid w:val="002260DA"/>
    <w:rsid w:val="00226277"/>
    <w:rsid w:val="002262F9"/>
    <w:rsid w:val="0022639C"/>
    <w:rsid w:val="00226651"/>
    <w:rsid w:val="002267FA"/>
    <w:rsid w:val="00226B54"/>
    <w:rsid w:val="00226B72"/>
    <w:rsid w:val="00226C5F"/>
    <w:rsid w:val="00226E01"/>
    <w:rsid w:val="00226FF6"/>
    <w:rsid w:val="002273BE"/>
    <w:rsid w:val="002276BF"/>
    <w:rsid w:val="0022774A"/>
    <w:rsid w:val="0022791E"/>
    <w:rsid w:val="00227B70"/>
    <w:rsid w:val="00227B7F"/>
    <w:rsid w:val="00227C0C"/>
    <w:rsid w:val="00227C16"/>
    <w:rsid w:val="002306E4"/>
    <w:rsid w:val="00230765"/>
    <w:rsid w:val="00230819"/>
    <w:rsid w:val="00230A08"/>
    <w:rsid w:val="00230D18"/>
    <w:rsid w:val="0023154F"/>
    <w:rsid w:val="00231820"/>
    <w:rsid w:val="002319E4"/>
    <w:rsid w:val="00231EBF"/>
    <w:rsid w:val="00232217"/>
    <w:rsid w:val="00232298"/>
    <w:rsid w:val="002323AA"/>
    <w:rsid w:val="00232955"/>
    <w:rsid w:val="00232A20"/>
    <w:rsid w:val="00232ABA"/>
    <w:rsid w:val="00232C0B"/>
    <w:rsid w:val="00232E49"/>
    <w:rsid w:val="00232ECD"/>
    <w:rsid w:val="00232FD7"/>
    <w:rsid w:val="002332ED"/>
    <w:rsid w:val="00233326"/>
    <w:rsid w:val="00233600"/>
    <w:rsid w:val="00233630"/>
    <w:rsid w:val="0023368D"/>
    <w:rsid w:val="002336ED"/>
    <w:rsid w:val="002337D0"/>
    <w:rsid w:val="00233A73"/>
    <w:rsid w:val="00233AE8"/>
    <w:rsid w:val="00233AF9"/>
    <w:rsid w:val="00233BCD"/>
    <w:rsid w:val="00233D62"/>
    <w:rsid w:val="00233E1A"/>
    <w:rsid w:val="00233E95"/>
    <w:rsid w:val="00233F7B"/>
    <w:rsid w:val="002340EA"/>
    <w:rsid w:val="002341AF"/>
    <w:rsid w:val="002345EB"/>
    <w:rsid w:val="00234D9D"/>
    <w:rsid w:val="002352F7"/>
    <w:rsid w:val="002354AB"/>
    <w:rsid w:val="002354E1"/>
    <w:rsid w:val="002354F5"/>
    <w:rsid w:val="00235632"/>
    <w:rsid w:val="002356A2"/>
    <w:rsid w:val="00235872"/>
    <w:rsid w:val="00235D35"/>
    <w:rsid w:val="00235DA1"/>
    <w:rsid w:val="00235F21"/>
    <w:rsid w:val="00235F7E"/>
    <w:rsid w:val="00235FFE"/>
    <w:rsid w:val="0023616D"/>
    <w:rsid w:val="0023646F"/>
    <w:rsid w:val="00236550"/>
    <w:rsid w:val="0023669B"/>
    <w:rsid w:val="00236931"/>
    <w:rsid w:val="00236D5B"/>
    <w:rsid w:val="00236E1D"/>
    <w:rsid w:val="00236E65"/>
    <w:rsid w:val="00236F5C"/>
    <w:rsid w:val="002371A0"/>
    <w:rsid w:val="00237517"/>
    <w:rsid w:val="0023760F"/>
    <w:rsid w:val="00237A6C"/>
    <w:rsid w:val="00237BB8"/>
    <w:rsid w:val="00237C82"/>
    <w:rsid w:val="00237CAD"/>
    <w:rsid w:val="00237D32"/>
    <w:rsid w:val="0024024E"/>
    <w:rsid w:val="00240334"/>
    <w:rsid w:val="00240352"/>
    <w:rsid w:val="00240396"/>
    <w:rsid w:val="0024057A"/>
    <w:rsid w:val="00240643"/>
    <w:rsid w:val="002407F4"/>
    <w:rsid w:val="00240980"/>
    <w:rsid w:val="00240BDF"/>
    <w:rsid w:val="00240F7D"/>
    <w:rsid w:val="00241016"/>
    <w:rsid w:val="00241054"/>
    <w:rsid w:val="00241370"/>
    <w:rsid w:val="0024148B"/>
    <w:rsid w:val="00241559"/>
    <w:rsid w:val="0024155C"/>
    <w:rsid w:val="00241587"/>
    <w:rsid w:val="002417DA"/>
    <w:rsid w:val="00241948"/>
    <w:rsid w:val="00241E04"/>
    <w:rsid w:val="00241F28"/>
    <w:rsid w:val="002422D4"/>
    <w:rsid w:val="0024230A"/>
    <w:rsid w:val="00242391"/>
    <w:rsid w:val="002423DA"/>
    <w:rsid w:val="00242510"/>
    <w:rsid w:val="00242911"/>
    <w:rsid w:val="00242AD7"/>
    <w:rsid w:val="00242C65"/>
    <w:rsid w:val="00242C71"/>
    <w:rsid w:val="00242F67"/>
    <w:rsid w:val="00243198"/>
    <w:rsid w:val="0024320C"/>
    <w:rsid w:val="002432CB"/>
    <w:rsid w:val="002435B3"/>
    <w:rsid w:val="00243666"/>
    <w:rsid w:val="0024391B"/>
    <w:rsid w:val="00243D7B"/>
    <w:rsid w:val="00243F1F"/>
    <w:rsid w:val="00243FB3"/>
    <w:rsid w:val="00243FB9"/>
    <w:rsid w:val="00243FFA"/>
    <w:rsid w:val="0024434B"/>
    <w:rsid w:val="002443B4"/>
    <w:rsid w:val="00244463"/>
    <w:rsid w:val="00244534"/>
    <w:rsid w:val="002448E4"/>
    <w:rsid w:val="00244918"/>
    <w:rsid w:val="00244C94"/>
    <w:rsid w:val="00244CDE"/>
    <w:rsid w:val="00244F55"/>
    <w:rsid w:val="002451B4"/>
    <w:rsid w:val="00245263"/>
    <w:rsid w:val="00245335"/>
    <w:rsid w:val="002453DE"/>
    <w:rsid w:val="00245614"/>
    <w:rsid w:val="002458EB"/>
    <w:rsid w:val="0024624F"/>
    <w:rsid w:val="0024628A"/>
    <w:rsid w:val="0024634D"/>
    <w:rsid w:val="0024666D"/>
    <w:rsid w:val="0024673E"/>
    <w:rsid w:val="00246BC6"/>
    <w:rsid w:val="002471E6"/>
    <w:rsid w:val="0024730D"/>
    <w:rsid w:val="0024740B"/>
    <w:rsid w:val="0024769A"/>
    <w:rsid w:val="002476C2"/>
    <w:rsid w:val="002478CC"/>
    <w:rsid w:val="002478EE"/>
    <w:rsid w:val="00247AAD"/>
    <w:rsid w:val="00247C3B"/>
    <w:rsid w:val="00247C76"/>
    <w:rsid w:val="00247EA9"/>
    <w:rsid w:val="00247F0C"/>
    <w:rsid w:val="002500C8"/>
    <w:rsid w:val="002505AD"/>
    <w:rsid w:val="00250773"/>
    <w:rsid w:val="002507D4"/>
    <w:rsid w:val="00250BBE"/>
    <w:rsid w:val="00250EA3"/>
    <w:rsid w:val="002513BF"/>
    <w:rsid w:val="002515B6"/>
    <w:rsid w:val="002518E1"/>
    <w:rsid w:val="002519D4"/>
    <w:rsid w:val="00251B19"/>
    <w:rsid w:val="00251B6B"/>
    <w:rsid w:val="00251D39"/>
    <w:rsid w:val="00252069"/>
    <w:rsid w:val="00252197"/>
    <w:rsid w:val="00252340"/>
    <w:rsid w:val="0025263D"/>
    <w:rsid w:val="002526DE"/>
    <w:rsid w:val="00252986"/>
    <w:rsid w:val="00252988"/>
    <w:rsid w:val="00253103"/>
    <w:rsid w:val="00253112"/>
    <w:rsid w:val="00253305"/>
    <w:rsid w:val="0025330E"/>
    <w:rsid w:val="0025345D"/>
    <w:rsid w:val="002534AD"/>
    <w:rsid w:val="0025350B"/>
    <w:rsid w:val="0025390D"/>
    <w:rsid w:val="00253BD5"/>
    <w:rsid w:val="00253E02"/>
    <w:rsid w:val="00253E1B"/>
    <w:rsid w:val="002541E9"/>
    <w:rsid w:val="0025450B"/>
    <w:rsid w:val="002545B0"/>
    <w:rsid w:val="00254645"/>
    <w:rsid w:val="002546C4"/>
    <w:rsid w:val="002547BD"/>
    <w:rsid w:val="00254994"/>
    <w:rsid w:val="00254E37"/>
    <w:rsid w:val="00255018"/>
    <w:rsid w:val="002550D1"/>
    <w:rsid w:val="0025511F"/>
    <w:rsid w:val="00255384"/>
    <w:rsid w:val="0025590A"/>
    <w:rsid w:val="00255C39"/>
    <w:rsid w:val="00255CFC"/>
    <w:rsid w:val="00255F4F"/>
    <w:rsid w:val="002561DF"/>
    <w:rsid w:val="00256287"/>
    <w:rsid w:val="0025652A"/>
    <w:rsid w:val="0025662D"/>
    <w:rsid w:val="00256658"/>
    <w:rsid w:val="0025682E"/>
    <w:rsid w:val="00256A3E"/>
    <w:rsid w:val="00256D8D"/>
    <w:rsid w:val="00256EC2"/>
    <w:rsid w:val="0025706B"/>
    <w:rsid w:val="00257543"/>
    <w:rsid w:val="00257619"/>
    <w:rsid w:val="00257671"/>
    <w:rsid w:val="00257870"/>
    <w:rsid w:val="00257C21"/>
    <w:rsid w:val="00257CDB"/>
    <w:rsid w:val="00257D6F"/>
    <w:rsid w:val="00257F7E"/>
    <w:rsid w:val="0026059A"/>
    <w:rsid w:val="002606DA"/>
    <w:rsid w:val="00260909"/>
    <w:rsid w:val="00260BF1"/>
    <w:rsid w:val="00260C50"/>
    <w:rsid w:val="00260F00"/>
    <w:rsid w:val="002613E5"/>
    <w:rsid w:val="002617E7"/>
    <w:rsid w:val="00261A27"/>
    <w:rsid w:val="00261CDB"/>
    <w:rsid w:val="00262081"/>
    <w:rsid w:val="00262222"/>
    <w:rsid w:val="0026228B"/>
    <w:rsid w:val="0026242C"/>
    <w:rsid w:val="002624C6"/>
    <w:rsid w:val="002626FE"/>
    <w:rsid w:val="0026283F"/>
    <w:rsid w:val="002629B9"/>
    <w:rsid w:val="00262A81"/>
    <w:rsid w:val="00262BDE"/>
    <w:rsid w:val="00263310"/>
    <w:rsid w:val="00263605"/>
    <w:rsid w:val="00263636"/>
    <w:rsid w:val="00263735"/>
    <w:rsid w:val="002637CA"/>
    <w:rsid w:val="00263F3D"/>
    <w:rsid w:val="00264065"/>
    <w:rsid w:val="0026420F"/>
    <w:rsid w:val="00264228"/>
    <w:rsid w:val="00264334"/>
    <w:rsid w:val="002645E1"/>
    <w:rsid w:val="0026464D"/>
    <w:rsid w:val="0026473E"/>
    <w:rsid w:val="0026478F"/>
    <w:rsid w:val="002647A7"/>
    <w:rsid w:val="002647B1"/>
    <w:rsid w:val="00264801"/>
    <w:rsid w:val="002648DF"/>
    <w:rsid w:val="00264A86"/>
    <w:rsid w:val="00264E64"/>
    <w:rsid w:val="0026549D"/>
    <w:rsid w:val="002655EA"/>
    <w:rsid w:val="002659D8"/>
    <w:rsid w:val="00265B82"/>
    <w:rsid w:val="00265C0B"/>
    <w:rsid w:val="00265CD5"/>
    <w:rsid w:val="00265EE4"/>
    <w:rsid w:val="00266214"/>
    <w:rsid w:val="0026621E"/>
    <w:rsid w:val="00266295"/>
    <w:rsid w:val="0026647B"/>
    <w:rsid w:val="00266723"/>
    <w:rsid w:val="00266A0B"/>
    <w:rsid w:val="00266C06"/>
    <w:rsid w:val="00266DF3"/>
    <w:rsid w:val="00266E69"/>
    <w:rsid w:val="00266EDD"/>
    <w:rsid w:val="00267023"/>
    <w:rsid w:val="0026710A"/>
    <w:rsid w:val="00267259"/>
    <w:rsid w:val="0026725E"/>
    <w:rsid w:val="00267324"/>
    <w:rsid w:val="00267481"/>
    <w:rsid w:val="00267540"/>
    <w:rsid w:val="00267552"/>
    <w:rsid w:val="0026798A"/>
    <w:rsid w:val="00267C83"/>
    <w:rsid w:val="0027021F"/>
    <w:rsid w:val="002704C7"/>
    <w:rsid w:val="002704E5"/>
    <w:rsid w:val="00270543"/>
    <w:rsid w:val="0027078F"/>
    <w:rsid w:val="0027080F"/>
    <w:rsid w:val="002709F8"/>
    <w:rsid w:val="00270B02"/>
    <w:rsid w:val="00270D1E"/>
    <w:rsid w:val="00270E7E"/>
    <w:rsid w:val="00270F9A"/>
    <w:rsid w:val="00270FD5"/>
    <w:rsid w:val="00270FE0"/>
    <w:rsid w:val="00271095"/>
    <w:rsid w:val="0027144F"/>
    <w:rsid w:val="00271477"/>
    <w:rsid w:val="002717A4"/>
    <w:rsid w:val="002717F0"/>
    <w:rsid w:val="00271813"/>
    <w:rsid w:val="00271C86"/>
    <w:rsid w:val="00271CDD"/>
    <w:rsid w:val="00271F3A"/>
    <w:rsid w:val="00271F9D"/>
    <w:rsid w:val="002722EF"/>
    <w:rsid w:val="00272493"/>
    <w:rsid w:val="00272790"/>
    <w:rsid w:val="00272839"/>
    <w:rsid w:val="00272B18"/>
    <w:rsid w:val="00272BAF"/>
    <w:rsid w:val="00272C6E"/>
    <w:rsid w:val="00272DC2"/>
    <w:rsid w:val="0027325D"/>
    <w:rsid w:val="00273278"/>
    <w:rsid w:val="00273390"/>
    <w:rsid w:val="002733D3"/>
    <w:rsid w:val="002737F4"/>
    <w:rsid w:val="002738A6"/>
    <w:rsid w:val="0027395A"/>
    <w:rsid w:val="00274288"/>
    <w:rsid w:val="0027444A"/>
    <w:rsid w:val="002746CF"/>
    <w:rsid w:val="0027481C"/>
    <w:rsid w:val="002748BB"/>
    <w:rsid w:val="00274A09"/>
    <w:rsid w:val="00274B28"/>
    <w:rsid w:val="00274DE8"/>
    <w:rsid w:val="00275042"/>
    <w:rsid w:val="0027504F"/>
    <w:rsid w:val="0027528F"/>
    <w:rsid w:val="00275375"/>
    <w:rsid w:val="002753A1"/>
    <w:rsid w:val="002755A5"/>
    <w:rsid w:val="002755B3"/>
    <w:rsid w:val="002756BB"/>
    <w:rsid w:val="002757B1"/>
    <w:rsid w:val="0027593D"/>
    <w:rsid w:val="002759C9"/>
    <w:rsid w:val="00275C33"/>
    <w:rsid w:val="002760AF"/>
    <w:rsid w:val="00276159"/>
    <w:rsid w:val="0027631F"/>
    <w:rsid w:val="00276426"/>
    <w:rsid w:val="002767E8"/>
    <w:rsid w:val="00276847"/>
    <w:rsid w:val="00276862"/>
    <w:rsid w:val="00276C56"/>
    <w:rsid w:val="00276F1E"/>
    <w:rsid w:val="00277268"/>
    <w:rsid w:val="002773B7"/>
    <w:rsid w:val="00277441"/>
    <w:rsid w:val="002774CA"/>
    <w:rsid w:val="002776C6"/>
    <w:rsid w:val="002777E1"/>
    <w:rsid w:val="00277AD9"/>
    <w:rsid w:val="00277B56"/>
    <w:rsid w:val="00277C1D"/>
    <w:rsid w:val="00277C80"/>
    <w:rsid w:val="002805F5"/>
    <w:rsid w:val="00280751"/>
    <w:rsid w:val="002808F3"/>
    <w:rsid w:val="00280BE7"/>
    <w:rsid w:val="00280D2C"/>
    <w:rsid w:val="00280F9E"/>
    <w:rsid w:val="00281239"/>
    <w:rsid w:val="0028148E"/>
    <w:rsid w:val="002815DE"/>
    <w:rsid w:val="0028169C"/>
    <w:rsid w:val="002819CB"/>
    <w:rsid w:val="00281BDF"/>
    <w:rsid w:val="00281D1F"/>
    <w:rsid w:val="00281F80"/>
    <w:rsid w:val="00281FC5"/>
    <w:rsid w:val="00282046"/>
    <w:rsid w:val="00282334"/>
    <w:rsid w:val="00282420"/>
    <w:rsid w:val="002825E0"/>
    <w:rsid w:val="00282628"/>
    <w:rsid w:val="00282636"/>
    <w:rsid w:val="0028280A"/>
    <w:rsid w:val="0028284C"/>
    <w:rsid w:val="0028288E"/>
    <w:rsid w:val="00282AEC"/>
    <w:rsid w:val="00282FFE"/>
    <w:rsid w:val="00283134"/>
    <w:rsid w:val="0028316B"/>
    <w:rsid w:val="002831BD"/>
    <w:rsid w:val="00283209"/>
    <w:rsid w:val="00283555"/>
    <w:rsid w:val="00283690"/>
    <w:rsid w:val="002839EF"/>
    <w:rsid w:val="00283A6B"/>
    <w:rsid w:val="00283BCD"/>
    <w:rsid w:val="00283E15"/>
    <w:rsid w:val="0028400E"/>
    <w:rsid w:val="0028419D"/>
    <w:rsid w:val="00284292"/>
    <w:rsid w:val="0028435A"/>
    <w:rsid w:val="00284695"/>
    <w:rsid w:val="002847C9"/>
    <w:rsid w:val="002849A2"/>
    <w:rsid w:val="00284D4F"/>
    <w:rsid w:val="002850E0"/>
    <w:rsid w:val="002850E5"/>
    <w:rsid w:val="002851F8"/>
    <w:rsid w:val="002853F1"/>
    <w:rsid w:val="0028564E"/>
    <w:rsid w:val="0028584F"/>
    <w:rsid w:val="00285853"/>
    <w:rsid w:val="00285855"/>
    <w:rsid w:val="00285A1C"/>
    <w:rsid w:val="00285AA2"/>
    <w:rsid w:val="00285CFB"/>
    <w:rsid w:val="00285E37"/>
    <w:rsid w:val="00285ED3"/>
    <w:rsid w:val="00286153"/>
    <w:rsid w:val="002865D2"/>
    <w:rsid w:val="00286710"/>
    <w:rsid w:val="00286770"/>
    <w:rsid w:val="002867BC"/>
    <w:rsid w:val="002868A8"/>
    <w:rsid w:val="002868B2"/>
    <w:rsid w:val="00286ACD"/>
    <w:rsid w:val="00286C29"/>
    <w:rsid w:val="00286C97"/>
    <w:rsid w:val="00286CF5"/>
    <w:rsid w:val="00287193"/>
    <w:rsid w:val="0028731E"/>
    <w:rsid w:val="002873E5"/>
    <w:rsid w:val="00287495"/>
    <w:rsid w:val="00287838"/>
    <w:rsid w:val="00287A21"/>
    <w:rsid w:val="00287B59"/>
    <w:rsid w:val="00287D23"/>
    <w:rsid w:val="00287DDC"/>
    <w:rsid w:val="00287E98"/>
    <w:rsid w:val="00287EB2"/>
    <w:rsid w:val="00287EE2"/>
    <w:rsid w:val="002900FF"/>
    <w:rsid w:val="002906EF"/>
    <w:rsid w:val="00290770"/>
    <w:rsid w:val="002907B5"/>
    <w:rsid w:val="00290A6C"/>
    <w:rsid w:val="00290ADC"/>
    <w:rsid w:val="00290C12"/>
    <w:rsid w:val="00290D43"/>
    <w:rsid w:val="00290E90"/>
    <w:rsid w:val="00291123"/>
    <w:rsid w:val="00291709"/>
    <w:rsid w:val="0029185B"/>
    <w:rsid w:val="00291C37"/>
    <w:rsid w:val="00291C89"/>
    <w:rsid w:val="00291D91"/>
    <w:rsid w:val="00291F72"/>
    <w:rsid w:val="002924DE"/>
    <w:rsid w:val="00292938"/>
    <w:rsid w:val="00292C49"/>
    <w:rsid w:val="00292DE4"/>
    <w:rsid w:val="00292EB7"/>
    <w:rsid w:val="00293226"/>
    <w:rsid w:val="0029360D"/>
    <w:rsid w:val="002938DE"/>
    <w:rsid w:val="00294168"/>
    <w:rsid w:val="00294368"/>
    <w:rsid w:val="00294413"/>
    <w:rsid w:val="00294660"/>
    <w:rsid w:val="002948A8"/>
    <w:rsid w:val="002949D3"/>
    <w:rsid w:val="00294DCF"/>
    <w:rsid w:val="00295214"/>
    <w:rsid w:val="00295350"/>
    <w:rsid w:val="002955B9"/>
    <w:rsid w:val="002957C7"/>
    <w:rsid w:val="00295ACB"/>
    <w:rsid w:val="00295D57"/>
    <w:rsid w:val="00295E8E"/>
    <w:rsid w:val="00295ED8"/>
    <w:rsid w:val="002960F1"/>
    <w:rsid w:val="00296155"/>
    <w:rsid w:val="00296227"/>
    <w:rsid w:val="002965E0"/>
    <w:rsid w:val="002966C4"/>
    <w:rsid w:val="002968AC"/>
    <w:rsid w:val="00296A85"/>
    <w:rsid w:val="00296E18"/>
    <w:rsid w:val="00296E2A"/>
    <w:rsid w:val="00296F44"/>
    <w:rsid w:val="00296F82"/>
    <w:rsid w:val="00297152"/>
    <w:rsid w:val="00297377"/>
    <w:rsid w:val="0029777D"/>
    <w:rsid w:val="002978C5"/>
    <w:rsid w:val="0029796F"/>
    <w:rsid w:val="00297C91"/>
    <w:rsid w:val="00297CDC"/>
    <w:rsid w:val="00297F0B"/>
    <w:rsid w:val="00297F8A"/>
    <w:rsid w:val="00297FBE"/>
    <w:rsid w:val="002A0089"/>
    <w:rsid w:val="002A00A1"/>
    <w:rsid w:val="002A055E"/>
    <w:rsid w:val="002A09DC"/>
    <w:rsid w:val="002A0A74"/>
    <w:rsid w:val="002A0AA3"/>
    <w:rsid w:val="002A0CD8"/>
    <w:rsid w:val="002A0E45"/>
    <w:rsid w:val="002A0EB3"/>
    <w:rsid w:val="002A1409"/>
    <w:rsid w:val="002A1516"/>
    <w:rsid w:val="002A16E4"/>
    <w:rsid w:val="002A17D3"/>
    <w:rsid w:val="002A181D"/>
    <w:rsid w:val="002A189A"/>
    <w:rsid w:val="002A18EE"/>
    <w:rsid w:val="002A1AFF"/>
    <w:rsid w:val="002A1C0D"/>
    <w:rsid w:val="002A1C50"/>
    <w:rsid w:val="002A1D4E"/>
    <w:rsid w:val="002A1DC7"/>
    <w:rsid w:val="002A1E3C"/>
    <w:rsid w:val="002A209A"/>
    <w:rsid w:val="002A215E"/>
    <w:rsid w:val="002A2294"/>
    <w:rsid w:val="002A25C7"/>
    <w:rsid w:val="002A2869"/>
    <w:rsid w:val="002A2C31"/>
    <w:rsid w:val="002A2EC1"/>
    <w:rsid w:val="002A2F9F"/>
    <w:rsid w:val="002A3008"/>
    <w:rsid w:val="002A3024"/>
    <w:rsid w:val="002A33D5"/>
    <w:rsid w:val="002A36B3"/>
    <w:rsid w:val="002A38D2"/>
    <w:rsid w:val="002A3979"/>
    <w:rsid w:val="002A3AF4"/>
    <w:rsid w:val="002A3AFC"/>
    <w:rsid w:val="002A3DE1"/>
    <w:rsid w:val="002A3EE5"/>
    <w:rsid w:val="002A41ED"/>
    <w:rsid w:val="002A43F3"/>
    <w:rsid w:val="002A4706"/>
    <w:rsid w:val="002A4986"/>
    <w:rsid w:val="002A4A1C"/>
    <w:rsid w:val="002A4A29"/>
    <w:rsid w:val="002A4A82"/>
    <w:rsid w:val="002A4AC1"/>
    <w:rsid w:val="002A4E1A"/>
    <w:rsid w:val="002A4E7E"/>
    <w:rsid w:val="002A4F63"/>
    <w:rsid w:val="002A4FC5"/>
    <w:rsid w:val="002A5007"/>
    <w:rsid w:val="002A50D1"/>
    <w:rsid w:val="002A54CF"/>
    <w:rsid w:val="002A5581"/>
    <w:rsid w:val="002A5669"/>
    <w:rsid w:val="002A5732"/>
    <w:rsid w:val="002A57C6"/>
    <w:rsid w:val="002A58D3"/>
    <w:rsid w:val="002A59C0"/>
    <w:rsid w:val="002A59D7"/>
    <w:rsid w:val="002A5AC0"/>
    <w:rsid w:val="002A5CA8"/>
    <w:rsid w:val="002A5E21"/>
    <w:rsid w:val="002A5E4F"/>
    <w:rsid w:val="002A632F"/>
    <w:rsid w:val="002A6384"/>
    <w:rsid w:val="002A65D4"/>
    <w:rsid w:val="002A6868"/>
    <w:rsid w:val="002A6D41"/>
    <w:rsid w:val="002A6E1A"/>
    <w:rsid w:val="002A6EDA"/>
    <w:rsid w:val="002A6FA0"/>
    <w:rsid w:val="002A7181"/>
    <w:rsid w:val="002A74FF"/>
    <w:rsid w:val="002A7916"/>
    <w:rsid w:val="002A7ADF"/>
    <w:rsid w:val="002A7C6C"/>
    <w:rsid w:val="002A7DE3"/>
    <w:rsid w:val="002A7E46"/>
    <w:rsid w:val="002A7E8A"/>
    <w:rsid w:val="002A7FE6"/>
    <w:rsid w:val="002A7FFC"/>
    <w:rsid w:val="002B0121"/>
    <w:rsid w:val="002B01C9"/>
    <w:rsid w:val="002B041E"/>
    <w:rsid w:val="002B04A8"/>
    <w:rsid w:val="002B04BC"/>
    <w:rsid w:val="002B0628"/>
    <w:rsid w:val="002B0964"/>
    <w:rsid w:val="002B0DF5"/>
    <w:rsid w:val="002B0DFD"/>
    <w:rsid w:val="002B0EC4"/>
    <w:rsid w:val="002B0EEF"/>
    <w:rsid w:val="002B10C3"/>
    <w:rsid w:val="002B129F"/>
    <w:rsid w:val="002B1500"/>
    <w:rsid w:val="002B1627"/>
    <w:rsid w:val="002B164A"/>
    <w:rsid w:val="002B1A9D"/>
    <w:rsid w:val="002B1AED"/>
    <w:rsid w:val="002B1B69"/>
    <w:rsid w:val="002B22DE"/>
    <w:rsid w:val="002B23B7"/>
    <w:rsid w:val="002B23D3"/>
    <w:rsid w:val="002B241F"/>
    <w:rsid w:val="002B2483"/>
    <w:rsid w:val="002B24D6"/>
    <w:rsid w:val="002B254F"/>
    <w:rsid w:val="002B27A0"/>
    <w:rsid w:val="002B285B"/>
    <w:rsid w:val="002B2A1A"/>
    <w:rsid w:val="002B2B0A"/>
    <w:rsid w:val="002B2B5B"/>
    <w:rsid w:val="002B2B96"/>
    <w:rsid w:val="002B2C56"/>
    <w:rsid w:val="002B2D33"/>
    <w:rsid w:val="002B2D96"/>
    <w:rsid w:val="002B2FCF"/>
    <w:rsid w:val="002B3129"/>
    <w:rsid w:val="002B3180"/>
    <w:rsid w:val="002B3623"/>
    <w:rsid w:val="002B3779"/>
    <w:rsid w:val="002B39AE"/>
    <w:rsid w:val="002B3AB8"/>
    <w:rsid w:val="002B3BD9"/>
    <w:rsid w:val="002B3E7B"/>
    <w:rsid w:val="002B3F98"/>
    <w:rsid w:val="002B40B2"/>
    <w:rsid w:val="002B4351"/>
    <w:rsid w:val="002B450E"/>
    <w:rsid w:val="002B4572"/>
    <w:rsid w:val="002B4747"/>
    <w:rsid w:val="002B4777"/>
    <w:rsid w:val="002B47CE"/>
    <w:rsid w:val="002B4914"/>
    <w:rsid w:val="002B4A2D"/>
    <w:rsid w:val="002B4B66"/>
    <w:rsid w:val="002B4EA2"/>
    <w:rsid w:val="002B502E"/>
    <w:rsid w:val="002B550B"/>
    <w:rsid w:val="002B57BB"/>
    <w:rsid w:val="002B58F9"/>
    <w:rsid w:val="002B5F5B"/>
    <w:rsid w:val="002B62F7"/>
    <w:rsid w:val="002B65AA"/>
    <w:rsid w:val="002B6658"/>
    <w:rsid w:val="002B66D3"/>
    <w:rsid w:val="002B6833"/>
    <w:rsid w:val="002B68E1"/>
    <w:rsid w:val="002B6929"/>
    <w:rsid w:val="002B6E74"/>
    <w:rsid w:val="002B6FC9"/>
    <w:rsid w:val="002B704A"/>
    <w:rsid w:val="002B7270"/>
    <w:rsid w:val="002B73FA"/>
    <w:rsid w:val="002B7459"/>
    <w:rsid w:val="002B7DC9"/>
    <w:rsid w:val="002B7E30"/>
    <w:rsid w:val="002B7FBC"/>
    <w:rsid w:val="002C0451"/>
    <w:rsid w:val="002C050E"/>
    <w:rsid w:val="002C05FD"/>
    <w:rsid w:val="002C0929"/>
    <w:rsid w:val="002C0A2A"/>
    <w:rsid w:val="002C0C78"/>
    <w:rsid w:val="002C0CBC"/>
    <w:rsid w:val="002C0CD5"/>
    <w:rsid w:val="002C0DC3"/>
    <w:rsid w:val="002C0F1D"/>
    <w:rsid w:val="002C0FF4"/>
    <w:rsid w:val="002C1254"/>
    <w:rsid w:val="002C1272"/>
    <w:rsid w:val="002C1445"/>
    <w:rsid w:val="002C14E6"/>
    <w:rsid w:val="002C158C"/>
    <w:rsid w:val="002C1687"/>
    <w:rsid w:val="002C181D"/>
    <w:rsid w:val="002C1993"/>
    <w:rsid w:val="002C1A6E"/>
    <w:rsid w:val="002C1DAE"/>
    <w:rsid w:val="002C1F19"/>
    <w:rsid w:val="002C2006"/>
    <w:rsid w:val="002C2031"/>
    <w:rsid w:val="002C21F0"/>
    <w:rsid w:val="002C2212"/>
    <w:rsid w:val="002C257E"/>
    <w:rsid w:val="002C25BD"/>
    <w:rsid w:val="002C278C"/>
    <w:rsid w:val="002C27F9"/>
    <w:rsid w:val="002C284A"/>
    <w:rsid w:val="002C287A"/>
    <w:rsid w:val="002C291A"/>
    <w:rsid w:val="002C2F05"/>
    <w:rsid w:val="002C2FC8"/>
    <w:rsid w:val="002C30B3"/>
    <w:rsid w:val="002C3181"/>
    <w:rsid w:val="002C33D9"/>
    <w:rsid w:val="002C34AE"/>
    <w:rsid w:val="002C36C9"/>
    <w:rsid w:val="002C3928"/>
    <w:rsid w:val="002C3B1C"/>
    <w:rsid w:val="002C3C73"/>
    <w:rsid w:val="002C3CA6"/>
    <w:rsid w:val="002C3FD6"/>
    <w:rsid w:val="002C41E6"/>
    <w:rsid w:val="002C4341"/>
    <w:rsid w:val="002C4568"/>
    <w:rsid w:val="002C4637"/>
    <w:rsid w:val="002C465D"/>
    <w:rsid w:val="002C4685"/>
    <w:rsid w:val="002C48A3"/>
    <w:rsid w:val="002C4943"/>
    <w:rsid w:val="002C495A"/>
    <w:rsid w:val="002C4A3D"/>
    <w:rsid w:val="002C4A51"/>
    <w:rsid w:val="002C4BBB"/>
    <w:rsid w:val="002C4C95"/>
    <w:rsid w:val="002C4E72"/>
    <w:rsid w:val="002C50E6"/>
    <w:rsid w:val="002C51C7"/>
    <w:rsid w:val="002C51F6"/>
    <w:rsid w:val="002C5281"/>
    <w:rsid w:val="002C52A1"/>
    <w:rsid w:val="002C55E6"/>
    <w:rsid w:val="002C571C"/>
    <w:rsid w:val="002C5D5B"/>
    <w:rsid w:val="002C6376"/>
    <w:rsid w:val="002C6501"/>
    <w:rsid w:val="002C654E"/>
    <w:rsid w:val="002C664E"/>
    <w:rsid w:val="002C66CD"/>
    <w:rsid w:val="002C688F"/>
    <w:rsid w:val="002C6AA1"/>
    <w:rsid w:val="002C6B16"/>
    <w:rsid w:val="002C6BA1"/>
    <w:rsid w:val="002C6D4A"/>
    <w:rsid w:val="002C6E01"/>
    <w:rsid w:val="002C6EB1"/>
    <w:rsid w:val="002C6EDB"/>
    <w:rsid w:val="002C729D"/>
    <w:rsid w:val="002C72C1"/>
    <w:rsid w:val="002C7531"/>
    <w:rsid w:val="002C75CA"/>
    <w:rsid w:val="002C7966"/>
    <w:rsid w:val="002D0011"/>
    <w:rsid w:val="002D0108"/>
    <w:rsid w:val="002D0223"/>
    <w:rsid w:val="002D0244"/>
    <w:rsid w:val="002D02EC"/>
    <w:rsid w:val="002D05B9"/>
    <w:rsid w:val="002D071A"/>
    <w:rsid w:val="002D0797"/>
    <w:rsid w:val="002D0BB1"/>
    <w:rsid w:val="002D0E51"/>
    <w:rsid w:val="002D0F02"/>
    <w:rsid w:val="002D1128"/>
    <w:rsid w:val="002D1142"/>
    <w:rsid w:val="002D14DA"/>
    <w:rsid w:val="002D1505"/>
    <w:rsid w:val="002D1521"/>
    <w:rsid w:val="002D1523"/>
    <w:rsid w:val="002D156C"/>
    <w:rsid w:val="002D1808"/>
    <w:rsid w:val="002D1994"/>
    <w:rsid w:val="002D19C5"/>
    <w:rsid w:val="002D1A43"/>
    <w:rsid w:val="002D1DD5"/>
    <w:rsid w:val="002D1F50"/>
    <w:rsid w:val="002D1FB0"/>
    <w:rsid w:val="002D231D"/>
    <w:rsid w:val="002D2659"/>
    <w:rsid w:val="002D266F"/>
    <w:rsid w:val="002D297C"/>
    <w:rsid w:val="002D29B0"/>
    <w:rsid w:val="002D2ACD"/>
    <w:rsid w:val="002D2D5F"/>
    <w:rsid w:val="002D2E3F"/>
    <w:rsid w:val="002D2F4A"/>
    <w:rsid w:val="002D2FA6"/>
    <w:rsid w:val="002D3091"/>
    <w:rsid w:val="002D31D8"/>
    <w:rsid w:val="002D3205"/>
    <w:rsid w:val="002D3207"/>
    <w:rsid w:val="002D34B2"/>
    <w:rsid w:val="002D3544"/>
    <w:rsid w:val="002D3645"/>
    <w:rsid w:val="002D3848"/>
    <w:rsid w:val="002D3879"/>
    <w:rsid w:val="002D3D13"/>
    <w:rsid w:val="002D3F2B"/>
    <w:rsid w:val="002D42E7"/>
    <w:rsid w:val="002D437D"/>
    <w:rsid w:val="002D4521"/>
    <w:rsid w:val="002D48B0"/>
    <w:rsid w:val="002D4DE4"/>
    <w:rsid w:val="002D51B2"/>
    <w:rsid w:val="002D52B3"/>
    <w:rsid w:val="002D52B7"/>
    <w:rsid w:val="002D52FB"/>
    <w:rsid w:val="002D5306"/>
    <w:rsid w:val="002D56D2"/>
    <w:rsid w:val="002D57D3"/>
    <w:rsid w:val="002D5912"/>
    <w:rsid w:val="002D5AC9"/>
    <w:rsid w:val="002D5B37"/>
    <w:rsid w:val="002D5C18"/>
    <w:rsid w:val="002D5C90"/>
    <w:rsid w:val="002D5F18"/>
    <w:rsid w:val="002D6078"/>
    <w:rsid w:val="002D6564"/>
    <w:rsid w:val="002D66D5"/>
    <w:rsid w:val="002D6794"/>
    <w:rsid w:val="002D68F6"/>
    <w:rsid w:val="002D696B"/>
    <w:rsid w:val="002D6B34"/>
    <w:rsid w:val="002D6CC6"/>
    <w:rsid w:val="002D6EAC"/>
    <w:rsid w:val="002D7071"/>
    <w:rsid w:val="002D7218"/>
    <w:rsid w:val="002D726E"/>
    <w:rsid w:val="002D7590"/>
    <w:rsid w:val="002D7637"/>
    <w:rsid w:val="002D78BF"/>
    <w:rsid w:val="002D7A98"/>
    <w:rsid w:val="002D7AEA"/>
    <w:rsid w:val="002D7CCF"/>
    <w:rsid w:val="002D7D0A"/>
    <w:rsid w:val="002D7D8F"/>
    <w:rsid w:val="002D7DA6"/>
    <w:rsid w:val="002E02B2"/>
    <w:rsid w:val="002E08BB"/>
    <w:rsid w:val="002E0F18"/>
    <w:rsid w:val="002E0FB5"/>
    <w:rsid w:val="002E141A"/>
    <w:rsid w:val="002E1507"/>
    <w:rsid w:val="002E17C9"/>
    <w:rsid w:val="002E17F2"/>
    <w:rsid w:val="002E1A8B"/>
    <w:rsid w:val="002E1AEB"/>
    <w:rsid w:val="002E1FAC"/>
    <w:rsid w:val="002E2054"/>
    <w:rsid w:val="002E2180"/>
    <w:rsid w:val="002E21D4"/>
    <w:rsid w:val="002E2645"/>
    <w:rsid w:val="002E2BA3"/>
    <w:rsid w:val="002E2E68"/>
    <w:rsid w:val="002E2F1B"/>
    <w:rsid w:val="002E2F95"/>
    <w:rsid w:val="002E3408"/>
    <w:rsid w:val="002E34A3"/>
    <w:rsid w:val="002E34D2"/>
    <w:rsid w:val="002E36E9"/>
    <w:rsid w:val="002E3AD6"/>
    <w:rsid w:val="002E3C45"/>
    <w:rsid w:val="002E3D12"/>
    <w:rsid w:val="002E3D8F"/>
    <w:rsid w:val="002E3DEF"/>
    <w:rsid w:val="002E3FDF"/>
    <w:rsid w:val="002E409D"/>
    <w:rsid w:val="002E4115"/>
    <w:rsid w:val="002E43B7"/>
    <w:rsid w:val="002E4406"/>
    <w:rsid w:val="002E45C7"/>
    <w:rsid w:val="002E479C"/>
    <w:rsid w:val="002E4A5E"/>
    <w:rsid w:val="002E4A89"/>
    <w:rsid w:val="002E4A93"/>
    <w:rsid w:val="002E4DC9"/>
    <w:rsid w:val="002E4E53"/>
    <w:rsid w:val="002E5195"/>
    <w:rsid w:val="002E5298"/>
    <w:rsid w:val="002E530D"/>
    <w:rsid w:val="002E5408"/>
    <w:rsid w:val="002E5508"/>
    <w:rsid w:val="002E559E"/>
    <w:rsid w:val="002E55A5"/>
    <w:rsid w:val="002E571F"/>
    <w:rsid w:val="002E5888"/>
    <w:rsid w:val="002E5900"/>
    <w:rsid w:val="002E59ED"/>
    <w:rsid w:val="002E5A67"/>
    <w:rsid w:val="002E5D04"/>
    <w:rsid w:val="002E5E97"/>
    <w:rsid w:val="002E5EEF"/>
    <w:rsid w:val="002E5F9E"/>
    <w:rsid w:val="002E6135"/>
    <w:rsid w:val="002E62F9"/>
    <w:rsid w:val="002E6351"/>
    <w:rsid w:val="002E63B6"/>
    <w:rsid w:val="002E6724"/>
    <w:rsid w:val="002E67C4"/>
    <w:rsid w:val="002E6A20"/>
    <w:rsid w:val="002E6C3C"/>
    <w:rsid w:val="002E6EB0"/>
    <w:rsid w:val="002E6F76"/>
    <w:rsid w:val="002E7036"/>
    <w:rsid w:val="002E711D"/>
    <w:rsid w:val="002E721B"/>
    <w:rsid w:val="002E7336"/>
    <w:rsid w:val="002E735F"/>
    <w:rsid w:val="002E73D2"/>
    <w:rsid w:val="002E7486"/>
    <w:rsid w:val="002E77D5"/>
    <w:rsid w:val="002E79CB"/>
    <w:rsid w:val="002E7CAE"/>
    <w:rsid w:val="002E7E2C"/>
    <w:rsid w:val="002F011B"/>
    <w:rsid w:val="002F01BF"/>
    <w:rsid w:val="002F055A"/>
    <w:rsid w:val="002F0624"/>
    <w:rsid w:val="002F06E9"/>
    <w:rsid w:val="002F0B00"/>
    <w:rsid w:val="002F0E62"/>
    <w:rsid w:val="002F1168"/>
    <w:rsid w:val="002F11AE"/>
    <w:rsid w:val="002F1236"/>
    <w:rsid w:val="002F132E"/>
    <w:rsid w:val="002F1742"/>
    <w:rsid w:val="002F1A3A"/>
    <w:rsid w:val="002F1BC9"/>
    <w:rsid w:val="002F1DC4"/>
    <w:rsid w:val="002F1F68"/>
    <w:rsid w:val="002F206E"/>
    <w:rsid w:val="002F207A"/>
    <w:rsid w:val="002F21B7"/>
    <w:rsid w:val="002F22B4"/>
    <w:rsid w:val="002F231C"/>
    <w:rsid w:val="002F23ED"/>
    <w:rsid w:val="002F248F"/>
    <w:rsid w:val="002F2771"/>
    <w:rsid w:val="002F2857"/>
    <w:rsid w:val="002F2864"/>
    <w:rsid w:val="002F28BA"/>
    <w:rsid w:val="002F29D5"/>
    <w:rsid w:val="002F2EE1"/>
    <w:rsid w:val="002F2F4E"/>
    <w:rsid w:val="002F2F61"/>
    <w:rsid w:val="002F30C4"/>
    <w:rsid w:val="002F31F3"/>
    <w:rsid w:val="002F3596"/>
    <w:rsid w:val="002F36BB"/>
    <w:rsid w:val="002F37A9"/>
    <w:rsid w:val="002F3814"/>
    <w:rsid w:val="002F3979"/>
    <w:rsid w:val="002F3CA7"/>
    <w:rsid w:val="002F3DE6"/>
    <w:rsid w:val="002F3EBB"/>
    <w:rsid w:val="002F431D"/>
    <w:rsid w:val="002F435E"/>
    <w:rsid w:val="002F48EE"/>
    <w:rsid w:val="002F4ACA"/>
    <w:rsid w:val="002F4D5D"/>
    <w:rsid w:val="002F4EF0"/>
    <w:rsid w:val="002F524E"/>
    <w:rsid w:val="002F5444"/>
    <w:rsid w:val="002F5445"/>
    <w:rsid w:val="002F5651"/>
    <w:rsid w:val="002F5701"/>
    <w:rsid w:val="002F5999"/>
    <w:rsid w:val="002F5BE8"/>
    <w:rsid w:val="002F5FF3"/>
    <w:rsid w:val="002F60B4"/>
    <w:rsid w:val="002F6140"/>
    <w:rsid w:val="002F62DC"/>
    <w:rsid w:val="002F67A7"/>
    <w:rsid w:val="002F6B6F"/>
    <w:rsid w:val="002F6F66"/>
    <w:rsid w:val="002F79AE"/>
    <w:rsid w:val="002F7AD7"/>
    <w:rsid w:val="002F7DD6"/>
    <w:rsid w:val="00300205"/>
    <w:rsid w:val="003002A8"/>
    <w:rsid w:val="00300794"/>
    <w:rsid w:val="003008FC"/>
    <w:rsid w:val="0030093C"/>
    <w:rsid w:val="00300C42"/>
    <w:rsid w:val="00300D86"/>
    <w:rsid w:val="00300DEF"/>
    <w:rsid w:val="00301015"/>
    <w:rsid w:val="003011E1"/>
    <w:rsid w:val="00301259"/>
    <w:rsid w:val="0030169D"/>
    <w:rsid w:val="00301B57"/>
    <w:rsid w:val="00301CE6"/>
    <w:rsid w:val="00301CF6"/>
    <w:rsid w:val="00301DCD"/>
    <w:rsid w:val="00301DFD"/>
    <w:rsid w:val="0030211B"/>
    <w:rsid w:val="003022CC"/>
    <w:rsid w:val="0030256B"/>
    <w:rsid w:val="00302638"/>
    <w:rsid w:val="003026AA"/>
    <w:rsid w:val="003028E2"/>
    <w:rsid w:val="00302959"/>
    <w:rsid w:val="003029FB"/>
    <w:rsid w:val="00302A36"/>
    <w:rsid w:val="00302AF4"/>
    <w:rsid w:val="00302B9F"/>
    <w:rsid w:val="00302BA3"/>
    <w:rsid w:val="00302DA9"/>
    <w:rsid w:val="00302EBE"/>
    <w:rsid w:val="00302F65"/>
    <w:rsid w:val="0030305B"/>
    <w:rsid w:val="0030334C"/>
    <w:rsid w:val="00303353"/>
    <w:rsid w:val="00303551"/>
    <w:rsid w:val="00303704"/>
    <w:rsid w:val="00303740"/>
    <w:rsid w:val="003039C9"/>
    <w:rsid w:val="00303A93"/>
    <w:rsid w:val="00303B61"/>
    <w:rsid w:val="00303CAD"/>
    <w:rsid w:val="0030474F"/>
    <w:rsid w:val="003047D6"/>
    <w:rsid w:val="00304957"/>
    <w:rsid w:val="00304A49"/>
    <w:rsid w:val="00304A53"/>
    <w:rsid w:val="0030501F"/>
    <w:rsid w:val="003051C0"/>
    <w:rsid w:val="003051DB"/>
    <w:rsid w:val="0030561B"/>
    <w:rsid w:val="0030569A"/>
    <w:rsid w:val="003056DE"/>
    <w:rsid w:val="00305864"/>
    <w:rsid w:val="00305BD4"/>
    <w:rsid w:val="00305EF9"/>
    <w:rsid w:val="00305EFC"/>
    <w:rsid w:val="00305F7A"/>
    <w:rsid w:val="00305FEC"/>
    <w:rsid w:val="00306013"/>
    <w:rsid w:val="003063C5"/>
    <w:rsid w:val="0030648C"/>
    <w:rsid w:val="003068D6"/>
    <w:rsid w:val="00306980"/>
    <w:rsid w:val="00306A4F"/>
    <w:rsid w:val="00306B9F"/>
    <w:rsid w:val="00306BC2"/>
    <w:rsid w:val="00306DC1"/>
    <w:rsid w:val="00306DE7"/>
    <w:rsid w:val="00306F0D"/>
    <w:rsid w:val="00306F79"/>
    <w:rsid w:val="003071C9"/>
    <w:rsid w:val="00307384"/>
    <w:rsid w:val="003074CA"/>
    <w:rsid w:val="00307502"/>
    <w:rsid w:val="0030769E"/>
    <w:rsid w:val="00307735"/>
    <w:rsid w:val="003077D3"/>
    <w:rsid w:val="003079DB"/>
    <w:rsid w:val="00307A0B"/>
    <w:rsid w:val="00307BA1"/>
    <w:rsid w:val="00307FD2"/>
    <w:rsid w:val="003101B3"/>
    <w:rsid w:val="003101F6"/>
    <w:rsid w:val="00310317"/>
    <w:rsid w:val="003108CB"/>
    <w:rsid w:val="00310AA0"/>
    <w:rsid w:val="00310B2D"/>
    <w:rsid w:val="00310FEA"/>
    <w:rsid w:val="00311280"/>
    <w:rsid w:val="003112C0"/>
    <w:rsid w:val="0031134A"/>
    <w:rsid w:val="003113A4"/>
    <w:rsid w:val="00311702"/>
    <w:rsid w:val="00311A00"/>
    <w:rsid w:val="00311C48"/>
    <w:rsid w:val="00311D69"/>
    <w:rsid w:val="00311E82"/>
    <w:rsid w:val="00311F80"/>
    <w:rsid w:val="00311FE8"/>
    <w:rsid w:val="003124A7"/>
    <w:rsid w:val="003126A1"/>
    <w:rsid w:val="00312748"/>
    <w:rsid w:val="0031288B"/>
    <w:rsid w:val="003129B3"/>
    <w:rsid w:val="00312D00"/>
    <w:rsid w:val="00313040"/>
    <w:rsid w:val="003131A8"/>
    <w:rsid w:val="003134A5"/>
    <w:rsid w:val="0031359F"/>
    <w:rsid w:val="0031374E"/>
    <w:rsid w:val="00313922"/>
    <w:rsid w:val="00313EB0"/>
    <w:rsid w:val="00313F30"/>
    <w:rsid w:val="00313FD6"/>
    <w:rsid w:val="003140C9"/>
    <w:rsid w:val="003141A8"/>
    <w:rsid w:val="00314215"/>
    <w:rsid w:val="003143BD"/>
    <w:rsid w:val="0031459B"/>
    <w:rsid w:val="00314958"/>
    <w:rsid w:val="003149AB"/>
    <w:rsid w:val="00314AA4"/>
    <w:rsid w:val="00314B75"/>
    <w:rsid w:val="00314D80"/>
    <w:rsid w:val="00314E74"/>
    <w:rsid w:val="003152CA"/>
    <w:rsid w:val="00315363"/>
    <w:rsid w:val="00315411"/>
    <w:rsid w:val="003154B9"/>
    <w:rsid w:val="0031558E"/>
    <w:rsid w:val="0031581C"/>
    <w:rsid w:val="0031594E"/>
    <w:rsid w:val="00315CBB"/>
    <w:rsid w:val="00315D77"/>
    <w:rsid w:val="00315DA7"/>
    <w:rsid w:val="00316000"/>
    <w:rsid w:val="00316113"/>
    <w:rsid w:val="00316293"/>
    <w:rsid w:val="0031674C"/>
    <w:rsid w:val="00316852"/>
    <w:rsid w:val="00316863"/>
    <w:rsid w:val="0031686A"/>
    <w:rsid w:val="00316AC6"/>
    <w:rsid w:val="00316E42"/>
    <w:rsid w:val="003170A9"/>
    <w:rsid w:val="00317256"/>
    <w:rsid w:val="003175C2"/>
    <w:rsid w:val="003175DC"/>
    <w:rsid w:val="00317A33"/>
    <w:rsid w:val="00317B94"/>
    <w:rsid w:val="00317B96"/>
    <w:rsid w:val="00317DFA"/>
    <w:rsid w:val="00317FF4"/>
    <w:rsid w:val="00320050"/>
    <w:rsid w:val="00320062"/>
    <w:rsid w:val="0032007D"/>
    <w:rsid w:val="00320096"/>
    <w:rsid w:val="0032016F"/>
    <w:rsid w:val="003203ED"/>
    <w:rsid w:val="003204D3"/>
    <w:rsid w:val="00320804"/>
    <w:rsid w:val="003208E4"/>
    <w:rsid w:val="00320C3D"/>
    <w:rsid w:val="00320D91"/>
    <w:rsid w:val="00321217"/>
    <w:rsid w:val="003213A0"/>
    <w:rsid w:val="003214F9"/>
    <w:rsid w:val="00321576"/>
    <w:rsid w:val="003215B3"/>
    <w:rsid w:val="003216C2"/>
    <w:rsid w:val="003217C5"/>
    <w:rsid w:val="003217F2"/>
    <w:rsid w:val="0032184F"/>
    <w:rsid w:val="00321A03"/>
    <w:rsid w:val="00321BB3"/>
    <w:rsid w:val="00321C16"/>
    <w:rsid w:val="00321C5A"/>
    <w:rsid w:val="00321DBF"/>
    <w:rsid w:val="00321DE4"/>
    <w:rsid w:val="00321EA0"/>
    <w:rsid w:val="003220D9"/>
    <w:rsid w:val="00322311"/>
    <w:rsid w:val="00322428"/>
    <w:rsid w:val="00322635"/>
    <w:rsid w:val="003226FA"/>
    <w:rsid w:val="00322C9F"/>
    <w:rsid w:val="00322D61"/>
    <w:rsid w:val="00322E06"/>
    <w:rsid w:val="00322E45"/>
    <w:rsid w:val="00322E63"/>
    <w:rsid w:val="00322F16"/>
    <w:rsid w:val="0032324F"/>
    <w:rsid w:val="00323254"/>
    <w:rsid w:val="003234B2"/>
    <w:rsid w:val="003234E8"/>
    <w:rsid w:val="0032355F"/>
    <w:rsid w:val="0032360B"/>
    <w:rsid w:val="00323704"/>
    <w:rsid w:val="0032386F"/>
    <w:rsid w:val="00323C8B"/>
    <w:rsid w:val="00323D87"/>
    <w:rsid w:val="003240C4"/>
    <w:rsid w:val="003240C6"/>
    <w:rsid w:val="003244E2"/>
    <w:rsid w:val="00324626"/>
    <w:rsid w:val="0032489D"/>
    <w:rsid w:val="003249C1"/>
    <w:rsid w:val="00324ADA"/>
    <w:rsid w:val="00324CC2"/>
    <w:rsid w:val="00324D23"/>
    <w:rsid w:val="00324DF2"/>
    <w:rsid w:val="00324EB9"/>
    <w:rsid w:val="00324F29"/>
    <w:rsid w:val="003252D4"/>
    <w:rsid w:val="0032554F"/>
    <w:rsid w:val="003255AE"/>
    <w:rsid w:val="003257D3"/>
    <w:rsid w:val="0032584F"/>
    <w:rsid w:val="00325CCB"/>
    <w:rsid w:val="00325E6C"/>
    <w:rsid w:val="00325E6F"/>
    <w:rsid w:val="0032606A"/>
    <w:rsid w:val="00326917"/>
    <w:rsid w:val="00326951"/>
    <w:rsid w:val="00326AF6"/>
    <w:rsid w:val="00326C25"/>
    <w:rsid w:val="00326D79"/>
    <w:rsid w:val="0032708E"/>
    <w:rsid w:val="0032775F"/>
    <w:rsid w:val="00327873"/>
    <w:rsid w:val="003279C5"/>
    <w:rsid w:val="00327A54"/>
    <w:rsid w:val="00327A7D"/>
    <w:rsid w:val="00327E2B"/>
    <w:rsid w:val="00327E5B"/>
    <w:rsid w:val="00327ED6"/>
    <w:rsid w:val="00327F1D"/>
    <w:rsid w:val="003302CB"/>
    <w:rsid w:val="0033064A"/>
    <w:rsid w:val="003306B4"/>
    <w:rsid w:val="003309A2"/>
    <w:rsid w:val="00331002"/>
    <w:rsid w:val="00331115"/>
    <w:rsid w:val="00331325"/>
    <w:rsid w:val="003313F8"/>
    <w:rsid w:val="00331458"/>
    <w:rsid w:val="00331495"/>
    <w:rsid w:val="00331666"/>
    <w:rsid w:val="003316D7"/>
    <w:rsid w:val="00331751"/>
    <w:rsid w:val="003318A5"/>
    <w:rsid w:val="003319D5"/>
    <w:rsid w:val="00331C0A"/>
    <w:rsid w:val="00331C98"/>
    <w:rsid w:val="00331F37"/>
    <w:rsid w:val="003324CE"/>
    <w:rsid w:val="0033259C"/>
    <w:rsid w:val="003326E4"/>
    <w:rsid w:val="00332775"/>
    <w:rsid w:val="003327FE"/>
    <w:rsid w:val="00332865"/>
    <w:rsid w:val="00332CE5"/>
    <w:rsid w:val="003333EF"/>
    <w:rsid w:val="003334BF"/>
    <w:rsid w:val="003334EB"/>
    <w:rsid w:val="0033361D"/>
    <w:rsid w:val="003337AB"/>
    <w:rsid w:val="00333925"/>
    <w:rsid w:val="00333A69"/>
    <w:rsid w:val="00333AA1"/>
    <w:rsid w:val="00333D77"/>
    <w:rsid w:val="00334421"/>
    <w:rsid w:val="00334433"/>
    <w:rsid w:val="00334579"/>
    <w:rsid w:val="00334A63"/>
    <w:rsid w:val="00334B86"/>
    <w:rsid w:val="00334C29"/>
    <w:rsid w:val="00334DC8"/>
    <w:rsid w:val="00334E63"/>
    <w:rsid w:val="00335094"/>
    <w:rsid w:val="00335410"/>
    <w:rsid w:val="0033543A"/>
    <w:rsid w:val="00335484"/>
    <w:rsid w:val="00335554"/>
    <w:rsid w:val="0033574B"/>
    <w:rsid w:val="00335858"/>
    <w:rsid w:val="00335D76"/>
    <w:rsid w:val="00335DDC"/>
    <w:rsid w:val="00335E26"/>
    <w:rsid w:val="00335F5F"/>
    <w:rsid w:val="00335FB5"/>
    <w:rsid w:val="00336087"/>
    <w:rsid w:val="003363FD"/>
    <w:rsid w:val="003365D2"/>
    <w:rsid w:val="00336883"/>
    <w:rsid w:val="00336BDA"/>
    <w:rsid w:val="00336CC2"/>
    <w:rsid w:val="00336E56"/>
    <w:rsid w:val="00336EAB"/>
    <w:rsid w:val="00337373"/>
    <w:rsid w:val="00337478"/>
    <w:rsid w:val="003374DC"/>
    <w:rsid w:val="00337775"/>
    <w:rsid w:val="00337778"/>
    <w:rsid w:val="003377A8"/>
    <w:rsid w:val="003378A8"/>
    <w:rsid w:val="00337A38"/>
    <w:rsid w:val="00337C3E"/>
    <w:rsid w:val="00337D21"/>
    <w:rsid w:val="00337DE6"/>
    <w:rsid w:val="00337F3F"/>
    <w:rsid w:val="00340014"/>
    <w:rsid w:val="00340103"/>
    <w:rsid w:val="00340174"/>
    <w:rsid w:val="00340347"/>
    <w:rsid w:val="0034037F"/>
    <w:rsid w:val="00340575"/>
    <w:rsid w:val="003405D1"/>
    <w:rsid w:val="0034076A"/>
    <w:rsid w:val="00340833"/>
    <w:rsid w:val="0034088C"/>
    <w:rsid w:val="00340BE6"/>
    <w:rsid w:val="00340E85"/>
    <w:rsid w:val="00341265"/>
    <w:rsid w:val="00341377"/>
    <w:rsid w:val="003415DF"/>
    <w:rsid w:val="0034172D"/>
    <w:rsid w:val="003418B9"/>
    <w:rsid w:val="00341B65"/>
    <w:rsid w:val="00341B98"/>
    <w:rsid w:val="00341C96"/>
    <w:rsid w:val="00341DA3"/>
    <w:rsid w:val="00341E6A"/>
    <w:rsid w:val="00341EE1"/>
    <w:rsid w:val="00341FB4"/>
    <w:rsid w:val="003424F4"/>
    <w:rsid w:val="003426DF"/>
    <w:rsid w:val="00342828"/>
    <w:rsid w:val="003429D8"/>
    <w:rsid w:val="00342AFE"/>
    <w:rsid w:val="00342B91"/>
    <w:rsid w:val="00342BD7"/>
    <w:rsid w:val="00342CEB"/>
    <w:rsid w:val="00342D27"/>
    <w:rsid w:val="00342F06"/>
    <w:rsid w:val="00343346"/>
    <w:rsid w:val="00343814"/>
    <w:rsid w:val="003438B7"/>
    <w:rsid w:val="00343CEC"/>
    <w:rsid w:val="00344522"/>
    <w:rsid w:val="00344762"/>
    <w:rsid w:val="00344A0A"/>
    <w:rsid w:val="00344DE9"/>
    <w:rsid w:val="00344EC1"/>
    <w:rsid w:val="00345062"/>
    <w:rsid w:val="00345070"/>
    <w:rsid w:val="003453D5"/>
    <w:rsid w:val="0034560B"/>
    <w:rsid w:val="003456CC"/>
    <w:rsid w:val="003458AF"/>
    <w:rsid w:val="00345924"/>
    <w:rsid w:val="00345981"/>
    <w:rsid w:val="00345BE5"/>
    <w:rsid w:val="00345CC4"/>
    <w:rsid w:val="00346221"/>
    <w:rsid w:val="00346424"/>
    <w:rsid w:val="00346976"/>
    <w:rsid w:val="00346DB5"/>
    <w:rsid w:val="00346F67"/>
    <w:rsid w:val="003470D6"/>
    <w:rsid w:val="003470E8"/>
    <w:rsid w:val="00347104"/>
    <w:rsid w:val="00347617"/>
    <w:rsid w:val="00347683"/>
    <w:rsid w:val="003476CC"/>
    <w:rsid w:val="0034778D"/>
    <w:rsid w:val="003477B1"/>
    <w:rsid w:val="0034787A"/>
    <w:rsid w:val="003478F9"/>
    <w:rsid w:val="00347AE6"/>
    <w:rsid w:val="00347C7C"/>
    <w:rsid w:val="00347DC3"/>
    <w:rsid w:val="00347EE6"/>
    <w:rsid w:val="00347FE0"/>
    <w:rsid w:val="00350144"/>
    <w:rsid w:val="003501D4"/>
    <w:rsid w:val="0035031F"/>
    <w:rsid w:val="00350936"/>
    <w:rsid w:val="00350AAE"/>
    <w:rsid w:val="00350AEC"/>
    <w:rsid w:val="00350B33"/>
    <w:rsid w:val="00350C15"/>
    <w:rsid w:val="00350E26"/>
    <w:rsid w:val="00350EA0"/>
    <w:rsid w:val="00350F24"/>
    <w:rsid w:val="00350FC3"/>
    <w:rsid w:val="00351104"/>
    <w:rsid w:val="00351170"/>
    <w:rsid w:val="003511D5"/>
    <w:rsid w:val="0035129C"/>
    <w:rsid w:val="00351800"/>
    <w:rsid w:val="00352422"/>
    <w:rsid w:val="0035246F"/>
    <w:rsid w:val="0035282C"/>
    <w:rsid w:val="00352B6C"/>
    <w:rsid w:val="00352C87"/>
    <w:rsid w:val="00352F97"/>
    <w:rsid w:val="00352FA3"/>
    <w:rsid w:val="003531A4"/>
    <w:rsid w:val="003531A7"/>
    <w:rsid w:val="00353495"/>
    <w:rsid w:val="003537B5"/>
    <w:rsid w:val="00353B08"/>
    <w:rsid w:val="00353D97"/>
    <w:rsid w:val="00353FA4"/>
    <w:rsid w:val="00353FBA"/>
    <w:rsid w:val="00354085"/>
    <w:rsid w:val="0035415D"/>
    <w:rsid w:val="003542F3"/>
    <w:rsid w:val="003546FE"/>
    <w:rsid w:val="00354B31"/>
    <w:rsid w:val="00354EC7"/>
    <w:rsid w:val="00354F51"/>
    <w:rsid w:val="003551AC"/>
    <w:rsid w:val="0035529B"/>
    <w:rsid w:val="003552AA"/>
    <w:rsid w:val="003553F6"/>
    <w:rsid w:val="003554DD"/>
    <w:rsid w:val="0035560F"/>
    <w:rsid w:val="003557CA"/>
    <w:rsid w:val="0035588E"/>
    <w:rsid w:val="003558E8"/>
    <w:rsid w:val="00355B88"/>
    <w:rsid w:val="00355E2D"/>
    <w:rsid w:val="00356103"/>
    <w:rsid w:val="00356160"/>
    <w:rsid w:val="003562B1"/>
    <w:rsid w:val="0035675A"/>
    <w:rsid w:val="003567DA"/>
    <w:rsid w:val="0035689E"/>
    <w:rsid w:val="0035692A"/>
    <w:rsid w:val="00356948"/>
    <w:rsid w:val="00356964"/>
    <w:rsid w:val="0035698B"/>
    <w:rsid w:val="00356A85"/>
    <w:rsid w:val="00356B47"/>
    <w:rsid w:val="00356CEC"/>
    <w:rsid w:val="00356F4E"/>
    <w:rsid w:val="00357380"/>
    <w:rsid w:val="00357396"/>
    <w:rsid w:val="00357833"/>
    <w:rsid w:val="00357C0B"/>
    <w:rsid w:val="00357C13"/>
    <w:rsid w:val="00357C92"/>
    <w:rsid w:val="00357DE1"/>
    <w:rsid w:val="00360256"/>
    <w:rsid w:val="003602C9"/>
    <w:rsid w:val="003602D9"/>
    <w:rsid w:val="003604CE"/>
    <w:rsid w:val="00360528"/>
    <w:rsid w:val="00360599"/>
    <w:rsid w:val="003605CA"/>
    <w:rsid w:val="003605F8"/>
    <w:rsid w:val="00360698"/>
    <w:rsid w:val="0036078A"/>
    <w:rsid w:val="00360810"/>
    <w:rsid w:val="003608A7"/>
    <w:rsid w:val="0036094E"/>
    <w:rsid w:val="00360BB7"/>
    <w:rsid w:val="00360C6C"/>
    <w:rsid w:val="003611DD"/>
    <w:rsid w:val="003611FF"/>
    <w:rsid w:val="003612F4"/>
    <w:rsid w:val="003613B1"/>
    <w:rsid w:val="003618DD"/>
    <w:rsid w:val="00361A5E"/>
    <w:rsid w:val="00361ADF"/>
    <w:rsid w:val="00361D1E"/>
    <w:rsid w:val="00361D75"/>
    <w:rsid w:val="00361DBF"/>
    <w:rsid w:val="0036206E"/>
    <w:rsid w:val="0036250F"/>
    <w:rsid w:val="00362752"/>
    <w:rsid w:val="00362C1E"/>
    <w:rsid w:val="00362F09"/>
    <w:rsid w:val="00362FB2"/>
    <w:rsid w:val="003630A4"/>
    <w:rsid w:val="0036335F"/>
    <w:rsid w:val="0036352A"/>
    <w:rsid w:val="00363552"/>
    <w:rsid w:val="0036364D"/>
    <w:rsid w:val="003637A5"/>
    <w:rsid w:val="003637D8"/>
    <w:rsid w:val="00363A13"/>
    <w:rsid w:val="00363B9A"/>
    <w:rsid w:val="00363CC4"/>
    <w:rsid w:val="00363D30"/>
    <w:rsid w:val="00363EA7"/>
    <w:rsid w:val="00363F8C"/>
    <w:rsid w:val="003641B4"/>
    <w:rsid w:val="003643D4"/>
    <w:rsid w:val="00364605"/>
    <w:rsid w:val="003646F4"/>
    <w:rsid w:val="00364BB0"/>
    <w:rsid w:val="00364EF9"/>
    <w:rsid w:val="00364F42"/>
    <w:rsid w:val="00364F9A"/>
    <w:rsid w:val="0036532A"/>
    <w:rsid w:val="003653E0"/>
    <w:rsid w:val="0036544F"/>
    <w:rsid w:val="00365680"/>
    <w:rsid w:val="00365696"/>
    <w:rsid w:val="003658CF"/>
    <w:rsid w:val="00365A2B"/>
    <w:rsid w:val="00365B4D"/>
    <w:rsid w:val="00365B95"/>
    <w:rsid w:val="00365D01"/>
    <w:rsid w:val="00365DFB"/>
    <w:rsid w:val="00365EC1"/>
    <w:rsid w:val="00366144"/>
    <w:rsid w:val="003663CC"/>
    <w:rsid w:val="003663F4"/>
    <w:rsid w:val="00366598"/>
    <w:rsid w:val="003665BB"/>
    <w:rsid w:val="00366887"/>
    <w:rsid w:val="00366A06"/>
    <w:rsid w:val="00366D21"/>
    <w:rsid w:val="00366EB4"/>
    <w:rsid w:val="00366FE5"/>
    <w:rsid w:val="00367130"/>
    <w:rsid w:val="0036714A"/>
    <w:rsid w:val="00367303"/>
    <w:rsid w:val="0036744A"/>
    <w:rsid w:val="00367536"/>
    <w:rsid w:val="0036774D"/>
    <w:rsid w:val="00367A5D"/>
    <w:rsid w:val="00367B0D"/>
    <w:rsid w:val="00367BDB"/>
    <w:rsid w:val="00367C65"/>
    <w:rsid w:val="00367F75"/>
    <w:rsid w:val="00370065"/>
    <w:rsid w:val="00370068"/>
    <w:rsid w:val="0037006E"/>
    <w:rsid w:val="00370399"/>
    <w:rsid w:val="0037048F"/>
    <w:rsid w:val="003704EA"/>
    <w:rsid w:val="00370767"/>
    <w:rsid w:val="00370A63"/>
    <w:rsid w:val="00370BF1"/>
    <w:rsid w:val="00370D6F"/>
    <w:rsid w:val="00370E47"/>
    <w:rsid w:val="00371378"/>
    <w:rsid w:val="003713EC"/>
    <w:rsid w:val="0037183E"/>
    <w:rsid w:val="003718C5"/>
    <w:rsid w:val="00371A90"/>
    <w:rsid w:val="00371EC0"/>
    <w:rsid w:val="0037209C"/>
    <w:rsid w:val="003720CA"/>
    <w:rsid w:val="003723B7"/>
    <w:rsid w:val="003728F7"/>
    <w:rsid w:val="0037298B"/>
    <w:rsid w:val="00372BA2"/>
    <w:rsid w:val="00372D01"/>
    <w:rsid w:val="00372F97"/>
    <w:rsid w:val="0037333A"/>
    <w:rsid w:val="00373428"/>
    <w:rsid w:val="00373430"/>
    <w:rsid w:val="0037365E"/>
    <w:rsid w:val="00373705"/>
    <w:rsid w:val="003737A7"/>
    <w:rsid w:val="00373C0E"/>
    <w:rsid w:val="00373E53"/>
    <w:rsid w:val="00373E9B"/>
    <w:rsid w:val="00374034"/>
    <w:rsid w:val="00374161"/>
    <w:rsid w:val="003742AC"/>
    <w:rsid w:val="00374389"/>
    <w:rsid w:val="00374522"/>
    <w:rsid w:val="003746AA"/>
    <w:rsid w:val="003749B1"/>
    <w:rsid w:val="00374B12"/>
    <w:rsid w:val="00374BC4"/>
    <w:rsid w:val="00374E34"/>
    <w:rsid w:val="00375193"/>
    <w:rsid w:val="00375736"/>
    <w:rsid w:val="003758BA"/>
    <w:rsid w:val="003758CB"/>
    <w:rsid w:val="0037590B"/>
    <w:rsid w:val="00375910"/>
    <w:rsid w:val="003759A0"/>
    <w:rsid w:val="00375CE8"/>
    <w:rsid w:val="00375E9E"/>
    <w:rsid w:val="00375FD3"/>
    <w:rsid w:val="0037616E"/>
    <w:rsid w:val="0037656D"/>
    <w:rsid w:val="00376843"/>
    <w:rsid w:val="00376846"/>
    <w:rsid w:val="00376B76"/>
    <w:rsid w:val="00376BEA"/>
    <w:rsid w:val="00376C6A"/>
    <w:rsid w:val="00376F43"/>
    <w:rsid w:val="003770E2"/>
    <w:rsid w:val="00377372"/>
    <w:rsid w:val="0037773B"/>
    <w:rsid w:val="003777D2"/>
    <w:rsid w:val="00377C6C"/>
    <w:rsid w:val="00377CE1"/>
    <w:rsid w:val="00377D22"/>
    <w:rsid w:val="00377E7C"/>
    <w:rsid w:val="003802FC"/>
    <w:rsid w:val="00380314"/>
    <w:rsid w:val="00380341"/>
    <w:rsid w:val="00380409"/>
    <w:rsid w:val="00380782"/>
    <w:rsid w:val="0038084F"/>
    <w:rsid w:val="0038088B"/>
    <w:rsid w:val="00380EE5"/>
    <w:rsid w:val="00380F15"/>
    <w:rsid w:val="00380F93"/>
    <w:rsid w:val="00381020"/>
    <w:rsid w:val="003811DF"/>
    <w:rsid w:val="003813AD"/>
    <w:rsid w:val="003814E3"/>
    <w:rsid w:val="003814F5"/>
    <w:rsid w:val="00381505"/>
    <w:rsid w:val="0038156E"/>
    <w:rsid w:val="003819C2"/>
    <w:rsid w:val="00381A60"/>
    <w:rsid w:val="00381AEA"/>
    <w:rsid w:val="00381B77"/>
    <w:rsid w:val="00381BA9"/>
    <w:rsid w:val="00381BBA"/>
    <w:rsid w:val="00381FEB"/>
    <w:rsid w:val="00382028"/>
    <w:rsid w:val="003820CE"/>
    <w:rsid w:val="0038211B"/>
    <w:rsid w:val="00382386"/>
    <w:rsid w:val="00382929"/>
    <w:rsid w:val="003829DB"/>
    <w:rsid w:val="00382A23"/>
    <w:rsid w:val="00382A26"/>
    <w:rsid w:val="00382A32"/>
    <w:rsid w:val="00382C52"/>
    <w:rsid w:val="00382D16"/>
    <w:rsid w:val="00382E75"/>
    <w:rsid w:val="00382FA5"/>
    <w:rsid w:val="003831DE"/>
    <w:rsid w:val="00383257"/>
    <w:rsid w:val="003833CA"/>
    <w:rsid w:val="00383E62"/>
    <w:rsid w:val="00383FE7"/>
    <w:rsid w:val="00384020"/>
    <w:rsid w:val="0038419B"/>
    <w:rsid w:val="003843D9"/>
    <w:rsid w:val="00384413"/>
    <w:rsid w:val="003844A0"/>
    <w:rsid w:val="00384523"/>
    <w:rsid w:val="00384589"/>
    <w:rsid w:val="00384B1D"/>
    <w:rsid w:val="00384B9D"/>
    <w:rsid w:val="00384D77"/>
    <w:rsid w:val="00385286"/>
    <w:rsid w:val="0038529E"/>
    <w:rsid w:val="00385539"/>
    <w:rsid w:val="00385995"/>
    <w:rsid w:val="003859DE"/>
    <w:rsid w:val="00385B7B"/>
    <w:rsid w:val="00385BF0"/>
    <w:rsid w:val="00385D2C"/>
    <w:rsid w:val="00385D91"/>
    <w:rsid w:val="003861C7"/>
    <w:rsid w:val="0038625A"/>
    <w:rsid w:val="00386371"/>
    <w:rsid w:val="003864CB"/>
    <w:rsid w:val="00386628"/>
    <w:rsid w:val="0038686F"/>
    <w:rsid w:val="003868A5"/>
    <w:rsid w:val="00386A4A"/>
    <w:rsid w:val="00386BD4"/>
    <w:rsid w:val="00386C10"/>
    <w:rsid w:val="00386D33"/>
    <w:rsid w:val="00386EE7"/>
    <w:rsid w:val="00386FFB"/>
    <w:rsid w:val="00387050"/>
    <w:rsid w:val="00387222"/>
    <w:rsid w:val="00387507"/>
    <w:rsid w:val="0038762F"/>
    <w:rsid w:val="0038765B"/>
    <w:rsid w:val="00387697"/>
    <w:rsid w:val="0038775F"/>
    <w:rsid w:val="00387888"/>
    <w:rsid w:val="0038799A"/>
    <w:rsid w:val="003879B3"/>
    <w:rsid w:val="00387A0A"/>
    <w:rsid w:val="00387A8B"/>
    <w:rsid w:val="00387D17"/>
    <w:rsid w:val="00387DE8"/>
    <w:rsid w:val="00390075"/>
    <w:rsid w:val="003900BB"/>
    <w:rsid w:val="00390226"/>
    <w:rsid w:val="00390303"/>
    <w:rsid w:val="0039039D"/>
    <w:rsid w:val="0039057A"/>
    <w:rsid w:val="003908D9"/>
    <w:rsid w:val="00390A16"/>
    <w:rsid w:val="00390A79"/>
    <w:rsid w:val="00390AD8"/>
    <w:rsid w:val="00390C82"/>
    <w:rsid w:val="00390E41"/>
    <w:rsid w:val="00391322"/>
    <w:rsid w:val="00391505"/>
    <w:rsid w:val="00391509"/>
    <w:rsid w:val="00391536"/>
    <w:rsid w:val="00391960"/>
    <w:rsid w:val="00391CD4"/>
    <w:rsid w:val="00391D1E"/>
    <w:rsid w:val="00391E86"/>
    <w:rsid w:val="00391F80"/>
    <w:rsid w:val="00392009"/>
    <w:rsid w:val="003920C9"/>
    <w:rsid w:val="003921BB"/>
    <w:rsid w:val="003923C4"/>
    <w:rsid w:val="00392458"/>
    <w:rsid w:val="0039272B"/>
    <w:rsid w:val="003927FB"/>
    <w:rsid w:val="00392878"/>
    <w:rsid w:val="00392C0C"/>
    <w:rsid w:val="00392CAE"/>
    <w:rsid w:val="00392D7B"/>
    <w:rsid w:val="00393297"/>
    <w:rsid w:val="0039336E"/>
    <w:rsid w:val="003933F8"/>
    <w:rsid w:val="0039357C"/>
    <w:rsid w:val="00393999"/>
    <w:rsid w:val="003939FF"/>
    <w:rsid w:val="00393BD0"/>
    <w:rsid w:val="00393C12"/>
    <w:rsid w:val="0039418B"/>
    <w:rsid w:val="0039422D"/>
    <w:rsid w:val="00394268"/>
    <w:rsid w:val="0039428B"/>
    <w:rsid w:val="003942CF"/>
    <w:rsid w:val="003946F6"/>
    <w:rsid w:val="00394926"/>
    <w:rsid w:val="00394B9D"/>
    <w:rsid w:val="00394BED"/>
    <w:rsid w:val="00394C3E"/>
    <w:rsid w:val="00394E63"/>
    <w:rsid w:val="0039507A"/>
    <w:rsid w:val="00395203"/>
    <w:rsid w:val="00395214"/>
    <w:rsid w:val="0039567D"/>
    <w:rsid w:val="003957FB"/>
    <w:rsid w:val="0039593A"/>
    <w:rsid w:val="00395964"/>
    <w:rsid w:val="0039599A"/>
    <w:rsid w:val="00395C75"/>
    <w:rsid w:val="00395CAD"/>
    <w:rsid w:val="00395F44"/>
    <w:rsid w:val="00396217"/>
    <w:rsid w:val="0039632D"/>
    <w:rsid w:val="0039653E"/>
    <w:rsid w:val="00396753"/>
    <w:rsid w:val="00396BAB"/>
    <w:rsid w:val="00396DA9"/>
    <w:rsid w:val="00396DC1"/>
    <w:rsid w:val="003970FA"/>
    <w:rsid w:val="0039712C"/>
    <w:rsid w:val="003971F8"/>
    <w:rsid w:val="003972AD"/>
    <w:rsid w:val="0039734B"/>
    <w:rsid w:val="00397642"/>
    <w:rsid w:val="00397678"/>
    <w:rsid w:val="00397828"/>
    <w:rsid w:val="00397885"/>
    <w:rsid w:val="00397B8F"/>
    <w:rsid w:val="00397BA1"/>
    <w:rsid w:val="00397CA4"/>
    <w:rsid w:val="00397D02"/>
    <w:rsid w:val="00397E2C"/>
    <w:rsid w:val="00397E43"/>
    <w:rsid w:val="00397EDD"/>
    <w:rsid w:val="003A044C"/>
    <w:rsid w:val="003A087B"/>
    <w:rsid w:val="003A08BF"/>
    <w:rsid w:val="003A0B3E"/>
    <w:rsid w:val="003A0BA8"/>
    <w:rsid w:val="003A0D8E"/>
    <w:rsid w:val="003A0DB3"/>
    <w:rsid w:val="003A1423"/>
    <w:rsid w:val="003A174D"/>
    <w:rsid w:val="003A1932"/>
    <w:rsid w:val="003A1AC8"/>
    <w:rsid w:val="003A1BA5"/>
    <w:rsid w:val="003A214E"/>
    <w:rsid w:val="003A21F9"/>
    <w:rsid w:val="003A2208"/>
    <w:rsid w:val="003A2223"/>
    <w:rsid w:val="003A27EA"/>
    <w:rsid w:val="003A2A0F"/>
    <w:rsid w:val="003A2AEB"/>
    <w:rsid w:val="003A2B2A"/>
    <w:rsid w:val="003A2B63"/>
    <w:rsid w:val="003A2D9E"/>
    <w:rsid w:val="003A3076"/>
    <w:rsid w:val="003A30AF"/>
    <w:rsid w:val="003A3344"/>
    <w:rsid w:val="003A3487"/>
    <w:rsid w:val="003A35D2"/>
    <w:rsid w:val="003A3694"/>
    <w:rsid w:val="003A39B2"/>
    <w:rsid w:val="003A3A01"/>
    <w:rsid w:val="003A3A4D"/>
    <w:rsid w:val="003A3F0A"/>
    <w:rsid w:val="003A4121"/>
    <w:rsid w:val="003A42EF"/>
    <w:rsid w:val="003A44CF"/>
    <w:rsid w:val="003A45A1"/>
    <w:rsid w:val="003A45D0"/>
    <w:rsid w:val="003A466C"/>
    <w:rsid w:val="003A48B5"/>
    <w:rsid w:val="003A4A59"/>
    <w:rsid w:val="003A4C0F"/>
    <w:rsid w:val="003A4D09"/>
    <w:rsid w:val="003A4E9A"/>
    <w:rsid w:val="003A500A"/>
    <w:rsid w:val="003A512C"/>
    <w:rsid w:val="003A5272"/>
    <w:rsid w:val="003A5293"/>
    <w:rsid w:val="003A5318"/>
    <w:rsid w:val="003A560C"/>
    <w:rsid w:val="003A583A"/>
    <w:rsid w:val="003A5B0A"/>
    <w:rsid w:val="003A5BA3"/>
    <w:rsid w:val="003A5D3C"/>
    <w:rsid w:val="003A601B"/>
    <w:rsid w:val="003A6055"/>
    <w:rsid w:val="003A6073"/>
    <w:rsid w:val="003A60E3"/>
    <w:rsid w:val="003A61AE"/>
    <w:rsid w:val="003A6491"/>
    <w:rsid w:val="003A66B3"/>
    <w:rsid w:val="003A66BE"/>
    <w:rsid w:val="003A672F"/>
    <w:rsid w:val="003A6735"/>
    <w:rsid w:val="003A6987"/>
    <w:rsid w:val="003A69F2"/>
    <w:rsid w:val="003A6A91"/>
    <w:rsid w:val="003A6B75"/>
    <w:rsid w:val="003A6BAC"/>
    <w:rsid w:val="003A6D79"/>
    <w:rsid w:val="003A7092"/>
    <w:rsid w:val="003A70A4"/>
    <w:rsid w:val="003A70DB"/>
    <w:rsid w:val="003A71EE"/>
    <w:rsid w:val="003A7272"/>
    <w:rsid w:val="003A72C5"/>
    <w:rsid w:val="003A73CA"/>
    <w:rsid w:val="003A757F"/>
    <w:rsid w:val="003A7580"/>
    <w:rsid w:val="003A781A"/>
    <w:rsid w:val="003A78E2"/>
    <w:rsid w:val="003A7B9D"/>
    <w:rsid w:val="003A7C0F"/>
    <w:rsid w:val="003A7D3A"/>
    <w:rsid w:val="003A7D8E"/>
    <w:rsid w:val="003A7EF3"/>
    <w:rsid w:val="003A7F95"/>
    <w:rsid w:val="003A7FC5"/>
    <w:rsid w:val="003B00B1"/>
    <w:rsid w:val="003B0187"/>
    <w:rsid w:val="003B038D"/>
    <w:rsid w:val="003B038F"/>
    <w:rsid w:val="003B0761"/>
    <w:rsid w:val="003B0AE0"/>
    <w:rsid w:val="003B0D71"/>
    <w:rsid w:val="003B0DD9"/>
    <w:rsid w:val="003B0DFF"/>
    <w:rsid w:val="003B10AF"/>
    <w:rsid w:val="003B1159"/>
    <w:rsid w:val="003B127B"/>
    <w:rsid w:val="003B1318"/>
    <w:rsid w:val="003B1507"/>
    <w:rsid w:val="003B159C"/>
    <w:rsid w:val="003B19F4"/>
    <w:rsid w:val="003B1D57"/>
    <w:rsid w:val="003B2805"/>
    <w:rsid w:val="003B2F8D"/>
    <w:rsid w:val="003B301E"/>
    <w:rsid w:val="003B369F"/>
    <w:rsid w:val="003B36A3"/>
    <w:rsid w:val="003B3A18"/>
    <w:rsid w:val="003B3C75"/>
    <w:rsid w:val="003B3C9F"/>
    <w:rsid w:val="003B3D11"/>
    <w:rsid w:val="003B3D2D"/>
    <w:rsid w:val="003B3DB6"/>
    <w:rsid w:val="003B43C1"/>
    <w:rsid w:val="003B4726"/>
    <w:rsid w:val="003B4747"/>
    <w:rsid w:val="003B4849"/>
    <w:rsid w:val="003B4874"/>
    <w:rsid w:val="003B4A14"/>
    <w:rsid w:val="003B4C26"/>
    <w:rsid w:val="003B4F98"/>
    <w:rsid w:val="003B5180"/>
    <w:rsid w:val="003B521B"/>
    <w:rsid w:val="003B5288"/>
    <w:rsid w:val="003B5344"/>
    <w:rsid w:val="003B5895"/>
    <w:rsid w:val="003B5979"/>
    <w:rsid w:val="003B5A76"/>
    <w:rsid w:val="003B5D62"/>
    <w:rsid w:val="003B5DC1"/>
    <w:rsid w:val="003B5E68"/>
    <w:rsid w:val="003B624B"/>
    <w:rsid w:val="003B6414"/>
    <w:rsid w:val="003B64BB"/>
    <w:rsid w:val="003B660C"/>
    <w:rsid w:val="003B6960"/>
    <w:rsid w:val="003B6A5D"/>
    <w:rsid w:val="003B6D76"/>
    <w:rsid w:val="003B6E8F"/>
    <w:rsid w:val="003B6EAE"/>
    <w:rsid w:val="003B76D2"/>
    <w:rsid w:val="003B79AA"/>
    <w:rsid w:val="003B7C95"/>
    <w:rsid w:val="003B7DF3"/>
    <w:rsid w:val="003B7EAE"/>
    <w:rsid w:val="003B7FC9"/>
    <w:rsid w:val="003B7FE5"/>
    <w:rsid w:val="003C039E"/>
    <w:rsid w:val="003C06DC"/>
    <w:rsid w:val="003C094B"/>
    <w:rsid w:val="003C0ADF"/>
    <w:rsid w:val="003C0C5E"/>
    <w:rsid w:val="003C0DB0"/>
    <w:rsid w:val="003C0E9B"/>
    <w:rsid w:val="003C0FD5"/>
    <w:rsid w:val="003C1093"/>
    <w:rsid w:val="003C11C8"/>
    <w:rsid w:val="003C1244"/>
    <w:rsid w:val="003C13A9"/>
    <w:rsid w:val="003C1455"/>
    <w:rsid w:val="003C14B5"/>
    <w:rsid w:val="003C172F"/>
    <w:rsid w:val="003C18FA"/>
    <w:rsid w:val="003C1A79"/>
    <w:rsid w:val="003C222E"/>
    <w:rsid w:val="003C249D"/>
    <w:rsid w:val="003C24F2"/>
    <w:rsid w:val="003C253A"/>
    <w:rsid w:val="003C2702"/>
    <w:rsid w:val="003C2761"/>
    <w:rsid w:val="003C27FD"/>
    <w:rsid w:val="003C2836"/>
    <w:rsid w:val="003C28AF"/>
    <w:rsid w:val="003C2A33"/>
    <w:rsid w:val="003C2EB2"/>
    <w:rsid w:val="003C3791"/>
    <w:rsid w:val="003C37A5"/>
    <w:rsid w:val="003C37D7"/>
    <w:rsid w:val="003C3E83"/>
    <w:rsid w:val="003C3F72"/>
    <w:rsid w:val="003C453E"/>
    <w:rsid w:val="003C483E"/>
    <w:rsid w:val="003C4A77"/>
    <w:rsid w:val="003C4E4E"/>
    <w:rsid w:val="003C4ECE"/>
    <w:rsid w:val="003C4F64"/>
    <w:rsid w:val="003C4FF7"/>
    <w:rsid w:val="003C53B1"/>
    <w:rsid w:val="003C58F5"/>
    <w:rsid w:val="003C5A86"/>
    <w:rsid w:val="003C5E1E"/>
    <w:rsid w:val="003C5E85"/>
    <w:rsid w:val="003C62CF"/>
    <w:rsid w:val="003C6338"/>
    <w:rsid w:val="003C65FC"/>
    <w:rsid w:val="003C6605"/>
    <w:rsid w:val="003C662D"/>
    <w:rsid w:val="003C6927"/>
    <w:rsid w:val="003C6979"/>
    <w:rsid w:val="003C6C3D"/>
    <w:rsid w:val="003C6C4D"/>
    <w:rsid w:val="003C6D81"/>
    <w:rsid w:val="003C6D8B"/>
    <w:rsid w:val="003C6E31"/>
    <w:rsid w:val="003C6E9D"/>
    <w:rsid w:val="003C739F"/>
    <w:rsid w:val="003C74F1"/>
    <w:rsid w:val="003C74F3"/>
    <w:rsid w:val="003C777E"/>
    <w:rsid w:val="003C7806"/>
    <w:rsid w:val="003C790D"/>
    <w:rsid w:val="003C7BE9"/>
    <w:rsid w:val="003C7DA8"/>
    <w:rsid w:val="003C7E98"/>
    <w:rsid w:val="003C7F34"/>
    <w:rsid w:val="003D00A8"/>
    <w:rsid w:val="003D019B"/>
    <w:rsid w:val="003D0307"/>
    <w:rsid w:val="003D0488"/>
    <w:rsid w:val="003D0D3A"/>
    <w:rsid w:val="003D0D51"/>
    <w:rsid w:val="003D109F"/>
    <w:rsid w:val="003D12C2"/>
    <w:rsid w:val="003D154A"/>
    <w:rsid w:val="003D15EC"/>
    <w:rsid w:val="003D1DB4"/>
    <w:rsid w:val="003D2094"/>
    <w:rsid w:val="003D2183"/>
    <w:rsid w:val="003D2353"/>
    <w:rsid w:val="003D2478"/>
    <w:rsid w:val="003D24B6"/>
    <w:rsid w:val="003D2638"/>
    <w:rsid w:val="003D271B"/>
    <w:rsid w:val="003D2764"/>
    <w:rsid w:val="003D2BE8"/>
    <w:rsid w:val="003D2C93"/>
    <w:rsid w:val="003D2E38"/>
    <w:rsid w:val="003D2E5D"/>
    <w:rsid w:val="003D308A"/>
    <w:rsid w:val="003D30BB"/>
    <w:rsid w:val="003D3186"/>
    <w:rsid w:val="003D3398"/>
    <w:rsid w:val="003D34B6"/>
    <w:rsid w:val="003D3520"/>
    <w:rsid w:val="003D368A"/>
    <w:rsid w:val="003D37A3"/>
    <w:rsid w:val="003D396D"/>
    <w:rsid w:val="003D3B66"/>
    <w:rsid w:val="003D3C45"/>
    <w:rsid w:val="003D3CAF"/>
    <w:rsid w:val="003D3E7C"/>
    <w:rsid w:val="003D40D5"/>
    <w:rsid w:val="003D40E9"/>
    <w:rsid w:val="003D40F2"/>
    <w:rsid w:val="003D41B1"/>
    <w:rsid w:val="003D44CB"/>
    <w:rsid w:val="003D4819"/>
    <w:rsid w:val="003D4932"/>
    <w:rsid w:val="003D4C46"/>
    <w:rsid w:val="003D4E7D"/>
    <w:rsid w:val="003D5067"/>
    <w:rsid w:val="003D5268"/>
    <w:rsid w:val="003D56EC"/>
    <w:rsid w:val="003D5858"/>
    <w:rsid w:val="003D5B1F"/>
    <w:rsid w:val="003D5B42"/>
    <w:rsid w:val="003D5B60"/>
    <w:rsid w:val="003D5C73"/>
    <w:rsid w:val="003D5E31"/>
    <w:rsid w:val="003D6149"/>
    <w:rsid w:val="003D62E5"/>
    <w:rsid w:val="003D6589"/>
    <w:rsid w:val="003D676F"/>
    <w:rsid w:val="003D6A02"/>
    <w:rsid w:val="003D6B94"/>
    <w:rsid w:val="003D7055"/>
    <w:rsid w:val="003D706B"/>
    <w:rsid w:val="003D70E2"/>
    <w:rsid w:val="003D7111"/>
    <w:rsid w:val="003D7225"/>
    <w:rsid w:val="003D729A"/>
    <w:rsid w:val="003D741F"/>
    <w:rsid w:val="003D75BA"/>
    <w:rsid w:val="003D75C8"/>
    <w:rsid w:val="003D75D2"/>
    <w:rsid w:val="003D7892"/>
    <w:rsid w:val="003D7904"/>
    <w:rsid w:val="003D7911"/>
    <w:rsid w:val="003D7B22"/>
    <w:rsid w:val="003D7B91"/>
    <w:rsid w:val="003D7C58"/>
    <w:rsid w:val="003D7D5D"/>
    <w:rsid w:val="003D7F35"/>
    <w:rsid w:val="003D7F36"/>
    <w:rsid w:val="003D7F3B"/>
    <w:rsid w:val="003E0276"/>
    <w:rsid w:val="003E02AD"/>
    <w:rsid w:val="003E054B"/>
    <w:rsid w:val="003E09F8"/>
    <w:rsid w:val="003E0E21"/>
    <w:rsid w:val="003E0E40"/>
    <w:rsid w:val="003E0ED1"/>
    <w:rsid w:val="003E0F10"/>
    <w:rsid w:val="003E10BF"/>
    <w:rsid w:val="003E111D"/>
    <w:rsid w:val="003E121C"/>
    <w:rsid w:val="003E12AF"/>
    <w:rsid w:val="003E12ED"/>
    <w:rsid w:val="003E1377"/>
    <w:rsid w:val="003E13EB"/>
    <w:rsid w:val="003E15FA"/>
    <w:rsid w:val="003E17A1"/>
    <w:rsid w:val="003E1AFC"/>
    <w:rsid w:val="003E1B6C"/>
    <w:rsid w:val="003E1BA4"/>
    <w:rsid w:val="003E209F"/>
    <w:rsid w:val="003E231B"/>
    <w:rsid w:val="003E274A"/>
    <w:rsid w:val="003E27D8"/>
    <w:rsid w:val="003E2837"/>
    <w:rsid w:val="003E2920"/>
    <w:rsid w:val="003E2B14"/>
    <w:rsid w:val="003E2C05"/>
    <w:rsid w:val="003E2E2A"/>
    <w:rsid w:val="003E3290"/>
    <w:rsid w:val="003E3817"/>
    <w:rsid w:val="003E3977"/>
    <w:rsid w:val="003E3C0B"/>
    <w:rsid w:val="003E3CA0"/>
    <w:rsid w:val="003E3EBC"/>
    <w:rsid w:val="003E3F45"/>
    <w:rsid w:val="003E4078"/>
    <w:rsid w:val="003E4205"/>
    <w:rsid w:val="003E428D"/>
    <w:rsid w:val="003E485D"/>
    <w:rsid w:val="003E4A2A"/>
    <w:rsid w:val="003E4CE5"/>
    <w:rsid w:val="003E4DDC"/>
    <w:rsid w:val="003E4F4C"/>
    <w:rsid w:val="003E4F59"/>
    <w:rsid w:val="003E4FEE"/>
    <w:rsid w:val="003E513B"/>
    <w:rsid w:val="003E51F6"/>
    <w:rsid w:val="003E5282"/>
    <w:rsid w:val="003E5591"/>
    <w:rsid w:val="003E55E4"/>
    <w:rsid w:val="003E561A"/>
    <w:rsid w:val="003E607E"/>
    <w:rsid w:val="003E6102"/>
    <w:rsid w:val="003E6185"/>
    <w:rsid w:val="003E61A2"/>
    <w:rsid w:val="003E61AD"/>
    <w:rsid w:val="003E66F2"/>
    <w:rsid w:val="003E6887"/>
    <w:rsid w:val="003E6956"/>
    <w:rsid w:val="003E6D77"/>
    <w:rsid w:val="003E6DFC"/>
    <w:rsid w:val="003E6F05"/>
    <w:rsid w:val="003E74E3"/>
    <w:rsid w:val="003E7692"/>
    <w:rsid w:val="003E76FC"/>
    <w:rsid w:val="003E7A63"/>
    <w:rsid w:val="003E7CCE"/>
    <w:rsid w:val="003E7D4D"/>
    <w:rsid w:val="003E7D8B"/>
    <w:rsid w:val="003E7DEF"/>
    <w:rsid w:val="003E7EDE"/>
    <w:rsid w:val="003F0084"/>
    <w:rsid w:val="003F0149"/>
    <w:rsid w:val="003F020E"/>
    <w:rsid w:val="003F02AA"/>
    <w:rsid w:val="003F0370"/>
    <w:rsid w:val="003F0379"/>
    <w:rsid w:val="003F05C7"/>
    <w:rsid w:val="003F11AD"/>
    <w:rsid w:val="003F148E"/>
    <w:rsid w:val="003F14C6"/>
    <w:rsid w:val="003F14F2"/>
    <w:rsid w:val="003F15CD"/>
    <w:rsid w:val="003F16EA"/>
    <w:rsid w:val="003F1853"/>
    <w:rsid w:val="003F1898"/>
    <w:rsid w:val="003F198C"/>
    <w:rsid w:val="003F1B81"/>
    <w:rsid w:val="003F1CA6"/>
    <w:rsid w:val="003F20DC"/>
    <w:rsid w:val="003F26A3"/>
    <w:rsid w:val="003F26B9"/>
    <w:rsid w:val="003F2743"/>
    <w:rsid w:val="003F27F4"/>
    <w:rsid w:val="003F290D"/>
    <w:rsid w:val="003F2AA9"/>
    <w:rsid w:val="003F2B96"/>
    <w:rsid w:val="003F2CD4"/>
    <w:rsid w:val="003F2D3D"/>
    <w:rsid w:val="003F33D8"/>
    <w:rsid w:val="003F35AD"/>
    <w:rsid w:val="003F35FD"/>
    <w:rsid w:val="003F3610"/>
    <w:rsid w:val="003F383D"/>
    <w:rsid w:val="003F387A"/>
    <w:rsid w:val="003F3D3A"/>
    <w:rsid w:val="003F41B7"/>
    <w:rsid w:val="003F42ED"/>
    <w:rsid w:val="003F4425"/>
    <w:rsid w:val="003F468E"/>
    <w:rsid w:val="003F475F"/>
    <w:rsid w:val="003F4914"/>
    <w:rsid w:val="003F4B1E"/>
    <w:rsid w:val="003F4B69"/>
    <w:rsid w:val="003F4DF3"/>
    <w:rsid w:val="003F5331"/>
    <w:rsid w:val="003F5538"/>
    <w:rsid w:val="003F573A"/>
    <w:rsid w:val="003F59FE"/>
    <w:rsid w:val="003F5CB0"/>
    <w:rsid w:val="003F5D51"/>
    <w:rsid w:val="003F5DC6"/>
    <w:rsid w:val="003F5DFA"/>
    <w:rsid w:val="003F5F76"/>
    <w:rsid w:val="003F6264"/>
    <w:rsid w:val="003F64B7"/>
    <w:rsid w:val="003F6621"/>
    <w:rsid w:val="003F69EB"/>
    <w:rsid w:val="003F6BBE"/>
    <w:rsid w:val="003F6C7E"/>
    <w:rsid w:val="003F6E34"/>
    <w:rsid w:val="003F6E68"/>
    <w:rsid w:val="003F7010"/>
    <w:rsid w:val="003F70B4"/>
    <w:rsid w:val="003F73C2"/>
    <w:rsid w:val="003F75D1"/>
    <w:rsid w:val="003F75D7"/>
    <w:rsid w:val="003F7670"/>
    <w:rsid w:val="003F78FE"/>
    <w:rsid w:val="003F7A9C"/>
    <w:rsid w:val="003F7B7A"/>
    <w:rsid w:val="003F7BD8"/>
    <w:rsid w:val="003F7DFE"/>
    <w:rsid w:val="003F7E98"/>
    <w:rsid w:val="004000E6"/>
    <w:rsid w:val="004000E8"/>
    <w:rsid w:val="00400494"/>
    <w:rsid w:val="004005AA"/>
    <w:rsid w:val="004005CC"/>
    <w:rsid w:val="00400882"/>
    <w:rsid w:val="004008AC"/>
    <w:rsid w:val="00400B93"/>
    <w:rsid w:val="00400CCA"/>
    <w:rsid w:val="00400E07"/>
    <w:rsid w:val="00401049"/>
    <w:rsid w:val="0040106F"/>
    <w:rsid w:val="004011AA"/>
    <w:rsid w:val="00401297"/>
    <w:rsid w:val="00401384"/>
    <w:rsid w:val="00401561"/>
    <w:rsid w:val="00401639"/>
    <w:rsid w:val="004016AB"/>
    <w:rsid w:val="00401905"/>
    <w:rsid w:val="004019CD"/>
    <w:rsid w:val="00401BA7"/>
    <w:rsid w:val="00401FBC"/>
    <w:rsid w:val="00402022"/>
    <w:rsid w:val="00402198"/>
    <w:rsid w:val="00402378"/>
    <w:rsid w:val="004023DA"/>
    <w:rsid w:val="004028DF"/>
    <w:rsid w:val="00402CCC"/>
    <w:rsid w:val="00402E2B"/>
    <w:rsid w:val="00402FE9"/>
    <w:rsid w:val="0040317B"/>
    <w:rsid w:val="004031A0"/>
    <w:rsid w:val="0040343B"/>
    <w:rsid w:val="004034A7"/>
    <w:rsid w:val="004034D3"/>
    <w:rsid w:val="00403786"/>
    <w:rsid w:val="0040381D"/>
    <w:rsid w:val="00403B4F"/>
    <w:rsid w:val="00403DDD"/>
    <w:rsid w:val="00403E92"/>
    <w:rsid w:val="0040426D"/>
    <w:rsid w:val="00404468"/>
    <w:rsid w:val="004045AB"/>
    <w:rsid w:val="004047E7"/>
    <w:rsid w:val="00404B36"/>
    <w:rsid w:val="00404DF0"/>
    <w:rsid w:val="00404EAB"/>
    <w:rsid w:val="00405013"/>
    <w:rsid w:val="004050F4"/>
    <w:rsid w:val="00405120"/>
    <w:rsid w:val="0040512B"/>
    <w:rsid w:val="00405249"/>
    <w:rsid w:val="0040530F"/>
    <w:rsid w:val="0040540B"/>
    <w:rsid w:val="004058DB"/>
    <w:rsid w:val="00405CA5"/>
    <w:rsid w:val="00405D08"/>
    <w:rsid w:val="00405DFF"/>
    <w:rsid w:val="00406059"/>
    <w:rsid w:val="00406177"/>
    <w:rsid w:val="0040617F"/>
    <w:rsid w:val="00406250"/>
    <w:rsid w:val="004062F3"/>
    <w:rsid w:val="0040645F"/>
    <w:rsid w:val="00406586"/>
    <w:rsid w:val="004065C0"/>
    <w:rsid w:val="0040665E"/>
    <w:rsid w:val="004068CE"/>
    <w:rsid w:val="00406DC7"/>
    <w:rsid w:val="00406F02"/>
    <w:rsid w:val="00407112"/>
    <w:rsid w:val="0040742E"/>
    <w:rsid w:val="004079B7"/>
    <w:rsid w:val="00407BCC"/>
    <w:rsid w:val="00407C1A"/>
    <w:rsid w:val="00407C84"/>
    <w:rsid w:val="00407CD3"/>
    <w:rsid w:val="00407D5F"/>
    <w:rsid w:val="00407D69"/>
    <w:rsid w:val="00407DBF"/>
    <w:rsid w:val="00407DCE"/>
    <w:rsid w:val="00407FA8"/>
    <w:rsid w:val="00407FD7"/>
    <w:rsid w:val="00410134"/>
    <w:rsid w:val="00410164"/>
    <w:rsid w:val="004103B5"/>
    <w:rsid w:val="00410655"/>
    <w:rsid w:val="00410666"/>
    <w:rsid w:val="004106A2"/>
    <w:rsid w:val="00410710"/>
    <w:rsid w:val="004107B3"/>
    <w:rsid w:val="004108BB"/>
    <w:rsid w:val="00410A49"/>
    <w:rsid w:val="00410B72"/>
    <w:rsid w:val="00410BDA"/>
    <w:rsid w:val="00410DD7"/>
    <w:rsid w:val="00410F18"/>
    <w:rsid w:val="00410F42"/>
    <w:rsid w:val="004110B6"/>
    <w:rsid w:val="0041122C"/>
    <w:rsid w:val="0041133F"/>
    <w:rsid w:val="004115A0"/>
    <w:rsid w:val="004116EA"/>
    <w:rsid w:val="00411927"/>
    <w:rsid w:val="004119A2"/>
    <w:rsid w:val="00411D44"/>
    <w:rsid w:val="00411E97"/>
    <w:rsid w:val="00411EFF"/>
    <w:rsid w:val="00411F89"/>
    <w:rsid w:val="00412478"/>
    <w:rsid w:val="00412485"/>
    <w:rsid w:val="00412491"/>
    <w:rsid w:val="004124FC"/>
    <w:rsid w:val="004124FF"/>
    <w:rsid w:val="00412555"/>
    <w:rsid w:val="00412630"/>
    <w:rsid w:val="0041263E"/>
    <w:rsid w:val="00412821"/>
    <w:rsid w:val="00412871"/>
    <w:rsid w:val="00412AA8"/>
    <w:rsid w:val="00412C1E"/>
    <w:rsid w:val="00412D20"/>
    <w:rsid w:val="004130CB"/>
    <w:rsid w:val="00413197"/>
    <w:rsid w:val="00413AAC"/>
    <w:rsid w:val="00413CE8"/>
    <w:rsid w:val="00413DDD"/>
    <w:rsid w:val="00413DF3"/>
    <w:rsid w:val="00413E92"/>
    <w:rsid w:val="00413F1D"/>
    <w:rsid w:val="00413F3B"/>
    <w:rsid w:val="004145D4"/>
    <w:rsid w:val="00414638"/>
    <w:rsid w:val="00414649"/>
    <w:rsid w:val="004147F7"/>
    <w:rsid w:val="004149D8"/>
    <w:rsid w:val="00414D31"/>
    <w:rsid w:val="00414DDB"/>
    <w:rsid w:val="004150E6"/>
    <w:rsid w:val="004151D0"/>
    <w:rsid w:val="00415434"/>
    <w:rsid w:val="00415723"/>
    <w:rsid w:val="004157FD"/>
    <w:rsid w:val="00415836"/>
    <w:rsid w:val="004159FC"/>
    <w:rsid w:val="00415D7E"/>
    <w:rsid w:val="00415E45"/>
    <w:rsid w:val="004160AB"/>
    <w:rsid w:val="00416849"/>
    <w:rsid w:val="00416A17"/>
    <w:rsid w:val="00416AED"/>
    <w:rsid w:val="00416C2F"/>
    <w:rsid w:val="00416D1C"/>
    <w:rsid w:val="00416DE2"/>
    <w:rsid w:val="0041703F"/>
    <w:rsid w:val="00417099"/>
    <w:rsid w:val="004170E1"/>
    <w:rsid w:val="0041733B"/>
    <w:rsid w:val="00417787"/>
    <w:rsid w:val="004177F9"/>
    <w:rsid w:val="004179C8"/>
    <w:rsid w:val="004179CC"/>
    <w:rsid w:val="00417B7D"/>
    <w:rsid w:val="00417FD7"/>
    <w:rsid w:val="004201B2"/>
    <w:rsid w:val="004204A8"/>
    <w:rsid w:val="004204C8"/>
    <w:rsid w:val="004204DE"/>
    <w:rsid w:val="004206C7"/>
    <w:rsid w:val="00420CA0"/>
    <w:rsid w:val="00420E60"/>
    <w:rsid w:val="0042109F"/>
    <w:rsid w:val="004210A2"/>
    <w:rsid w:val="00421105"/>
    <w:rsid w:val="00421526"/>
    <w:rsid w:val="004219BF"/>
    <w:rsid w:val="00421BA7"/>
    <w:rsid w:val="00421C16"/>
    <w:rsid w:val="00421C94"/>
    <w:rsid w:val="00421E1E"/>
    <w:rsid w:val="00421F01"/>
    <w:rsid w:val="0042227E"/>
    <w:rsid w:val="0042229B"/>
    <w:rsid w:val="004222AA"/>
    <w:rsid w:val="00422358"/>
    <w:rsid w:val="004223FF"/>
    <w:rsid w:val="00422AA4"/>
    <w:rsid w:val="00422B99"/>
    <w:rsid w:val="00422C1F"/>
    <w:rsid w:val="00422CDD"/>
    <w:rsid w:val="00422F4F"/>
    <w:rsid w:val="00423054"/>
    <w:rsid w:val="004235A0"/>
    <w:rsid w:val="00423984"/>
    <w:rsid w:val="004239F1"/>
    <w:rsid w:val="00423A52"/>
    <w:rsid w:val="00423B52"/>
    <w:rsid w:val="00423B66"/>
    <w:rsid w:val="00423CE1"/>
    <w:rsid w:val="00423FDE"/>
    <w:rsid w:val="004242F4"/>
    <w:rsid w:val="004242FA"/>
    <w:rsid w:val="004243FF"/>
    <w:rsid w:val="004244BC"/>
    <w:rsid w:val="00424A37"/>
    <w:rsid w:val="00424B50"/>
    <w:rsid w:val="00424BB6"/>
    <w:rsid w:val="00424CB8"/>
    <w:rsid w:val="00424E3B"/>
    <w:rsid w:val="00424FE8"/>
    <w:rsid w:val="00425748"/>
    <w:rsid w:val="0042593E"/>
    <w:rsid w:val="00425C08"/>
    <w:rsid w:val="00425CEA"/>
    <w:rsid w:val="00425D14"/>
    <w:rsid w:val="00425D76"/>
    <w:rsid w:val="00426035"/>
    <w:rsid w:val="00426158"/>
    <w:rsid w:val="0042634A"/>
    <w:rsid w:val="00426765"/>
    <w:rsid w:val="004267D5"/>
    <w:rsid w:val="00426891"/>
    <w:rsid w:val="00426AB2"/>
    <w:rsid w:val="00426BEC"/>
    <w:rsid w:val="00426F24"/>
    <w:rsid w:val="00427248"/>
    <w:rsid w:val="00427260"/>
    <w:rsid w:val="004272BE"/>
    <w:rsid w:val="004272D4"/>
    <w:rsid w:val="004275F5"/>
    <w:rsid w:val="00427736"/>
    <w:rsid w:val="0042773D"/>
    <w:rsid w:val="004278A1"/>
    <w:rsid w:val="00427C66"/>
    <w:rsid w:val="00427F79"/>
    <w:rsid w:val="0043004E"/>
    <w:rsid w:val="0043032D"/>
    <w:rsid w:val="00430378"/>
    <w:rsid w:val="004304F3"/>
    <w:rsid w:val="00430896"/>
    <w:rsid w:val="00430962"/>
    <w:rsid w:val="00430C0F"/>
    <w:rsid w:val="00430E54"/>
    <w:rsid w:val="00431005"/>
    <w:rsid w:val="00431044"/>
    <w:rsid w:val="004312AB"/>
    <w:rsid w:val="00431342"/>
    <w:rsid w:val="0043138B"/>
    <w:rsid w:val="0043156A"/>
    <w:rsid w:val="004315A8"/>
    <w:rsid w:val="00431731"/>
    <w:rsid w:val="0043188C"/>
    <w:rsid w:val="00431942"/>
    <w:rsid w:val="00431AC7"/>
    <w:rsid w:val="00431BEF"/>
    <w:rsid w:val="0043277D"/>
    <w:rsid w:val="004328B3"/>
    <w:rsid w:val="00432AD8"/>
    <w:rsid w:val="00433080"/>
    <w:rsid w:val="0043330E"/>
    <w:rsid w:val="004334A5"/>
    <w:rsid w:val="004334D6"/>
    <w:rsid w:val="0043354A"/>
    <w:rsid w:val="004336A9"/>
    <w:rsid w:val="0043373E"/>
    <w:rsid w:val="00433952"/>
    <w:rsid w:val="00433983"/>
    <w:rsid w:val="00433AE2"/>
    <w:rsid w:val="00433F3F"/>
    <w:rsid w:val="0043401A"/>
    <w:rsid w:val="00434679"/>
    <w:rsid w:val="004347AF"/>
    <w:rsid w:val="0043498A"/>
    <w:rsid w:val="00434A1B"/>
    <w:rsid w:val="00434C0F"/>
    <w:rsid w:val="00434E70"/>
    <w:rsid w:val="00435549"/>
    <w:rsid w:val="0043555E"/>
    <w:rsid w:val="004355CE"/>
    <w:rsid w:val="00435660"/>
    <w:rsid w:val="004359FC"/>
    <w:rsid w:val="00435BE7"/>
    <w:rsid w:val="00436019"/>
    <w:rsid w:val="0043602D"/>
    <w:rsid w:val="004360D5"/>
    <w:rsid w:val="004361E7"/>
    <w:rsid w:val="004363D7"/>
    <w:rsid w:val="004363E9"/>
    <w:rsid w:val="00436493"/>
    <w:rsid w:val="004364DA"/>
    <w:rsid w:val="0043680A"/>
    <w:rsid w:val="00436917"/>
    <w:rsid w:val="00436D30"/>
    <w:rsid w:val="00436DCC"/>
    <w:rsid w:val="00436E4E"/>
    <w:rsid w:val="00436F14"/>
    <w:rsid w:val="00436FF8"/>
    <w:rsid w:val="0043713A"/>
    <w:rsid w:val="00437447"/>
    <w:rsid w:val="00437550"/>
    <w:rsid w:val="0043773B"/>
    <w:rsid w:val="00437837"/>
    <w:rsid w:val="00437CAD"/>
    <w:rsid w:val="00437DFF"/>
    <w:rsid w:val="00437EC1"/>
    <w:rsid w:val="00440026"/>
    <w:rsid w:val="004403AE"/>
    <w:rsid w:val="0044041A"/>
    <w:rsid w:val="0044066B"/>
    <w:rsid w:val="00440869"/>
    <w:rsid w:val="004408E4"/>
    <w:rsid w:val="004409B8"/>
    <w:rsid w:val="00440C0F"/>
    <w:rsid w:val="00440D0E"/>
    <w:rsid w:val="00440E3D"/>
    <w:rsid w:val="00441055"/>
    <w:rsid w:val="00441697"/>
    <w:rsid w:val="00441A82"/>
    <w:rsid w:val="00441A92"/>
    <w:rsid w:val="00442259"/>
    <w:rsid w:val="004426A5"/>
    <w:rsid w:val="00442AE7"/>
    <w:rsid w:val="00442C5B"/>
    <w:rsid w:val="00442D32"/>
    <w:rsid w:val="00443020"/>
    <w:rsid w:val="004431DC"/>
    <w:rsid w:val="0044334C"/>
    <w:rsid w:val="0044335E"/>
    <w:rsid w:val="00443811"/>
    <w:rsid w:val="004438D0"/>
    <w:rsid w:val="00443B07"/>
    <w:rsid w:val="00443DF6"/>
    <w:rsid w:val="00443FAA"/>
    <w:rsid w:val="004440E5"/>
    <w:rsid w:val="0044423C"/>
    <w:rsid w:val="00444249"/>
    <w:rsid w:val="004445B3"/>
    <w:rsid w:val="00444631"/>
    <w:rsid w:val="00444A3E"/>
    <w:rsid w:val="00444A55"/>
    <w:rsid w:val="00444B08"/>
    <w:rsid w:val="00444CFD"/>
    <w:rsid w:val="00444F56"/>
    <w:rsid w:val="00445244"/>
    <w:rsid w:val="00445267"/>
    <w:rsid w:val="0044564F"/>
    <w:rsid w:val="0044580F"/>
    <w:rsid w:val="00445BAE"/>
    <w:rsid w:val="00445D90"/>
    <w:rsid w:val="00445EBE"/>
    <w:rsid w:val="00445F50"/>
    <w:rsid w:val="004460C2"/>
    <w:rsid w:val="00446488"/>
    <w:rsid w:val="004465AD"/>
    <w:rsid w:val="00446750"/>
    <w:rsid w:val="00446A4D"/>
    <w:rsid w:val="00446B81"/>
    <w:rsid w:val="00446D47"/>
    <w:rsid w:val="00446D54"/>
    <w:rsid w:val="00446DF9"/>
    <w:rsid w:val="00447023"/>
    <w:rsid w:val="0044705B"/>
    <w:rsid w:val="004470A6"/>
    <w:rsid w:val="004470AB"/>
    <w:rsid w:val="004470B5"/>
    <w:rsid w:val="004470D6"/>
    <w:rsid w:val="00447210"/>
    <w:rsid w:val="0044737A"/>
    <w:rsid w:val="0044753C"/>
    <w:rsid w:val="004476A7"/>
    <w:rsid w:val="0044781D"/>
    <w:rsid w:val="0044784F"/>
    <w:rsid w:val="004478B8"/>
    <w:rsid w:val="004479AE"/>
    <w:rsid w:val="00447B69"/>
    <w:rsid w:val="00447BE9"/>
    <w:rsid w:val="00447C15"/>
    <w:rsid w:val="00447D46"/>
    <w:rsid w:val="00447D4A"/>
    <w:rsid w:val="00447D4F"/>
    <w:rsid w:val="00447EA6"/>
    <w:rsid w:val="00447F3A"/>
    <w:rsid w:val="004501FD"/>
    <w:rsid w:val="004503E3"/>
    <w:rsid w:val="00450970"/>
    <w:rsid w:val="004509A1"/>
    <w:rsid w:val="00450B84"/>
    <w:rsid w:val="00450F8C"/>
    <w:rsid w:val="00451085"/>
    <w:rsid w:val="004510AA"/>
    <w:rsid w:val="004510F9"/>
    <w:rsid w:val="00451289"/>
    <w:rsid w:val="00451691"/>
    <w:rsid w:val="004517AA"/>
    <w:rsid w:val="00451AC3"/>
    <w:rsid w:val="00451CCD"/>
    <w:rsid w:val="00452009"/>
    <w:rsid w:val="004521AC"/>
    <w:rsid w:val="004521CE"/>
    <w:rsid w:val="004522AB"/>
    <w:rsid w:val="004522F0"/>
    <w:rsid w:val="004525F0"/>
    <w:rsid w:val="004526B8"/>
    <w:rsid w:val="00452753"/>
    <w:rsid w:val="00452B98"/>
    <w:rsid w:val="00452C05"/>
    <w:rsid w:val="00452C31"/>
    <w:rsid w:val="00452CAC"/>
    <w:rsid w:val="00452D37"/>
    <w:rsid w:val="004530E9"/>
    <w:rsid w:val="00453243"/>
    <w:rsid w:val="004532BD"/>
    <w:rsid w:val="00453359"/>
    <w:rsid w:val="004534AE"/>
    <w:rsid w:val="004534BF"/>
    <w:rsid w:val="00453697"/>
    <w:rsid w:val="00453698"/>
    <w:rsid w:val="0045378C"/>
    <w:rsid w:val="00453834"/>
    <w:rsid w:val="00453968"/>
    <w:rsid w:val="00453D50"/>
    <w:rsid w:val="00453E18"/>
    <w:rsid w:val="0045405D"/>
    <w:rsid w:val="00454118"/>
    <w:rsid w:val="00454394"/>
    <w:rsid w:val="0045450B"/>
    <w:rsid w:val="004547D7"/>
    <w:rsid w:val="00454C5F"/>
    <w:rsid w:val="00455014"/>
    <w:rsid w:val="00455019"/>
    <w:rsid w:val="004550CB"/>
    <w:rsid w:val="00455166"/>
    <w:rsid w:val="004556D8"/>
    <w:rsid w:val="00455809"/>
    <w:rsid w:val="00455D0D"/>
    <w:rsid w:val="00455F0B"/>
    <w:rsid w:val="004561FC"/>
    <w:rsid w:val="004562D0"/>
    <w:rsid w:val="00456309"/>
    <w:rsid w:val="00456311"/>
    <w:rsid w:val="004565D9"/>
    <w:rsid w:val="004568AD"/>
    <w:rsid w:val="00456BB6"/>
    <w:rsid w:val="00456CCA"/>
    <w:rsid w:val="00456EE4"/>
    <w:rsid w:val="00456FAF"/>
    <w:rsid w:val="00456FD8"/>
    <w:rsid w:val="00457103"/>
    <w:rsid w:val="00457206"/>
    <w:rsid w:val="00457216"/>
    <w:rsid w:val="004573FB"/>
    <w:rsid w:val="0045744E"/>
    <w:rsid w:val="00457462"/>
    <w:rsid w:val="00457509"/>
    <w:rsid w:val="00457565"/>
    <w:rsid w:val="004576B9"/>
    <w:rsid w:val="00457778"/>
    <w:rsid w:val="00457B71"/>
    <w:rsid w:val="00457C37"/>
    <w:rsid w:val="00457CFF"/>
    <w:rsid w:val="00457F0B"/>
    <w:rsid w:val="004606E6"/>
    <w:rsid w:val="00460A87"/>
    <w:rsid w:val="00460B96"/>
    <w:rsid w:val="00460BFF"/>
    <w:rsid w:val="00460C14"/>
    <w:rsid w:val="00460D07"/>
    <w:rsid w:val="00460F48"/>
    <w:rsid w:val="0046101E"/>
    <w:rsid w:val="0046128A"/>
    <w:rsid w:val="004618B3"/>
    <w:rsid w:val="00461EC4"/>
    <w:rsid w:val="0046215F"/>
    <w:rsid w:val="00462174"/>
    <w:rsid w:val="00462231"/>
    <w:rsid w:val="0046224D"/>
    <w:rsid w:val="00462314"/>
    <w:rsid w:val="0046248E"/>
    <w:rsid w:val="00462605"/>
    <w:rsid w:val="00462A1B"/>
    <w:rsid w:val="00462AC2"/>
    <w:rsid w:val="00462B14"/>
    <w:rsid w:val="00462D61"/>
    <w:rsid w:val="0046315C"/>
    <w:rsid w:val="0046329B"/>
    <w:rsid w:val="004633EB"/>
    <w:rsid w:val="004634C3"/>
    <w:rsid w:val="004635D8"/>
    <w:rsid w:val="0046364F"/>
    <w:rsid w:val="0046377B"/>
    <w:rsid w:val="00463B7A"/>
    <w:rsid w:val="00463C2E"/>
    <w:rsid w:val="00463D73"/>
    <w:rsid w:val="00463D74"/>
    <w:rsid w:val="00464564"/>
    <w:rsid w:val="0046492C"/>
    <w:rsid w:val="004649D5"/>
    <w:rsid w:val="004650BD"/>
    <w:rsid w:val="00465185"/>
    <w:rsid w:val="004651B5"/>
    <w:rsid w:val="0046558C"/>
    <w:rsid w:val="0046577B"/>
    <w:rsid w:val="0046591C"/>
    <w:rsid w:val="00465A3A"/>
    <w:rsid w:val="00465B25"/>
    <w:rsid w:val="00465FB4"/>
    <w:rsid w:val="0046616F"/>
    <w:rsid w:val="00466475"/>
    <w:rsid w:val="00466480"/>
    <w:rsid w:val="0046672A"/>
    <w:rsid w:val="0046672D"/>
    <w:rsid w:val="004669E2"/>
    <w:rsid w:val="00466B6F"/>
    <w:rsid w:val="00467045"/>
    <w:rsid w:val="00467132"/>
    <w:rsid w:val="0046718D"/>
    <w:rsid w:val="0046738D"/>
    <w:rsid w:val="00467519"/>
    <w:rsid w:val="004677B3"/>
    <w:rsid w:val="00467A67"/>
    <w:rsid w:val="00467ABD"/>
    <w:rsid w:val="00467B6D"/>
    <w:rsid w:val="00467BCE"/>
    <w:rsid w:val="00467BD2"/>
    <w:rsid w:val="00467C4B"/>
    <w:rsid w:val="00467D40"/>
    <w:rsid w:val="00467DF2"/>
    <w:rsid w:val="00467DFD"/>
    <w:rsid w:val="00467E59"/>
    <w:rsid w:val="00467F49"/>
    <w:rsid w:val="00470267"/>
    <w:rsid w:val="00470348"/>
    <w:rsid w:val="004705B9"/>
    <w:rsid w:val="00470655"/>
    <w:rsid w:val="00470705"/>
    <w:rsid w:val="004707F3"/>
    <w:rsid w:val="0047093C"/>
    <w:rsid w:val="0047099A"/>
    <w:rsid w:val="00470AF7"/>
    <w:rsid w:val="00470C31"/>
    <w:rsid w:val="00470C51"/>
    <w:rsid w:val="00471078"/>
    <w:rsid w:val="004710EC"/>
    <w:rsid w:val="004714E8"/>
    <w:rsid w:val="00471DB8"/>
    <w:rsid w:val="00471DE0"/>
    <w:rsid w:val="00471E46"/>
    <w:rsid w:val="00471EF7"/>
    <w:rsid w:val="00471FA3"/>
    <w:rsid w:val="00472127"/>
    <w:rsid w:val="0047213E"/>
    <w:rsid w:val="00472236"/>
    <w:rsid w:val="0047226E"/>
    <w:rsid w:val="00472767"/>
    <w:rsid w:val="00472905"/>
    <w:rsid w:val="00472980"/>
    <w:rsid w:val="00472B24"/>
    <w:rsid w:val="00472BF6"/>
    <w:rsid w:val="00472CC4"/>
    <w:rsid w:val="00472D11"/>
    <w:rsid w:val="00472DA7"/>
    <w:rsid w:val="00472FE9"/>
    <w:rsid w:val="004732E6"/>
    <w:rsid w:val="0047332A"/>
    <w:rsid w:val="004734D0"/>
    <w:rsid w:val="00473520"/>
    <w:rsid w:val="0047381A"/>
    <w:rsid w:val="00473957"/>
    <w:rsid w:val="00473B21"/>
    <w:rsid w:val="00473BC5"/>
    <w:rsid w:val="00473F27"/>
    <w:rsid w:val="00474098"/>
    <w:rsid w:val="0047412F"/>
    <w:rsid w:val="004747D3"/>
    <w:rsid w:val="00474957"/>
    <w:rsid w:val="00474D89"/>
    <w:rsid w:val="00474FD7"/>
    <w:rsid w:val="004750A2"/>
    <w:rsid w:val="004750CD"/>
    <w:rsid w:val="00475216"/>
    <w:rsid w:val="0047532F"/>
    <w:rsid w:val="004753C8"/>
    <w:rsid w:val="004753D4"/>
    <w:rsid w:val="0047556B"/>
    <w:rsid w:val="0047560A"/>
    <w:rsid w:val="00475639"/>
    <w:rsid w:val="0047574A"/>
    <w:rsid w:val="004757B6"/>
    <w:rsid w:val="00475B44"/>
    <w:rsid w:val="00475C0D"/>
    <w:rsid w:val="00475C78"/>
    <w:rsid w:val="00475F6F"/>
    <w:rsid w:val="00476114"/>
    <w:rsid w:val="00476156"/>
    <w:rsid w:val="0047624F"/>
    <w:rsid w:val="00476493"/>
    <w:rsid w:val="0047678A"/>
    <w:rsid w:val="004768AF"/>
    <w:rsid w:val="00476C30"/>
    <w:rsid w:val="00476F00"/>
    <w:rsid w:val="00477075"/>
    <w:rsid w:val="0047717E"/>
    <w:rsid w:val="004771C2"/>
    <w:rsid w:val="004771CA"/>
    <w:rsid w:val="004772FD"/>
    <w:rsid w:val="00477470"/>
    <w:rsid w:val="00477538"/>
    <w:rsid w:val="00477694"/>
    <w:rsid w:val="00477768"/>
    <w:rsid w:val="004777AF"/>
    <w:rsid w:val="00477B79"/>
    <w:rsid w:val="00477D31"/>
    <w:rsid w:val="00477E80"/>
    <w:rsid w:val="00480141"/>
    <w:rsid w:val="0048027C"/>
    <w:rsid w:val="004803DD"/>
    <w:rsid w:val="004804BD"/>
    <w:rsid w:val="004807B8"/>
    <w:rsid w:val="004807D4"/>
    <w:rsid w:val="004808CC"/>
    <w:rsid w:val="00480A07"/>
    <w:rsid w:val="00480E80"/>
    <w:rsid w:val="00480EE9"/>
    <w:rsid w:val="004812ED"/>
    <w:rsid w:val="00481656"/>
    <w:rsid w:val="00481AAA"/>
    <w:rsid w:val="00481D06"/>
    <w:rsid w:val="00482105"/>
    <w:rsid w:val="00482445"/>
    <w:rsid w:val="00482514"/>
    <w:rsid w:val="00482845"/>
    <w:rsid w:val="00482A96"/>
    <w:rsid w:val="00482AB1"/>
    <w:rsid w:val="00482C82"/>
    <w:rsid w:val="00483208"/>
    <w:rsid w:val="004834CD"/>
    <w:rsid w:val="00483677"/>
    <w:rsid w:val="004839A1"/>
    <w:rsid w:val="00483CD0"/>
    <w:rsid w:val="004840D9"/>
    <w:rsid w:val="004841A6"/>
    <w:rsid w:val="00484416"/>
    <w:rsid w:val="004845D0"/>
    <w:rsid w:val="004846CB"/>
    <w:rsid w:val="004848E5"/>
    <w:rsid w:val="00484932"/>
    <w:rsid w:val="00484A72"/>
    <w:rsid w:val="00484D2D"/>
    <w:rsid w:val="00484D67"/>
    <w:rsid w:val="00484D91"/>
    <w:rsid w:val="0048502A"/>
    <w:rsid w:val="00485183"/>
    <w:rsid w:val="004851B5"/>
    <w:rsid w:val="004853D5"/>
    <w:rsid w:val="00485603"/>
    <w:rsid w:val="00485782"/>
    <w:rsid w:val="004858E6"/>
    <w:rsid w:val="00485AC3"/>
    <w:rsid w:val="00485C53"/>
    <w:rsid w:val="0048661F"/>
    <w:rsid w:val="0048691D"/>
    <w:rsid w:val="00486C41"/>
    <w:rsid w:val="00486D7D"/>
    <w:rsid w:val="00486E10"/>
    <w:rsid w:val="004870B2"/>
    <w:rsid w:val="004872E5"/>
    <w:rsid w:val="0048776C"/>
    <w:rsid w:val="00487924"/>
    <w:rsid w:val="00487A1B"/>
    <w:rsid w:val="00487A98"/>
    <w:rsid w:val="00487CAF"/>
    <w:rsid w:val="00487D1D"/>
    <w:rsid w:val="00490024"/>
    <w:rsid w:val="00490463"/>
    <w:rsid w:val="00490610"/>
    <w:rsid w:val="00490691"/>
    <w:rsid w:val="0049083A"/>
    <w:rsid w:val="00490A22"/>
    <w:rsid w:val="00490E3E"/>
    <w:rsid w:val="00490F40"/>
    <w:rsid w:val="004912F4"/>
    <w:rsid w:val="00491818"/>
    <w:rsid w:val="004918AD"/>
    <w:rsid w:val="004919D7"/>
    <w:rsid w:val="00491BF9"/>
    <w:rsid w:val="00491D7A"/>
    <w:rsid w:val="00491ED6"/>
    <w:rsid w:val="00491FB3"/>
    <w:rsid w:val="004923FB"/>
    <w:rsid w:val="00492B22"/>
    <w:rsid w:val="00492BC5"/>
    <w:rsid w:val="00492CA7"/>
    <w:rsid w:val="00492F2B"/>
    <w:rsid w:val="004935D2"/>
    <w:rsid w:val="004937CB"/>
    <w:rsid w:val="00493903"/>
    <w:rsid w:val="00493AA0"/>
    <w:rsid w:val="00493C08"/>
    <w:rsid w:val="004941A1"/>
    <w:rsid w:val="004941CE"/>
    <w:rsid w:val="0049421F"/>
    <w:rsid w:val="004942A4"/>
    <w:rsid w:val="0049463C"/>
    <w:rsid w:val="0049466D"/>
    <w:rsid w:val="00494AEA"/>
    <w:rsid w:val="00494B56"/>
    <w:rsid w:val="00494BF5"/>
    <w:rsid w:val="00494C03"/>
    <w:rsid w:val="00494D43"/>
    <w:rsid w:val="00494EC4"/>
    <w:rsid w:val="00495138"/>
    <w:rsid w:val="004951A8"/>
    <w:rsid w:val="00495530"/>
    <w:rsid w:val="00495866"/>
    <w:rsid w:val="00495907"/>
    <w:rsid w:val="00495BA2"/>
    <w:rsid w:val="00495C8F"/>
    <w:rsid w:val="0049626A"/>
    <w:rsid w:val="004963FD"/>
    <w:rsid w:val="004964F1"/>
    <w:rsid w:val="00496535"/>
    <w:rsid w:val="004965E4"/>
    <w:rsid w:val="00496693"/>
    <w:rsid w:val="004967BD"/>
    <w:rsid w:val="0049691A"/>
    <w:rsid w:val="004969B7"/>
    <w:rsid w:val="00496C9C"/>
    <w:rsid w:val="00496DB6"/>
    <w:rsid w:val="00496DDC"/>
    <w:rsid w:val="00496F31"/>
    <w:rsid w:val="00497008"/>
    <w:rsid w:val="00497234"/>
    <w:rsid w:val="004974B5"/>
    <w:rsid w:val="0049778C"/>
    <w:rsid w:val="00497E86"/>
    <w:rsid w:val="00497F33"/>
    <w:rsid w:val="004A02C1"/>
    <w:rsid w:val="004A031D"/>
    <w:rsid w:val="004A059F"/>
    <w:rsid w:val="004A0622"/>
    <w:rsid w:val="004A0A20"/>
    <w:rsid w:val="004A0A5C"/>
    <w:rsid w:val="004A0D64"/>
    <w:rsid w:val="004A0DDA"/>
    <w:rsid w:val="004A10DF"/>
    <w:rsid w:val="004A129F"/>
    <w:rsid w:val="004A160A"/>
    <w:rsid w:val="004A16BC"/>
    <w:rsid w:val="004A16FF"/>
    <w:rsid w:val="004A1727"/>
    <w:rsid w:val="004A1B57"/>
    <w:rsid w:val="004A1CCC"/>
    <w:rsid w:val="004A22EF"/>
    <w:rsid w:val="004A2535"/>
    <w:rsid w:val="004A2577"/>
    <w:rsid w:val="004A2652"/>
    <w:rsid w:val="004A27E3"/>
    <w:rsid w:val="004A2B94"/>
    <w:rsid w:val="004A2DBA"/>
    <w:rsid w:val="004A2DC0"/>
    <w:rsid w:val="004A2E15"/>
    <w:rsid w:val="004A2ED5"/>
    <w:rsid w:val="004A2FAC"/>
    <w:rsid w:val="004A3274"/>
    <w:rsid w:val="004A3459"/>
    <w:rsid w:val="004A3682"/>
    <w:rsid w:val="004A380B"/>
    <w:rsid w:val="004A3F77"/>
    <w:rsid w:val="004A4208"/>
    <w:rsid w:val="004A42CF"/>
    <w:rsid w:val="004A4602"/>
    <w:rsid w:val="004A4868"/>
    <w:rsid w:val="004A49D5"/>
    <w:rsid w:val="004A4B66"/>
    <w:rsid w:val="004A4F7E"/>
    <w:rsid w:val="004A5237"/>
    <w:rsid w:val="004A52D5"/>
    <w:rsid w:val="004A52E3"/>
    <w:rsid w:val="004A5718"/>
    <w:rsid w:val="004A5937"/>
    <w:rsid w:val="004A5B79"/>
    <w:rsid w:val="004A6013"/>
    <w:rsid w:val="004A61BE"/>
    <w:rsid w:val="004A67FC"/>
    <w:rsid w:val="004A6907"/>
    <w:rsid w:val="004A6B14"/>
    <w:rsid w:val="004A6B1D"/>
    <w:rsid w:val="004A6CB9"/>
    <w:rsid w:val="004A6D7C"/>
    <w:rsid w:val="004A704A"/>
    <w:rsid w:val="004A7202"/>
    <w:rsid w:val="004A72DC"/>
    <w:rsid w:val="004A7364"/>
    <w:rsid w:val="004A790B"/>
    <w:rsid w:val="004A7B15"/>
    <w:rsid w:val="004A7B46"/>
    <w:rsid w:val="004A7F30"/>
    <w:rsid w:val="004B048F"/>
    <w:rsid w:val="004B06F8"/>
    <w:rsid w:val="004B07AE"/>
    <w:rsid w:val="004B07E7"/>
    <w:rsid w:val="004B0B03"/>
    <w:rsid w:val="004B103E"/>
    <w:rsid w:val="004B1120"/>
    <w:rsid w:val="004B168C"/>
    <w:rsid w:val="004B19B2"/>
    <w:rsid w:val="004B1A83"/>
    <w:rsid w:val="004B1CC6"/>
    <w:rsid w:val="004B1F15"/>
    <w:rsid w:val="004B1F86"/>
    <w:rsid w:val="004B2144"/>
    <w:rsid w:val="004B250D"/>
    <w:rsid w:val="004B2547"/>
    <w:rsid w:val="004B286B"/>
    <w:rsid w:val="004B29D0"/>
    <w:rsid w:val="004B2D12"/>
    <w:rsid w:val="004B31F8"/>
    <w:rsid w:val="004B31FD"/>
    <w:rsid w:val="004B373A"/>
    <w:rsid w:val="004B3752"/>
    <w:rsid w:val="004B3779"/>
    <w:rsid w:val="004B3901"/>
    <w:rsid w:val="004B3A79"/>
    <w:rsid w:val="004B3AD0"/>
    <w:rsid w:val="004B3B7E"/>
    <w:rsid w:val="004B3E89"/>
    <w:rsid w:val="004B3EAD"/>
    <w:rsid w:val="004B3EE5"/>
    <w:rsid w:val="004B40BD"/>
    <w:rsid w:val="004B40F8"/>
    <w:rsid w:val="004B40FB"/>
    <w:rsid w:val="004B42C5"/>
    <w:rsid w:val="004B45CF"/>
    <w:rsid w:val="004B45F0"/>
    <w:rsid w:val="004B46B6"/>
    <w:rsid w:val="004B4819"/>
    <w:rsid w:val="004B4EE1"/>
    <w:rsid w:val="004B4EF9"/>
    <w:rsid w:val="004B5158"/>
    <w:rsid w:val="004B52E3"/>
    <w:rsid w:val="004B538B"/>
    <w:rsid w:val="004B5393"/>
    <w:rsid w:val="004B5580"/>
    <w:rsid w:val="004B575D"/>
    <w:rsid w:val="004B5835"/>
    <w:rsid w:val="004B58F9"/>
    <w:rsid w:val="004B59F9"/>
    <w:rsid w:val="004B5DBB"/>
    <w:rsid w:val="004B63E5"/>
    <w:rsid w:val="004B679F"/>
    <w:rsid w:val="004B69C9"/>
    <w:rsid w:val="004B6F6A"/>
    <w:rsid w:val="004B75A1"/>
    <w:rsid w:val="004B76C6"/>
    <w:rsid w:val="004B775F"/>
    <w:rsid w:val="004B777A"/>
    <w:rsid w:val="004B785A"/>
    <w:rsid w:val="004B7966"/>
    <w:rsid w:val="004B7C0C"/>
    <w:rsid w:val="004B7C7D"/>
    <w:rsid w:val="004B7E99"/>
    <w:rsid w:val="004C021A"/>
    <w:rsid w:val="004C0351"/>
    <w:rsid w:val="004C04B6"/>
    <w:rsid w:val="004C0ADD"/>
    <w:rsid w:val="004C12CA"/>
    <w:rsid w:val="004C1310"/>
    <w:rsid w:val="004C13D9"/>
    <w:rsid w:val="004C184D"/>
    <w:rsid w:val="004C1916"/>
    <w:rsid w:val="004C1B1D"/>
    <w:rsid w:val="004C2319"/>
    <w:rsid w:val="004C23A9"/>
    <w:rsid w:val="004C23F9"/>
    <w:rsid w:val="004C2432"/>
    <w:rsid w:val="004C2735"/>
    <w:rsid w:val="004C277C"/>
    <w:rsid w:val="004C29FD"/>
    <w:rsid w:val="004C2A57"/>
    <w:rsid w:val="004C2A6C"/>
    <w:rsid w:val="004C2C8D"/>
    <w:rsid w:val="004C2FE8"/>
    <w:rsid w:val="004C30DB"/>
    <w:rsid w:val="004C3382"/>
    <w:rsid w:val="004C34F5"/>
    <w:rsid w:val="004C372F"/>
    <w:rsid w:val="004C3898"/>
    <w:rsid w:val="004C3959"/>
    <w:rsid w:val="004C4117"/>
    <w:rsid w:val="004C41CE"/>
    <w:rsid w:val="004C42AD"/>
    <w:rsid w:val="004C46E6"/>
    <w:rsid w:val="004C4BB9"/>
    <w:rsid w:val="004C4C45"/>
    <w:rsid w:val="004C4ECD"/>
    <w:rsid w:val="004C50AC"/>
    <w:rsid w:val="004C56DF"/>
    <w:rsid w:val="004C5901"/>
    <w:rsid w:val="004C5930"/>
    <w:rsid w:val="004C5956"/>
    <w:rsid w:val="004C5A31"/>
    <w:rsid w:val="004C5AB1"/>
    <w:rsid w:val="004C5AFE"/>
    <w:rsid w:val="004C5B60"/>
    <w:rsid w:val="004C5DD8"/>
    <w:rsid w:val="004C6234"/>
    <w:rsid w:val="004C6287"/>
    <w:rsid w:val="004C629A"/>
    <w:rsid w:val="004C6580"/>
    <w:rsid w:val="004C6863"/>
    <w:rsid w:val="004C6CCC"/>
    <w:rsid w:val="004C6E92"/>
    <w:rsid w:val="004C7164"/>
    <w:rsid w:val="004C72DA"/>
    <w:rsid w:val="004C75CB"/>
    <w:rsid w:val="004C78C0"/>
    <w:rsid w:val="004C794B"/>
    <w:rsid w:val="004C7AC3"/>
    <w:rsid w:val="004D0011"/>
    <w:rsid w:val="004D00C5"/>
    <w:rsid w:val="004D025A"/>
    <w:rsid w:val="004D02F5"/>
    <w:rsid w:val="004D05EB"/>
    <w:rsid w:val="004D086E"/>
    <w:rsid w:val="004D0F15"/>
    <w:rsid w:val="004D0F85"/>
    <w:rsid w:val="004D1229"/>
    <w:rsid w:val="004D131D"/>
    <w:rsid w:val="004D13AB"/>
    <w:rsid w:val="004D185D"/>
    <w:rsid w:val="004D186E"/>
    <w:rsid w:val="004D1FB9"/>
    <w:rsid w:val="004D20C3"/>
    <w:rsid w:val="004D23DC"/>
    <w:rsid w:val="004D2474"/>
    <w:rsid w:val="004D26B3"/>
    <w:rsid w:val="004D28E4"/>
    <w:rsid w:val="004D2910"/>
    <w:rsid w:val="004D2BB6"/>
    <w:rsid w:val="004D2CCF"/>
    <w:rsid w:val="004D316D"/>
    <w:rsid w:val="004D36B1"/>
    <w:rsid w:val="004D3798"/>
    <w:rsid w:val="004D3A9D"/>
    <w:rsid w:val="004D3B70"/>
    <w:rsid w:val="004D3C0D"/>
    <w:rsid w:val="004D3C42"/>
    <w:rsid w:val="004D3E98"/>
    <w:rsid w:val="004D3F33"/>
    <w:rsid w:val="004D3F8E"/>
    <w:rsid w:val="004D4353"/>
    <w:rsid w:val="004D4368"/>
    <w:rsid w:val="004D43D7"/>
    <w:rsid w:val="004D4548"/>
    <w:rsid w:val="004D4729"/>
    <w:rsid w:val="004D4747"/>
    <w:rsid w:val="004D4769"/>
    <w:rsid w:val="004D48B3"/>
    <w:rsid w:val="004D49BA"/>
    <w:rsid w:val="004D4B47"/>
    <w:rsid w:val="004D4BE1"/>
    <w:rsid w:val="004D4E62"/>
    <w:rsid w:val="004D4F4F"/>
    <w:rsid w:val="004D54ED"/>
    <w:rsid w:val="004D5548"/>
    <w:rsid w:val="004D582F"/>
    <w:rsid w:val="004D5C71"/>
    <w:rsid w:val="004D5EA6"/>
    <w:rsid w:val="004D5F0D"/>
    <w:rsid w:val="004D6306"/>
    <w:rsid w:val="004D63CA"/>
    <w:rsid w:val="004D6527"/>
    <w:rsid w:val="004D6730"/>
    <w:rsid w:val="004D67CA"/>
    <w:rsid w:val="004D6810"/>
    <w:rsid w:val="004D6880"/>
    <w:rsid w:val="004D6963"/>
    <w:rsid w:val="004D6CB1"/>
    <w:rsid w:val="004D6CE4"/>
    <w:rsid w:val="004D6D39"/>
    <w:rsid w:val="004D6E89"/>
    <w:rsid w:val="004D7086"/>
    <w:rsid w:val="004D70D8"/>
    <w:rsid w:val="004D710F"/>
    <w:rsid w:val="004D7258"/>
    <w:rsid w:val="004D73E0"/>
    <w:rsid w:val="004D7465"/>
    <w:rsid w:val="004D74D6"/>
    <w:rsid w:val="004D76E3"/>
    <w:rsid w:val="004D7772"/>
    <w:rsid w:val="004D7DA6"/>
    <w:rsid w:val="004D7EBD"/>
    <w:rsid w:val="004E0024"/>
    <w:rsid w:val="004E0210"/>
    <w:rsid w:val="004E02FA"/>
    <w:rsid w:val="004E0937"/>
    <w:rsid w:val="004E0A5E"/>
    <w:rsid w:val="004E0EE1"/>
    <w:rsid w:val="004E0F41"/>
    <w:rsid w:val="004E0FCC"/>
    <w:rsid w:val="004E126A"/>
    <w:rsid w:val="004E12D5"/>
    <w:rsid w:val="004E15F7"/>
    <w:rsid w:val="004E1640"/>
    <w:rsid w:val="004E1775"/>
    <w:rsid w:val="004E1CBC"/>
    <w:rsid w:val="004E1DDC"/>
    <w:rsid w:val="004E1FC5"/>
    <w:rsid w:val="004E216B"/>
    <w:rsid w:val="004E2310"/>
    <w:rsid w:val="004E2680"/>
    <w:rsid w:val="004E28F9"/>
    <w:rsid w:val="004E29EA"/>
    <w:rsid w:val="004E2A04"/>
    <w:rsid w:val="004E2CA6"/>
    <w:rsid w:val="004E2D37"/>
    <w:rsid w:val="004E2EA5"/>
    <w:rsid w:val="004E305D"/>
    <w:rsid w:val="004E30A4"/>
    <w:rsid w:val="004E3309"/>
    <w:rsid w:val="004E3588"/>
    <w:rsid w:val="004E369E"/>
    <w:rsid w:val="004E37B3"/>
    <w:rsid w:val="004E3C7E"/>
    <w:rsid w:val="004E4457"/>
    <w:rsid w:val="004E462E"/>
    <w:rsid w:val="004E4A5A"/>
    <w:rsid w:val="004E4B64"/>
    <w:rsid w:val="004E4C19"/>
    <w:rsid w:val="004E4DE1"/>
    <w:rsid w:val="004E4F4B"/>
    <w:rsid w:val="004E4FC0"/>
    <w:rsid w:val="004E5425"/>
    <w:rsid w:val="004E5462"/>
    <w:rsid w:val="004E5536"/>
    <w:rsid w:val="004E56DC"/>
    <w:rsid w:val="004E573C"/>
    <w:rsid w:val="004E57EE"/>
    <w:rsid w:val="004E5AED"/>
    <w:rsid w:val="004E5C8A"/>
    <w:rsid w:val="004E5F87"/>
    <w:rsid w:val="004E6CA2"/>
    <w:rsid w:val="004E6D2F"/>
    <w:rsid w:val="004E7006"/>
    <w:rsid w:val="004E7332"/>
    <w:rsid w:val="004E7570"/>
    <w:rsid w:val="004E7687"/>
    <w:rsid w:val="004E76F4"/>
    <w:rsid w:val="004E792B"/>
    <w:rsid w:val="004E7B5F"/>
    <w:rsid w:val="004E7F5E"/>
    <w:rsid w:val="004F0394"/>
    <w:rsid w:val="004F03A0"/>
    <w:rsid w:val="004F03C8"/>
    <w:rsid w:val="004F0A2B"/>
    <w:rsid w:val="004F0ABE"/>
    <w:rsid w:val="004F0B1C"/>
    <w:rsid w:val="004F0B4E"/>
    <w:rsid w:val="004F0B6C"/>
    <w:rsid w:val="004F114F"/>
    <w:rsid w:val="004F11BD"/>
    <w:rsid w:val="004F1653"/>
    <w:rsid w:val="004F16A8"/>
    <w:rsid w:val="004F16F6"/>
    <w:rsid w:val="004F17D8"/>
    <w:rsid w:val="004F182A"/>
    <w:rsid w:val="004F1852"/>
    <w:rsid w:val="004F185C"/>
    <w:rsid w:val="004F1EFE"/>
    <w:rsid w:val="004F2078"/>
    <w:rsid w:val="004F21A6"/>
    <w:rsid w:val="004F246F"/>
    <w:rsid w:val="004F25BF"/>
    <w:rsid w:val="004F271D"/>
    <w:rsid w:val="004F2791"/>
    <w:rsid w:val="004F28F1"/>
    <w:rsid w:val="004F29B9"/>
    <w:rsid w:val="004F2A1F"/>
    <w:rsid w:val="004F2D0B"/>
    <w:rsid w:val="004F2E18"/>
    <w:rsid w:val="004F2E98"/>
    <w:rsid w:val="004F3035"/>
    <w:rsid w:val="004F3068"/>
    <w:rsid w:val="004F3453"/>
    <w:rsid w:val="004F37CC"/>
    <w:rsid w:val="004F3882"/>
    <w:rsid w:val="004F3938"/>
    <w:rsid w:val="004F4AE5"/>
    <w:rsid w:val="004F4B99"/>
    <w:rsid w:val="004F4D15"/>
    <w:rsid w:val="004F4D2C"/>
    <w:rsid w:val="004F4DA3"/>
    <w:rsid w:val="004F4E2A"/>
    <w:rsid w:val="004F4F05"/>
    <w:rsid w:val="004F4F94"/>
    <w:rsid w:val="004F50BC"/>
    <w:rsid w:val="004F5290"/>
    <w:rsid w:val="004F52D3"/>
    <w:rsid w:val="004F53C1"/>
    <w:rsid w:val="004F563C"/>
    <w:rsid w:val="004F56B3"/>
    <w:rsid w:val="004F580A"/>
    <w:rsid w:val="004F5A95"/>
    <w:rsid w:val="004F5B35"/>
    <w:rsid w:val="004F5BE0"/>
    <w:rsid w:val="004F5C17"/>
    <w:rsid w:val="004F5E65"/>
    <w:rsid w:val="004F60A2"/>
    <w:rsid w:val="004F62F3"/>
    <w:rsid w:val="004F6565"/>
    <w:rsid w:val="004F6AF1"/>
    <w:rsid w:val="004F6B11"/>
    <w:rsid w:val="004F6D93"/>
    <w:rsid w:val="004F6EDC"/>
    <w:rsid w:val="004F6F04"/>
    <w:rsid w:val="004F71D7"/>
    <w:rsid w:val="004F730E"/>
    <w:rsid w:val="004F7354"/>
    <w:rsid w:val="004F73B5"/>
    <w:rsid w:val="004F7660"/>
    <w:rsid w:val="004F76DE"/>
    <w:rsid w:val="004F76F2"/>
    <w:rsid w:val="004F7878"/>
    <w:rsid w:val="004F7A59"/>
    <w:rsid w:val="004F7FA6"/>
    <w:rsid w:val="00500110"/>
    <w:rsid w:val="005002A4"/>
    <w:rsid w:val="0050033E"/>
    <w:rsid w:val="00500691"/>
    <w:rsid w:val="00500813"/>
    <w:rsid w:val="005008D8"/>
    <w:rsid w:val="00500B25"/>
    <w:rsid w:val="005010B1"/>
    <w:rsid w:val="005012AA"/>
    <w:rsid w:val="005015E2"/>
    <w:rsid w:val="00501636"/>
    <w:rsid w:val="0050166C"/>
    <w:rsid w:val="005016B6"/>
    <w:rsid w:val="005016BD"/>
    <w:rsid w:val="005016C8"/>
    <w:rsid w:val="005018F2"/>
    <w:rsid w:val="00501949"/>
    <w:rsid w:val="00501AEF"/>
    <w:rsid w:val="00501CD4"/>
    <w:rsid w:val="00501D40"/>
    <w:rsid w:val="0050208F"/>
    <w:rsid w:val="0050220C"/>
    <w:rsid w:val="005027AA"/>
    <w:rsid w:val="0050280A"/>
    <w:rsid w:val="00502CA2"/>
    <w:rsid w:val="00502DF3"/>
    <w:rsid w:val="00502E5A"/>
    <w:rsid w:val="0050306A"/>
    <w:rsid w:val="005030F7"/>
    <w:rsid w:val="005032A0"/>
    <w:rsid w:val="00503E8A"/>
    <w:rsid w:val="00504122"/>
    <w:rsid w:val="0050420A"/>
    <w:rsid w:val="00504530"/>
    <w:rsid w:val="0050454C"/>
    <w:rsid w:val="00504564"/>
    <w:rsid w:val="00504633"/>
    <w:rsid w:val="00504B21"/>
    <w:rsid w:val="00504EAB"/>
    <w:rsid w:val="00505370"/>
    <w:rsid w:val="005055B7"/>
    <w:rsid w:val="00505862"/>
    <w:rsid w:val="00505A5B"/>
    <w:rsid w:val="00505B2B"/>
    <w:rsid w:val="00505BCC"/>
    <w:rsid w:val="00505C80"/>
    <w:rsid w:val="00505CEC"/>
    <w:rsid w:val="0050620B"/>
    <w:rsid w:val="0050624B"/>
    <w:rsid w:val="005062AF"/>
    <w:rsid w:val="0050632E"/>
    <w:rsid w:val="00506557"/>
    <w:rsid w:val="005065E2"/>
    <w:rsid w:val="005066F3"/>
    <w:rsid w:val="0050677A"/>
    <w:rsid w:val="0050680A"/>
    <w:rsid w:val="00506870"/>
    <w:rsid w:val="00506989"/>
    <w:rsid w:val="00506DC1"/>
    <w:rsid w:val="00506ED0"/>
    <w:rsid w:val="00507058"/>
    <w:rsid w:val="005070F8"/>
    <w:rsid w:val="005073D4"/>
    <w:rsid w:val="00507461"/>
    <w:rsid w:val="0050747A"/>
    <w:rsid w:val="00507549"/>
    <w:rsid w:val="005076CC"/>
    <w:rsid w:val="00507CFF"/>
    <w:rsid w:val="00507F50"/>
    <w:rsid w:val="00507F94"/>
    <w:rsid w:val="005102DF"/>
    <w:rsid w:val="0051047F"/>
    <w:rsid w:val="005104F1"/>
    <w:rsid w:val="005107EA"/>
    <w:rsid w:val="005108D8"/>
    <w:rsid w:val="00510903"/>
    <w:rsid w:val="00510C69"/>
    <w:rsid w:val="00510C95"/>
    <w:rsid w:val="00510CFD"/>
    <w:rsid w:val="00510E59"/>
    <w:rsid w:val="00510EF8"/>
    <w:rsid w:val="00510FD2"/>
    <w:rsid w:val="00510FF2"/>
    <w:rsid w:val="005110D3"/>
    <w:rsid w:val="00511187"/>
    <w:rsid w:val="0051127B"/>
    <w:rsid w:val="00511292"/>
    <w:rsid w:val="00511535"/>
    <w:rsid w:val="005116F9"/>
    <w:rsid w:val="00511755"/>
    <w:rsid w:val="00511ACD"/>
    <w:rsid w:val="00511B98"/>
    <w:rsid w:val="00511D40"/>
    <w:rsid w:val="00511D60"/>
    <w:rsid w:val="005120D0"/>
    <w:rsid w:val="00512120"/>
    <w:rsid w:val="005124CF"/>
    <w:rsid w:val="00512511"/>
    <w:rsid w:val="00512528"/>
    <w:rsid w:val="005126E1"/>
    <w:rsid w:val="005126EE"/>
    <w:rsid w:val="00512951"/>
    <w:rsid w:val="00512B45"/>
    <w:rsid w:val="00512C53"/>
    <w:rsid w:val="0051334E"/>
    <w:rsid w:val="005137D4"/>
    <w:rsid w:val="0051394C"/>
    <w:rsid w:val="00513B54"/>
    <w:rsid w:val="00513CB6"/>
    <w:rsid w:val="00513EA7"/>
    <w:rsid w:val="00514083"/>
    <w:rsid w:val="005140A9"/>
    <w:rsid w:val="00514197"/>
    <w:rsid w:val="005145D9"/>
    <w:rsid w:val="005147AC"/>
    <w:rsid w:val="0051485B"/>
    <w:rsid w:val="00514900"/>
    <w:rsid w:val="00514932"/>
    <w:rsid w:val="00514D0B"/>
    <w:rsid w:val="00514FD3"/>
    <w:rsid w:val="00515187"/>
    <w:rsid w:val="00515269"/>
    <w:rsid w:val="005152A1"/>
    <w:rsid w:val="005153A7"/>
    <w:rsid w:val="0051543B"/>
    <w:rsid w:val="005157EC"/>
    <w:rsid w:val="00515957"/>
    <w:rsid w:val="00515A54"/>
    <w:rsid w:val="00515D73"/>
    <w:rsid w:val="00515DBC"/>
    <w:rsid w:val="00515E43"/>
    <w:rsid w:val="005162F9"/>
    <w:rsid w:val="00516468"/>
    <w:rsid w:val="00516557"/>
    <w:rsid w:val="00516823"/>
    <w:rsid w:val="00516856"/>
    <w:rsid w:val="00516EC2"/>
    <w:rsid w:val="00516EE4"/>
    <w:rsid w:val="005170D1"/>
    <w:rsid w:val="0051732C"/>
    <w:rsid w:val="00517691"/>
    <w:rsid w:val="005176D8"/>
    <w:rsid w:val="00517AF0"/>
    <w:rsid w:val="00517D2D"/>
    <w:rsid w:val="00517D3F"/>
    <w:rsid w:val="00517DFF"/>
    <w:rsid w:val="00517E57"/>
    <w:rsid w:val="005200C0"/>
    <w:rsid w:val="0052036D"/>
    <w:rsid w:val="005204C0"/>
    <w:rsid w:val="0052056E"/>
    <w:rsid w:val="005207C8"/>
    <w:rsid w:val="005209EB"/>
    <w:rsid w:val="00520D77"/>
    <w:rsid w:val="00520DD0"/>
    <w:rsid w:val="00520F46"/>
    <w:rsid w:val="00520FB1"/>
    <w:rsid w:val="00520FEB"/>
    <w:rsid w:val="0052101B"/>
    <w:rsid w:val="00521029"/>
    <w:rsid w:val="005210FE"/>
    <w:rsid w:val="0052125D"/>
    <w:rsid w:val="00521301"/>
    <w:rsid w:val="00521410"/>
    <w:rsid w:val="005215A0"/>
    <w:rsid w:val="005215E6"/>
    <w:rsid w:val="00521631"/>
    <w:rsid w:val="00521876"/>
    <w:rsid w:val="00521970"/>
    <w:rsid w:val="005219CF"/>
    <w:rsid w:val="00521A8C"/>
    <w:rsid w:val="00521AE1"/>
    <w:rsid w:val="00521B8C"/>
    <w:rsid w:val="00521CFE"/>
    <w:rsid w:val="00521D8A"/>
    <w:rsid w:val="00521EC7"/>
    <w:rsid w:val="00522605"/>
    <w:rsid w:val="00522731"/>
    <w:rsid w:val="00522931"/>
    <w:rsid w:val="00522E72"/>
    <w:rsid w:val="00523142"/>
    <w:rsid w:val="0052361C"/>
    <w:rsid w:val="00523985"/>
    <w:rsid w:val="00523B2F"/>
    <w:rsid w:val="00523B84"/>
    <w:rsid w:val="00523C59"/>
    <w:rsid w:val="00523E1B"/>
    <w:rsid w:val="00523EE1"/>
    <w:rsid w:val="00523EEF"/>
    <w:rsid w:val="00523FD8"/>
    <w:rsid w:val="005246FC"/>
    <w:rsid w:val="005249D1"/>
    <w:rsid w:val="00524C64"/>
    <w:rsid w:val="00524CD9"/>
    <w:rsid w:val="00524CFE"/>
    <w:rsid w:val="00524D9D"/>
    <w:rsid w:val="00524E6E"/>
    <w:rsid w:val="00524EDE"/>
    <w:rsid w:val="00525175"/>
    <w:rsid w:val="00525490"/>
    <w:rsid w:val="0052549F"/>
    <w:rsid w:val="005254BA"/>
    <w:rsid w:val="005255E7"/>
    <w:rsid w:val="0052583E"/>
    <w:rsid w:val="00525AD7"/>
    <w:rsid w:val="00525B16"/>
    <w:rsid w:val="00525D47"/>
    <w:rsid w:val="00525EE0"/>
    <w:rsid w:val="00525F50"/>
    <w:rsid w:val="0052620A"/>
    <w:rsid w:val="0052627E"/>
    <w:rsid w:val="00526582"/>
    <w:rsid w:val="005266AF"/>
    <w:rsid w:val="005267A6"/>
    <w:rsid w:val="00526B6B"/>
    <w:rsid w:val="00526CA1"/>
    <w:rsid w:val="0052703A"/>
    <w:rsid w:val="005272F1"/>
    <w:rsid w:val="005273C1"/>
    <w:rsid w:val="0052741F"/>
    <w:rsid w:val="00527693"/>
    <w:rsid w:val="00527745"/>
    <w:rsid w:val="0052778C"/>
    <w:rsid w:val="005278F1"/>
    <w:rsid w:val="005279F4"/>
    <w:rsid w:val="00527C56"/>
    <w:rsid w:val="00527C6E"/>
    <w:rsid w:val="00527C87"/>
    <w:rsid w:val="00527F3E"/>
    <w:rsid w:val="00527F56"/>
    <w:rsid w:val="0053019F"/>
    <w:rsid w:val="005302A7"/>
    <w:rsid w:val="0053037B"/>
    <w:rsid w:val="005303AF"/>
    <w:rsid w:val="00530451"/>
    <w:rsid w:val="00530479"/>
    <w:rsid w:val="005309C9"/>
    <w:rsid w:val="005313A0"/>
    <w:rsid w:val="0053179B"/>
    <w:rsid w:val="00531854"/>
    <w:rsid w:val="0053198A"/>
    <w:rsid w:val="00531D27"/>
    <w:rsid w:val="00532642"/>
    <w:rsid w:val="0053268D"/>
    <w:rsid w:val="00532808"/>
    <w:rsid w:val="00532913"/>
    <w:rsid w:val="00532A40"/>
    <w:rsid w:val="00532D34"/>
    <w:rsid w:val="00533227"/>
    <w:rsid w:val="00533601"/>
    <w:rsid w:val="00533962"/>
    <w:rsid w:val="00533A15"/>
    <w:rsid w:val="00533A9B"/>
    <w:rsid w:val="00533C6F"/>
    <w:rsid w:val="00533CE1"/>
    <w:rsid w:val="00533D55"/>
    <w:rsid w:val="00533E66"/>
    <w:rsid w:val="005341CA"/>
    <w:rsid w:val="00534573"/>
    <w:rsid w:val="00534915"/>
    <w:rsid w:val="005349BC"/>
    <w:rsid w:val="005349D2"/>
    <w:rsid w:val="00534A84"/>
    <w:rsid w:val="00534B59"/>
    <w:rsid w:val="00534BB2"/>
    <w:rsid w:val="00534CB2"/>
    <w:rsid w:val="00534E25"/>
    <w:rsid w:val="00534EDC"/>
    <w:rsid w:val="00534F37"/>
    <w:rsid w:val="00534F96"/>
    <w:rsid w:val="0053506A"/>
    <w:rsid w:val="005350CD"/>
    <w:rsid w:val="00535182"/>
    <w:rsid w:val="00535338"/>
    <w:rsid w:val="00535343"/>
    <w:rsid w:val="00535511"/>
    <w:rsid w:val="00535636"/>
    <w:rsid w:val="00535679"/>
    <w:rsid w:val="00535693"/>
    <w:rsid w:val="005357C0"/>
    <w:rsid w:val="00535818"/>
    <w:rsid w:val="00535AA3"/>
    <w:rsid w:val="00535D01"/>
    <w:rsid w:val="00535FBA"/>
    <w:rsid w:val="0053641E"/>
    <w:rsid w:val="0053653C"/>
    <w:rsid w:val="00536586"/>
    <w:rsid w:val="005365C8"/>
    <w:rsid w:val="0053665A"/>
    <w:rsid w:val="00536663"/>
    <w:rsid w:val="00536759"/>
    <w:rsid w:val="00536B28"/>
    <w:rsid w:val="00536BCC"/>
    <w:rsid w:val="00536D72"/>
    <w:rsid w:val="00536F79"/>
    <w:rsid w:val="005370FB"/>
    <w:rsid w:val="00537197"/>
    <w:rsid w:val="005374CD"/>
    <w:rsid w:val="00537809"/>
    <w:rsid w:val="00537C62"/>
    <w:rsid w:val="00537D66"/>
    <w:rsid w:val="0054044D"/>
    <w:rsid w:val="005405AE"/>
    <w:rsid w:val="00540741"/>
    <w:rsid w:val="005409AB"/>
    <w:rsid w:val="00540BE0"/>
    <w:rsid w:val="00540C30"/>
    <w:rsid w:val="00540E92"/>
    <w:rsid w:val="0054109A"/>
    <w:rsid w:val="00541130"/>
    <w:rsid w:val="005412CD"/>
    <w:rsid w:val="00541311"/>
    <w:rsid w:val="00541538"/>
    <w:rsid w:val="005415F4"/>
    <w:rsid w:val="00541928"/>
    <w:rsid w:val="00541957"/>
    <w:rsid w:val="005419FA"/>
    <w:rsid w:val="00541B2E"/>
    <w:rsid w:val="00541DB6"/>
    <w:rsid w:val="00541E02"/>
    <w:rsid w:val="00541E5B"/>
    <w:rsid w:val="00541EE0"/>
    <w:rsid w:val="00542076"/>
    <w:rsid w:val="005425DA"/>
    <w:rsid w:val="00542842"/>
    <w:rsid w:val="00542932"/>
    <w:rsid w:val="00542AF2"/>
    <w:rsid w:val="00542B40"/>
    <w:rsid w:val="00542C46"/>
    <w:rsid w:val="00542C7A"/>
    <w:rsid w:val="00542C82"/>
    <w:rsid w:val="00542D26"/>
    <w:rsid w:val="00542F36"/>
    <w:rsid w:val="00543155"/>
    <w:rsid w:val="00543247"/>
    <w:rsid w:val="00543268"/>
    <w:rsid w:val="00543330"/>
    <w:rsid w:val="0054340D"/>
    <w:rsid w:val="00543437"/>
    <w:rsid w:val="00543464"/>
    <w:rsid w:val="00543573"/>
    <w:rsid w:val="005437E4"/>
    <w:rsid w:val="00543AA4"/>
    <w:rsid w:val="00543BDE"/>
    <w:rsid w:val="00543C7C"/>
    <w:rsid w:val="00543D97"/>
    <w:rsid w:val="005440F3"/>
    <w:rsid w:val="005442EF"/>
    <w:rsid w:val="0054442E"/>
    <w:rsid w:val="00544590"/>
    <w:rsid w:val="005445E5"/>
    <w:rsid w:val="00544678"/>
    <w:rsid w:val="005448E2"/>
    <w:rsid w:val="00544B35"/>
    <w:rsid w:val="00544D7E"/>
    <w:rsid w:val="00544DF7"/>
    <w:rsid w:val="00544EBE"/>
    <w:rsid w:val="00544F5F"/>
    <w:rsid w:val="0054500D"/>
    <w:rsid w:val="0054504D"/>
    <w:rsid w:val="005451DE"/>
    <w:rsid w:val="00545310"/>
    <w:rsid w:val="005454DF"/>
    <w:rsid w:val="0054589B"/>
    <w:rsid w:val="0054601B"/>
    <w:rsid w:val="00546114"/>
    <w:rsid w:val="0054614C"/>
    <w:rsid w:val="00546348"/>
    <w:rsid w:val="00546521"/>
    <w:rsid w:val="005468AA"/>
    <w:rsid w:val="00546917"/>
    <w:rsid w:val="00546970"/>
    <w:rsid w:val="005469C4"/>
    <w:rsid w:val="00546AE5"/>
    <w:rsid w:val="00546C17"/>
    <w:rsid w:val="00546D26"/>
    <w:rsid w:val="0054765B"/>
    <w:rsid w:val="005476CF"/>
    <w:rsid w:val="00547907"/>
    <w:rsid w:val="0054799D"/>
    <w:rsid w:val="005479DC"/>
    <w:rsid w:val="00547A62"/>
    <w:rsid w:val="00547CC0"/>
    <w:rsid w:val="00547E25"/>
    <w:rsid w:val="00547F85"/>
    <w:rsid w:val="00550177"/>
    <w:rsid w:val="00550229"/>
    <w:rsid w:val="00550232"/>
    <w:rsid w:val="0055037A"/>
    <w:rsid w:val="005505F8"/>
    <w:rsid w:val="00550801"/>
    <w:rsid w:val="005508EC"/>
    <w:rsid w:val="005509A2"/>
    <w:rsid w:val="00550A8B"/>
    <w:rsid w:val="00550B0E"/>
    <w:rsid w:val="00550BF8"/>
    <w:rsid w:val="00551126"/>
    <w:rsid w:val="0055113D"/>
    <w:rsid w:val="0055122B"/>
    <w:rsid w:val="0055159C"/>
    <w:rsid w:val="005516B7"/>
    <w:rsid w:val="0055189D"/>
    <w:rsid w:val="00551951"/>
    <w:rsid w:val="00551DD4"/>
    <w:rsid w:val="00552016"/>
    <w:rsid w:val="005522B5"/>
    <w:rsid w:val="0055245A"/>
    <w:rsid w:val="005524BF"/>
    <w:rsid w:val="005527D2"/>
    <w:rsid w:val="00552C0A"/>
    <w:rsid w:val="005530B7"/>
    <w:rsid w:val="00553226"/>
    <w:rsid w:val="0055366F"/>
    <w:rsid w:val="00553B5D"/>
    <w:rsid w:val="00553E61"/>
    <w:rsid w:val="005543AF"/>
    <w:rsid w:val="005545ED"/>
    <w:rsid w:val="005546AD"/>
    <w:rsid w:val="00554701"/>
    <w:rsid w:val="00554933"/>
    <w:rsid w:val="00554A1D"/>
    <w:rsid w:val="00554D6E"/>
    <w:rsid w:val="00554E19"/>
    <w:rsid w:val="00554F56"/>
    <w:rsid w:val="00554FE1"/>
    <w:rsid w:val="005554F0"/>
    <w:rsid w:val="00555579"/>
    <w:rsid w:val="0055557F"/>
    <w:rsid w:val="00555958"/>
    <w:rsid w:val="00555BB6"/>
    <w:rsid w:val="00555C06"/>
    <w:rsid w:val="00555DFE"/>
    <w:rsid w:val="00556177"/>
    <w:rsid w:val="0055664E"/>
    <w:rsid w:val="005566D9"/>
    <w:rsid w:val="00556850"/>
    <w:rsid w:val="00556A6C"/>
    <w:rsid w:val="0055713C"/>
    <w:rsid w:val="00557508"/>
    <w:rsid w:val="00557980"/>
    <w:rsid w:val="00557B57"/>
    <w:rsid w:val="00557BEE"/>
    <w:rsid w:val="00557C8D"/>
    <w:rsid w:val="00557CC8"/>
    <w:rsid w:val="005600D8"/>
    <w:rsid w:val="0056010F"/>
    <w:rsid w:val="0056043D"/>
    <w:rsid w:val="005604E2"/>
    <w:rsid w:val="005604E9"/>
    <w:rsid w:val="0056051A"/>
    <w:rsid w:val="005607CA"/>
    <w:rsid w:val="005608AB"/>
    <w:rsid w:val="00560E55"/>
    <w:rsid w:val="00560F38"/>
    <w:rsid w:val="00560FA1"/>
    <w:rsid w:val="00561218"/>
    <w:rsid w:val="0056121F"/>
    <w:rsid w:val="00561472"/>
    <w:rsid w:val="0056153A"/>
    <w:rsid w:val="0056175D"/>
    <w:rsid w:val="005618E8"/>
    <w:rsid w:val="00561A3B"/>
    <w:rsid w:val="00561B84"/>
    <w:rsid w:val="00561CC0"/>
    <w:rsid w:val="00561EAD"/>
    <w:rsid w:val="00561F0A"/>
    <w:rsid w:val="00562001"/>
    <w:rsid w:val="00562351"/>
    <w:rsid w:val="005623A8"/>
    <w:rsid w:val="005626A4"/>
    <w:rsid w:val="00562B29"/>
    <w:rsid w:val="00562BB9"/>
    <w:rsid w:val="00562E43"/>
    <w:rsid w:val="00562ED3"/>
    <w:rsid w:val="00562F8B"/>
    <w:rsid w:val="00563090"/>
    <w:rsid w:val="0056312F"/>
    <w:rsid w:val="005633DC"/>
    <w:rsid w:val="00563C5C"/>
    <w:rsid w:val="00563CF8"/>
    <w:rsid w:val="00563D8C"/>
    <w:rsid w:val="00563E94"/>
    <w:rsid w:val="00563F70"/>
    <w:rsid w:val="00563F9F"/>
    <w:rsid w:val="005641EC"/>
    <w:rsid w:val="0056435A"/>
    <w:rsid w:val="005643AA"/>
    <w:rsid w:val="00564445"/>
    <w:rsid w:val="005644D0"/>
    <w:rsid w:val="00564543"/>
    <w:rsid w:val="00564589"/>
    <w:rsid w:val="00564BDE"/>
    <w:rsid w:val="00564BFD"/>
    <w:rsid w:val="00564C24"/>
    <w:rsid w:val="00564ED5"/>
    <w:rsid w:val="00564F57"/>
    <w:rsid w:val="00564F6D"/>
    <w:rsid w:val="00565011"/>
    <w:rsid w:val="00565189"/>
    <w:rsid w:val="0056537D"/>
    <w:rsid w:val="005653B4"/>
    <w:rsid w:val="005656AA"/>
    <w:rsid w:val="005658D6"/>
    <w:rsid w:val="00565AEB"/>
    <w:rsid w:val="00565BCA"/>
    <w:rsid w:val="00565DC9"/>
    <w:rsid w:val="00566053"/>
    <w:rsid w:val="0056666B"/>
    <w:rsid w:val="005666C0"/>
    <w:rsid w:val="0056692D"/>
    <w:rsid w:val="005669D2"/>
    <w:rsid w:val="00566BB3"/>
    <w:rsid w:val="00566BE2"/>
    <w:rsid w:val="00566E1C"/>
    <w:rsid w:val="00566E60"/>
    <w:rsid w:val="0056707E"/>
    <w:rsid w:val="00567168"/>
    <w:rsid w:val="0056716F"/>
    <w:rsid w:val="00567170"/>
    <w:rsid w:val="0056733D"/>
    <w:rsid w:val="005676D1"/>
    <w:rsid w:val="005677AF"/>
    <w:rsid w:val="0056794D"/>
    <w:rsid w:val="005679E8"/>
    <w:rsid w:val="00567A6D"/>
    <w:rsid w:val="00567B64"/>
    <w:rsid w:val="005704D4"/>
    <w:rsid w:val="005705D2"/>
    <w:rsid w:val="00570AD6"/>
    <w:rsid w:val="00570CB1"/>
    <w:rsid w:val="0057105C"/>
    <w:rsid w:val="005711B3"/>
    <w:rsid w:val="00571458"/>
    <w:rsid w:val="005714DF"/>
    <w:rsid w:val="00571656"/>
    <w:rsid w:val="005717C3"/>
    <w:rsid w:val="005719CC"/>
    <w:rsid w:val="00571A41"/>
    <w:rsid w:val="00571D1B"/>
    <w:rsid w:val="00572098"/>
    <w:rsid w:val="005720FB"/>
    <w:rsid w:val="0057219A"/>
    <w:rsid w:val="005721DF"/>
    <w:rsid w:val="005722AC"/>
    <w:rsid w:val="00572505"/>
    <w:rsid w:val="00572CEC"/>
    <w:rsid w:val="00572DB9"/>
    <w:rsid w:val="00572F0A"/>
    <w:rsid w:val="00573052"/>
    <w:rsid w:val="0057314B"/>
    <w:rsid w:val="00573273"/>
    <w:rsid w:val="0057327A"/>
    <w:rsid w:val="005734A7"/>
    <w:rsid w:val="00573787"/>
    <w:rsid w:val="00574033"/>
    <w:rsid w:val="0057419D"/>
    <w:rsid w:val="0057423C"/>
    <w:rsid w:val="00574487"/>
    <w:rsid w:val="0057454F"/>
    <w:rsid w:val="00574628"/>
    <w:rsid w:val="005746C0"/>
    <w:rsid w:val="00574701"/>
    <w:rsid w:val="00574714"/>
    <w:rsid w:val="0057474C"/>
    <w:rsid w:val="005747E3"/>
    <w:rsid w:val="0057480F"/>
    <w:rsid w:val="00574825"/>
    <w:rsid w:val="00574853"/>
    <w:rsid w:val="00574865"/>
    <w:rsid w:val="005749B1"/>
    <w:rsid w:val="00574A54"/>
    <w:rsid w:val="00574DDB"/>
    <w:rsid w:val="005752E1"/>
    <w:rsid w:val="00575328"/>
    <w:rsid w:val="00575380"/>
    <w:rsid w:val="00575A03"/>
    <w:rsid w:val="00575B1A"/>
    <w:rsid w:val="00575B8D"/>
    <w:rsid w:val="00575EA2"/>
    <w:rsid w:val="0057604D"/>
    <w:rsid w:val="005762E2"/>
    <w:rsid w:val="005763D6"/>
    <w:rsid w:val="005766C8"/>
    <w:rsid w:val="005766F2"/>
    <w:rsid w:val="0057672E"/>
    <w:rsid w:val="00576961"/>
    <w:rsid w:val="00576A2E"/>
    <w:rsid w:val="00576B0F"/>
    <w:rsid w:val="005776E3"/>
    <w:rsid w:val="00577749"/>
    <w:rsid w:val="005777A8"/>
    <w:rsid w:val="00577855"/>
    <w:rsid w:val="005778CD"/>
    <w:rsid w:val="00577BB5"/>
    <w:rsid w:val="00577DBA"/>
    <w:rsid w:val="00577E93"/>
    <w:rsid w:val="00577F97"/>
    <w:rsid w:val="00577F9D"/>
    <w:rsid w:val="005805DA"/>
    <w:rsid w:val="00580712"/>
    <w:rsid w:val="005807B3"/>
    <w:rsid w:val="00580860"/>
    <w:rsid w:val="00580C4E"/>
    <w:rsid w:val="00580F16"/>
    <w:rsid w:val="00580FF8"/>
    <w:rsid w:val="00581135"/>
    <w:rsid w:val="005811E2"/>
    <w:rsid w:val="00581204"/>
    <w:rsid w:val="005812F7"/>
    <w:rsid w:val="0058141B"/>
    <w:rsid w:val="005815A0"/>
    <w:rsid w:val="00581827"/>
    <w:rsid w:val="00581935"/>
    <w:rsid w:val="00581A29"/>
    <w:rsid w:val="00581A44"/>
    <w:rsid w:val="00581B69"/>
    <w:rsid w:val="00581BD4"/>
    <w:rsid w:val="00581BFA"/>
    <w:rsid w:val="00581CA4"/>
    <w:rsid w:val="00581D9F"/>
    <w:rsid w:val="00581EE3"/>
    <w:rsid w:val="00581F5E"/>
    <w:rsid w:val="00582177"/>
    <w:rsid w:val="0058220C"/>
    <w:rsid w:val="0058250D"/>
    <w:rsid w:val="0058252E"/>
    <w:rsid w:val="005826C2"/>
    <w:rsid w:val="00582809"/>
    <w:rsid w:val="005828C3"/>
    <w:rsid w:val="005828CA"/>
    <w:rsid w:val="00582969"/>
    <w:rsid w:val="0058299F"/>
    <w:rsid w:val="00582E28"/>
    <w:rsid w:val="005830A5"/>
    <w:rsid w:val="00583101"/>
    <w:rsid w:val="00583417"/>
    <w:rsid w:val="005835C7"/>
    <w:rsid w:val="00583666"/>
    <w:rsid w:val="00583B10"/>
    <w:rsid w:val="00583C0B"/>
    <w:rsid w:val="00583DB8"/>
    <w:rsid w:val="00583ECF"/>
    <w:rsid w:val="00583EFA"/>
    <w:rsid w:val="005842B2"/>
    <w:rsid w:val="00584485"/>
    <w:rsid w:val="005844CA"/>
    <w:rsid w:val="0058493C"/>
    <w:rsid w:val="00584943"/>
    <w:rsid w:val="005849A9"/>
    <w:rsid w:val="00584A41"/>
    <w:rsid w:val="00584B39"/>
    <w:rsid w:val="00584F57"/>
    <w:rsid w:val="005852E1"/>
    <w:rsid w:val="00585389"/>
    <w:rsid w:val="0058539A"/>
    <w:rsid w:val="00585408"/>
    <w:rsid w:val="00585767"/>
    <w:rsid w:val="0058588E"/>
    <w:rsid w:val="00585ACD"/>
    <w:rsid w:val="005860DF"/>
    <w:rsid w:val="00586291"/>
    <w:rsid w:val="0058630E"/>
    <w:rsid w:val="005864A7"/>
    <w:rsid w:val="005864C8"/>
    <w:rsid w:val="00586615"/>
    <w:rsid w:val="00586616"/>
    <w:rsid w:val="005866C7"/>
    <w:rsid w:val="005868E4"/>
    <w:rsid w:val="0058694D"/>
    <w:rsid w:val="00586B8A"/>
    <w:rsid w:val="00586C09"/>
    <w:rsid w:val="00586D1D"/>
    <w:rsid w:val="00586F6D"/>
    <w:rsid w:val="00587141"/>
    <w:rsid w:val="005874C9"/>
    <w:rsid w:val="00587714"/>
    <w:rsid w:val="005877E3"/>
    <w:rsid w:val="0058781A"/>
    <w:rsid w:val="0058798C"/>
    <w:rsid w:val="00587AF3"/>
    <w:rsid w:val="00587B04"/>
    <w:rsid w:val="00587BD8"/>
    <w:rsid w:val="00587DE8"/>
    <w:rsid w:val="005900FA"/>
    <w:rsid w:val="00590115"/>
    <w:rsid w:val="005902EA"/>
    <w:rsid w:val="005903DF"/>
    <w:rsid w:val="00590424"/>
    <w:rsid w:val="00590827"/>
    <w:rsid w:val="00590AE4"/>
    <w:rsid w:val="00590B0E"/>
    <w:rsid w:val="00590BF1"/>
    <w:rsid w:val="00590F30"/>
    <w:rsid w:val="005910D6"/>
    <w:rsid w:val="005910E0"/>
    <w:rsid w:val="00591154"/>
    <w:rsid w:val="0059173B"/>
    <w:rsid w:val="005918C5"/>
    <w:rsid w:val="005918E1"/>
    <w:rsid w:val="0059211E"/>
    <w:rsid w:val="00592308"/>
    <w:rsid w:val="00592402"/>
    <w:rsid w:val="0059259B"/>
    <w:rsid w:val="005925D5"/>
    <w:rsid w:val="005926A0"/>
    <w:rsid w:val="005926C7"/>
    <w:rsid w:val="005929DF"/>
    <w:rsid w:val="00592AAD"/>
    <w:rsid w:val="00592ADF"/>
    <w:rsid w:val="00592B15"/>
    <w:rsid w:val="00592C16"/>
    <w:rsid w:val="00592D41"/>
    <w:rsid w:val="00592ED0"/>
    <w:rsid w:val="00592F1F"/>
    <w:rsid w:val="00593096"/>
    <w:rsid w:val="0059309D"/>
    <w:rsid w:val="00593314"/>
    <w:rsid w:val="0059336F"/>
    <w:rsid w:val="005934DD"/>
    <w:rsid w:val="005935A4"/>
    <w:rsid w:val="005936DD"/>
    <w:rsid w:val="0059381B"/>
    <w:rsid w:val="00593A27"/>
    <w:rsid w:val="00593D24"/>
    <w:rsid w:val="00593DBF"/>
    <w:rsid w:val="00593EC2"/>
    <w:rsid w:val="005941A3"/>
    <w:rsid w:val="005941BD"/>
    <w:rsid w:val="0059431B"/>
    <w:rsid w:val="00594447"/>
    <w:rsid w:val="00594464"/>
    <w:rsid w:val="00594500"/>
    <w:rsid w:val="00594678"/>
    <w:rsid w:val="00594698"/>
    <w:rsid w:val="0059476B"/>
    <w:rsid w:val="005948C2"/>
    <w:rsid w:val="005949EB"/>
    <w:rsid w:val="00594A19"/>
    <w:rsid w:val="00594BFB"/>
    <w:rsid w:val="00594D03"/>
    <w:rsid w:val="00595109"/>
    <w:rsid w:val="00595127"/>
    <w:rsid w:val="0059512A"/>
    <w:rsid w:val="005951BC"/>
    <w:rsid w:val="00595315"/>
    <w:rsid w:val="005953DA"/>
    <w:rsid w:val="00595496"/>
    <w:rsid w:val="00595586"/>
    <w:rsid w:val="00595661"/>
    <w:rsid w:val="005956FB"/>
    <w:rsid w:val="005959B6"/>
    <w:rsid w:val="00595B1C"/>
    <w:rsid w:val="00595B41"/>
    <w:rsid w:val="00595B50"/>
    <w:rsid w:val="00595C20"/>
    <w:rsid w:val="00595C95"/>
    <w:rsid w:val="00595CF4"/>
    <w:rsid w:val="00595DCA"/>
    <w:rsid w:val="00595EC0"/>
    <w:rsid w:val="0059603D"/>
    <w:rsid w:val="00596549"/>
    <w:rsid w:val="005966EC"/>
    <w:rsid w:val="00596719"/>
    <w:rsid w:val="0059692A"/>
    <w:rsid w:val="0059699C"/>
    <w:rsid w:val="00596B24"/>
    <w:rsid w:val="00596BEB"/>
    <w:rsid w:val="00596DAA"/>
    <w:rsid w:val="005970A7"/>
    <w:rsid w:val="0059720C"/>
    <w:rsid w:val="005972FF"/>
    <w:rsid w:val="00597499"/>
    <w:rsid w:val="005976EC"/>
    <w:rsid w:val="0059779B"/>
    <w:rsid w:val="0059792D"/>
    <w:rsid w:val="00597950"/>
    <w:rsid w:val="00597988"/>
    <w:rsid w:val="00597A90"/>
    <w:rsid w:val="005A00F7"/>
    <w:rsid w:val="005A01C1"/>
    <w:rsid w:val="005A0638"/>
    <w:rsid w:val="005A06EC"/>
    <w:rsid w:val="005A086D"/>
    <w:rsid w:val="005A0894"/>
    <w:rsid w:val="005A0902"/>
    <w:rsid w:val="005A09AE"/>
    <w:rsid w:val="005A0AE4"/>
    <w:rsid w:val="005A0CA3"/>
    <w:rsid w:val="005A0DAF"/>
    <w:rsid w:val="005A0FBD"/>
    <w:rsid w:val="005A10F8"/>
    <w:rsid w:val="005A11AE"/>
    <w:rsid w:val="005A1430"/>
    <w:rsid w:val="005A1654"/>
    <w:rsid w:val="005A1850"/>
    <w:rsid w:val="005A189F"/>
    <w:rsid w:val="005A1B67"/>
    <w:rsid w:val="005A1BC5"/>
    <w:rsid w:val="005A1C0A"/>
    <w:rsid w:val="005A1C43"/>
    <w:rsid w:val="005A1EFE"/>
    <w:rsid w:val="005A209A"/>
    <w:rsid w:val="005A246E"/>
    <w:rsid w:val="005A2706"/>
    <w:rsid w:val="005A275F"/>
    <w:rsid w:val="005A28A0"/>
    <w:rsid w:val="005A2B75"/>
    <w:rsid w:val="005A2C59"/>
    <w:rsid w:val="005A2D87"/>
    <w:rsid w:val="005A2D9B"/>
    <w:rsid w:val="005A3080"/>
    <w:rsid w:val="005A318A"/>
    <w:rsid w:val="005A37C1"/>
    <w:rsid w:val="005A3D00"/>
    <w:rsid w:val="005A3E0A"/>
    <w:rsid w:val="005A3ED9"/>
    <w:rsid w:val="005A40CC"/>
    <w:rsid w:val="005A41B3"/>
    <w:rsid w:val="005A4268"/>
    <w:rsid w:val="005A4316"/>
    <w:rsid w:val="005A4960"/>
    <w:rsid w:val="005A4AA5"/>
    <w:rsid w:val="005A4D5E"/>
    <w:rsid w:val="005A4D68"/>
    <w:rsid w:val="005A4D75"/>
    <w:rsid w:val="005A50D6"/>
    <w:rsid w:val="005A50DE"/>
    <w:rsid w:val="005A539D"/>
    <w:rsid w:val="005A558C"/>
    <w:rsid w:val="005A55A4"/>
    <w:rsid w:val="005A561B"/>
    <w:rsid w:val="005A5D10"/>
    <w:rsid w:val="005A600F"/>
    <w:rsid w:val="005A60AE"/>
    <w:rsid w:val="005A62F1"/>
    <w:rsid w:val="005A63B4"/>
    <w:rsid w:val="005A6434"/>
    <w:rsid w:val="005A6460"/>
    <w:rsid w:val="005A662D"/>
    <w:rsid w:val="005A6816"/>
    <w:rsid w:val="005A68CB"/>
    <w:rsid w:val="005A6BB1"/>
    <w:rsid w:val="005A6DD1"/>
    <w:rsid w:val="005A6DEC"/>
    <w:rsid w:val="005A6F68"/>
    <w:rsid w:val="005A7203"/>
    <w:rsid w:val="005A73F3"/>
    <w:rsid w:val="005A73FE"/>
    <w:rsid w:val="005A763B"/>
    <w:rsid w:val="005A77D0"/>
    <w:rsid w:val="005A7AF9"/>
    <w:rsid w:val="005A7B7A"/>
    <w:rsid w:val="005A7E4E"/>
    <w:rsid w:val="005A7F78"/>
    <w:rsid w:val="005A7F85"/>
    <w:rsid w:val="005B00DD"/>
    <w:rsid w:val="005B012E"/>
    <w:rsid w:val="005B01F6"/>
    <w:rsid w:val="005B0219"/>
    <w:rsid w:val="005B0291"/>
    <w:rsid w:val="005B04D6"/>
    <w:rsid w:val="005B06D0"/>
    <w:rsid w:val="005B0946"/>
    <w:rsid w:val="005B099E"/>
    <w:rsid w:val="005B0A41"/>
    <w:rsid w:val="005B10B0"/>
    <w:rsid w:val="005B117B"/>
    <w:rsid w:val="005B12B9"/>
    <w:rsid w:val="005B12DC"/>
    <w:rsid w:val="005B1409"/>
    <w:rsid w:val="005B147E"/>
    <w:rsid w:val="005B1653"/>
    <w:rsid w:val="005B16A5"/>
    <w:rsid w:val="005B16BA"/>
    <w:rsid w:val="005B18CD"/>
    <w:rsid w:val="005B1AFF"/>
    <w:rsid w:val="005B1C0E"/>
    <w:rsid w:val="005B1DE2"/>
    <w:rsid w:val="005B1F0E"/>
    <w:rsid w:val="005B2227"/>
    <w:rsid w:val="005B2602"/>
    <w:rsid w:val="005B26C3"/>
    <w:rsid w:val="005B2E2F"/>
    <w:rsid w:val="005B2F7D"/>
    <w:rsid w:val="005B3309"/>
    <w:rsid w:val="005B34CD"/>
    <w:rsid w:val="005B35D7"/>
    <w:rsid w:val="005B3680"/>
    <w:rsid w:val="005B37CE"/>
    <w:rsid w:val="005B3822"/>
    <w:rsid w:val="005B392A"/>
    <w:rsid w:val="005B3AA3"/>
    <w:rsid w:val="005B3FB8"/>
    <w:rsid w:val="005B414D"/>
    <w:rsid w:val="005B42CB"/>
    <w:rsid w:val="005B4360"/>
    <w:rsid w:val="005B4480"/>
    <w:rsid w:val="005B45C6"/>
    <w:rsid w:val="005B45E2"/>
    <w:rsid w:val="005B46BE"/>
    <w:rsid w:val="005B4715"/>
    <w:rsid w:val="005B4906"/>
    <w:rsid w:val="005B4A3A"/>
    <w:rsid w:val="005B4A81"/>
    <w:rsid w:val="005B4E69"/>
    <w:rsid w:val="005B524D"/>
    <w:rsid w:val="005B566E"/>
    <w:rsid w:val="005B5A53"/>
    <w:rsid w:val="005B5AA5"/>
    <w:rsid w:val="005B5CA4"/>
    <w:rsid w:val="005B5FF0"/>
    <w:rsid w:val="005B604C"/>
    <w:rsid w:val="005B61DA"/>
    <w:rsid w:val="005B6255"/>
    <w:rsid w:val="005B6516"/>
    <w:rsid w:val="005B6643"/>
    <w:rsid w:val="005B6808"/>
    <w:rsid w:val="005B6863"/>
    <w:rsid w:val="005B696A"/>
    <w:rsid w:val="005B6C58"/>
    <w:rsid w:val="005B6CBA"/>
    <w:rsid w:val="005B6E51"/>
    <w:rsid w:val="005B6E9C"/>
    <w:rsid w:val="005B6F23"/>
    <w:rsid w:val="005B6F83"/>
    <w:rsid w:val="005B7230"/>
    <w:rsid w:val="005B730C"/>
    <w:rsid w:val="005B7382"/>
    <w:rsid w:val="005B7480"/>
    <w:rsid w:val="005B7576"/>
    <w:rsid w:val="005B763C"/>
    <w:rsid w:val="005B78DB"/>
    <w:rsid w:val="005B7A34"/>
    <w:rsid w:val="005B7BA4"/>
    <w:rsid w:val="005B7C65"/>
    <w:rsid w:val="005B7FA8"/>
    <w:rsid w:val="005C0075"/>
    <w:rsid w:val="005C079A"/>
    <w:rsid w:val="005C07D9"/>
    <w:rsid w:val="005C0988"/>
    <w:rsid w:val="005C0C50"/>
    <w:rsid w:val="005C12A5"/>
    <w:rsid w:val="005C1302"/>
    <w:rsid w:val="005C1386"/>
    <w:rsid w:val="005C13EF"/>
    <w:rsid w:val="005C1726"/>
    <w:rsid w:val="005C18C8"/>
    <w:rsid w:val="005C1C8E"/>
    <w:rsid w:val="005C1CD4"/>
    <w:rsid w:val="005C1D8E"/>
    <w:rsid w:val="005C2055"/>
    <w:rsid w:val="005C21BB"/>
    <w:rsid w:val="005C255C"/>
    <w:rsid w:val="005C25DF"/>
    <w:rsid w:val="005C274C"/>
    <w:rsid w:val="005C285B"/>
    <w:rsid w:val="005C296F"/>
    <w:rsid w:val="005C29C0"/>
    <w:rsid w:val="005C2A20"/>
    <w:rsid w:val="005C2A34"/>
    <w:rsid w:val="005C2B42"/>
    <w:rsid w:val="005C2B72"/>
    <w:rsid w:val="005C2D63"/>
    <w:rsid w:val="005C30E9"/>
    <w:rsid w:val="005C31F2"/>
    <w:rsid w:val="005C324C"/>
    <w:rsid w:val="005C32D2"/>
    <w:rsid w:val="005C337E"/>
    <w:rsid w:val="005C3666"/>
    <w:rsid w:val="005C393A"/>
    <w:rsid w:val="005C3A5E"/>
    <w:rsid w:val="005C3C08"/>
    <w:rsid w:val="005C3EE6"/>
    <w:rsid w:val="005C3FC7"/>
    <w:rsid w:val="005C4219"/>
    <w:rsid w:val="005C427E"/>
    <w:rsid w:val="005C4587"/>
    <w:rsid w:val="005C484B"/>
    <w:rsid w:val="005C48E8"/>
    <w:rsid w:val="005C4B55"/>
    <w:rsid w:val="005C4DFE"/>
    <w:rsid w:val="005C4FF3"/>
    <w:rsid w:val="005C50DC"/>
    <w:rsid w:val="005C50FA"/>
    <w:rsid w:val="005C5174"/>
    <w:rsid w:val="005C527F"/>
    <w:rsid w:val="005C5503"/>
    <w:rsid w:val="005C56F3"/>
    <w:rsid w:val="005C5947"/>
    <w:rsid w:val="005C59FE"/>
    <w:rsid w:val="005C5BAA"/>
    <w:rsid w:val="005C5C60"/>
    <w:rsid w:val="005C5EE6"/>
    <w:rsid w:val="005C6195"/>
    <w:rsid w:val="005C6410"/>
    <w:rsid w:val="005C6BA0"/>
    <w:rsid w:val="005C6D04"/>
    <w:rsid w:val="005C6D6A"/>
    <w:rsid w:val="005C73B8"/>
    <w:rsid w:val="005C74EF"/>
    <w:rsid w:val="005C74FB"/>
    <w:rsid w:val="005C7580"/>
    <w:rsid w:val="005C75DB"/>
    <w:rsid w:val="005C766E"/>
    <w:rsid w:val="005C76B1"/>
    <w:rsid w:val="005C7738"/>
    <w:rsid w:val="005C7796"/>
    <w:rsid w:val="005C7D4D"/>
    <w:rsid w:val="005D05FE"/>
    <w:rsid w:val="005D0775"/>
    <w:rsid w:val="005D07C7"/>
    <w:rsid w:val="005D07D3"/>
    <w:rsid w:val="005D0818"/>
    <w:rsid w:val="005D085E"/>
    <w:rsid w:val="005D0980"/>
    <w:rsid w:val="005D0D1E"/>
    <w:rsid w:val="005D1195"/>
    <w:rsid w:val="005D1380"/>
    <w:rsid w:val="005D13D2"/>
    <w:rsid w:val="005D152B"/>
    <w:rsid w:val="005D1602"/>
    <w:rsid w:val="005D1B39"/>
    <w:rsid w:val="005D1BFF"/>
    <w:rsid w:val="005D1F37"/>
    <w:rsid w:val="005D21BE"/>
    <w:rsid w:val="005D2359"/>
    <w:rsid w:val="005D276A"/>
    <w:rsid w:val="005D27EF"/>
    <w:rsid w:val="005D2850"/>
    <w:rsid w:val="005D2886"/>
    <w:rsid w:val="005D28A2"/>
    <w:rsid w:val="005D2A8E"/>
    <w:rsid w:val="005D2E70"/>
    <w:rsid w:val="005D2E93"/>
    <w:rsid w:val="005D2F51"/>
    <w:rsid w:val="005D3351"/>
    <w:rsid w:val="005D33FD"/>
    <w:rsid w:val="005D3560"/>
    <w:rsid w:val="005D3643"/>
    <w:rsid w:val="005D38AD"/>
    <w:rsid w:val="005D398B"/>
    <w:rsid w:val="005D3BC9"/>
    <w:rsid w:val="005D3C02"/>
    <w:rsid w:val="005D3C52"/>
    <w:rsid w:val="005D3DA4"/>
    <w:rsid w:val="005D42B6"/>
    <w:rsid w:val="005D4422"/>
    <w:rsid w:val="005D4468"/>
    <w:rsid w:val="005D4522"/>
    <w:rsid w:val="005D4568"/>
    <w:rsid w:val="005D45FC"/>
    <w:rsid w:val="005D4809"/>
    <w:rsid w:val="005D4BD1"/>
    <w:rsid w:val="005D4C33"/>
    <w:rsid w:val="005D4CAF"/>
    <w:rsid w:val="005D4FDE"/>
    <w:rsid w:val="005D518C"/>
    <w:rsid w:val="005D54B3"/>
    <w:rsid w:val="005D5D29"/>
    <w:rsid w:val="005D5D8A"/>
    <w:rsid w:val="005D5E3D"/>
    <w:rsid w:val="005D5E5C"/>
    <w:rsid w:val="005D60EE"/>
    <w:rsid w:val="005D6482"/>
    <w:rsid w:val="005D6940"/>
    <w:rsid w:val="005D6972"/>
    <w:rsid w:val="005D6AE7"/>
    <w:rsid w:val="005D6BE0"/>
    <w:rsid w:val="005D6DCD"/>
    <w:rsid w:val="005D6F58"/>
    <w:rsid w:val="005D6F81"/>
    <w:rsid w:val="005D712C"/>
    <w:rsid w:val="005D725B"/>
    <w:rsid w:val="005D735A"/>
    <w:rsid w:val="005D7655"/>
    <w:rsid w:val="005D77DB"/>
    <w:rsid w:val="005D78A0"/>
    <w:rsid w:val="005D7F36"/>
    <w:rsid w:val="005D7F57"/>
    <w:rsid w:val="005E0091"/>
    <w:rsid w:val="005E0386"/>
    <w:rsid w:val="005E0E9B"/>
    <w:rsid w:val="005E11F9"/>
    <w:rsid w:val="005E1406"/>
    <w:rsid w:val="005E159A"/>
    <w:rsid w:val="005E18CC"/>
    <w:rsid w:val="005E1949"/>
    <w:rsid w:val="005E19F4"/>
    <w:rsid w:val="005E1DE9"/>
    <w:rsid w:val="005E1ECB"/>
    <w:rsid w:val="005E2391"/>
    <w:rsid w:val="005E23EB"/>
    <w:rsid w:val="005E27F1"/>
    <w:rsid w:val="005E2B83"/>
    <w:rsid w:val="005E2BA7"/>
    <w:rsid w:val="005E2BD0"/>
    <w:rsid w:val="005E2BF5"/>
    <w:rsid w:val="005E33CA"/>
    <w:rsid w:val="005E3585"/>
    <w:rsid w:val="005E37BD"/>
    <w:rsid w:val="005E37E9"/>
    <w:rsid w:val="005E385F"/>
    <w:rsid w:val="005E3888"/>
    <w:rsid w:val="005E3CFB"/>
    <w:rsid w:val="005E3D86"/>
    <w:rsid w:val="005E3D8E"/>
    <w:rsid w:val="005E405D"/>
    <w:rsid w:val="005E432D"/>
    <w:rsid w:val="005E4401"/>
    <w:rsid w:val="005E4861"/>
    <w:rsid w:val="005E48E0"/>
    <w:rsid w:val="005E4D84"/>
    <w:rsid w:val="005E4DDB"/>
    <w:rsid w:val="005E4DE3"/>
    <w:rsid w:val="005E4EA4"/>
    <w:rsid w:val="005E5013"/>
    <w:rsid w:val="005E522A"/>
    <w:rsid w:val="005E5267"/>
    <w:rsid w:val="005E53FD"/>
    <w:rsid w:val="005E5521"/>
    <w:rsid w:val="005E56B7"/>
    <w:rsid w:val="005E5B81"/>
    <w:rsid w:val="005E5CF9"/>
    <w:rsid w:val="005E5EF5"/>
    <w:rsid w:val="005E6066"/>
    <w:rsid w:val="005E6183"/>
    <w:rsid w:val="005E626D"/>
    <w:rsid w:val="005E648E"/>
    <w:rsid w:val="005E66EE"/>
    <w:rsid w:val="005E69F1"/>
    <w:rsid w:val="005E6AD4"/>
    <w:rsid w:val="005E6AD5"/>
    <w:rsid w:val="005E6B31"/>
    <w:rsid w:val="005E6D9F"/>
    <w:rsid w:val="005E6DA9"/>
    <w:rsid w:val="005E6E63"/>
    <w:rsid w:val="005E6F37"/>
    <w:rsid w:val="005E709B"/>
    <w:rsid w:val="005E7294"/>
    <w:rsid w:val="005E7621"/>
    <w:rsid w:val="005E765D"/>
    <w:rsid w:val="005E767B"/>
    <w:rsid w:val="005E7756"/>
    <w:rsid w:val="005E7833"/>
    <w:rsid w:val="005E78C6"/>
    <w:rsid w:val="005E7AE8"/>
    <w:rsid w:val="005E7C15"/>
    <w:rsid w:val="005E7CF7"/>
    <w:rsid w:val="005E7E13"/>
    <w:rsid w:val="005F004C"/>
    <w:rsid w:val="005F024C"/>
    <w:rsid w:val="005F07EC"/>
    <w:rsid w:val="005F0C19"/>
    <w:rsid w:val="005F0C39"/>
    <w:rsid w:val="005F0C6D"/>
    <w:rsid w:val="005F0CF2"/>
    <w:rsid w:val="005F0F9A"/>
    <w:rsid w:val="005F130A"/>
    <w:rsid w:val="005F13A6"/>
    <w:rsid w:val="005F13D3"/>
    <w:rsid w:val="005F145F"/>
    <w:rsid w:val="005F156A"/>
    <w:rsid w:val="005F1731"/>
    <w:rsid w:val="005F1832"/>
    <w:rsid w:val="005F1D1B"/>
    <w:rsid w:val="005F1DFA"/>
    <w:rsid w:val="005F1E0F"/>
    <w:rsid w:val="005F1E46"/>
    <w:rsid w:val="005F2213"/>
    <w:rsid w:val="005F2522"/>
    <w:rsid w:val="005F2665"/>
    <w:rsid w:val="005F26AB"/>
    <w:rsid w:val="005F26F7"/>
    <w:rsid w:val="005F2A9D"/>
    <w:rsid w:val="005F2C77"/>
    <w:rsid w:val="005F2CB1"/>
    <w:rsid w:val="005F3025"/>
    <w:rsid w:val="005F3581"/>
    <w:rsid w:val="005F367C"/>
    <w:rsid w:val="005F3787"/>
    <w:rsid w:val="005F3852"/>
    <w:rsid w:val="005F38F4"/>
    <w:rsid w:val="005F39D5"/>
    <w:rsid w:val="005F39EE"/>
    <w:rsid w:val="005F3D29"/>
    <w:rsid w:val="005F3D55"/>
    <w:rsid w:val="005F3FAB"/>
    <w:rsid w:val="005F47F5"/>
    <w:rsid w:val="005F4851"/>
    <w:rsid w:val="005F4A9F"/>
    <w:rsid w:val="005F4C72"/>
    <w:rsid w:val="005F4D01"/>
    <w:rsid w:val="005F4DC9"/>
    <w:rsid w:val="005F4E3D"/>
    <w:rsid w:val="005F4EBA"/>
    <w:rsid w:val="005F504F"/>
    <w:rsid w:val="005F5309"/>
    <w:rsid w:val="005F564C"/>
    <w:rsid w:val="005F56DD"/>
    <w:rsid w:val="005F5C9D"/>
    <w:rsid w:val="005F5EB9"/>
    <w:rsid w:val="005F5F72"/>
    <w:rsid w:val="005F618C"/>
    <w:rsid w:val="005F63B6"/>
    <w:rsid w:val="005F645F"/>
    <w:rsid w:val="005F64A8"/>
    <w:rsid w:val="005F6671"/>
    <w:rsid w:val="005F6791"/>
    <w:rsid w:val="005F6871"/>
    <w:rsid w:val="005F68E2"/>
    <w:rsid w:val="005F69F3"/>
    <w:rsid w:val="005F6A5C"/>
    <w:rsid w:val="005F6B30"/>
    <w:rsid w:val="005F6D49"/>
    <w:rsid w:val="005F6E4A"/>
    <w:rsid w:val="005F6EB5"/>
    <w:rsid w:val="005F6FCC"/>
    <w:rsid w:val="005F6FD7"/>
    <w:rsid w:val="005F70BD"/>
    <w:rsid w:val="005F7126"/>
    <w:rsid w:val="005F7375"/>
    <w:rsid w:val="005F79B8"/>
    <w:rsid w:val="005F7C18"/>
    <w:rsid w:val="005F7C61"/>
    <w:rsid w:val="005F7C8B"/>
    <w:rsid w:val="005F7D41"/>
    <w:rsid w:val="005F7FEC"/>
    <w:rsid w:val="006001BD"/>
    <w:rsid w:val="006002A8"/>
    <w:rsid w:val="00600363"/>
    <w:rsid w:val="006004C5"/>
    <w:rsid w:val="006007C8"/>
    <w:rsid w:val="006009E6"/>
    <w:rsid w:val="00600ACB"/>
    <w:rsid w:val="00600B31"/>
    <w:rsid w:val="00600C81"/>
    <w:rsid w:val="006010A0"/>
    <w:rsid w:val="00601239"/>
    <w:rsid w:val="00601248"/>
    <w:rsid w:val="0060126B"/>
    <w:rsid w:val="00601532"/>
    <w:rsid w:val="006015EC"/>
    <w:rsid w:val="00601BFC"/>
    <w:rsid w:val="00601FF5"/>
    <w:rsid w:val="006020A4"/>
    <w:rsid w:val="006021C4"/>
    <w:rsid w:val="006022E9"/>
    <w:rsid w:val="00602389"/>
    <w:rsid w:val="00602692"/>
    <w:rsid w:val="006026AC"/>
    <w:rsid w:val="00602767"/>
    <w:rsid w:val="0060283C"/>
    <w:rsid w:val="00602C8E"/>
    <w:rsid w:val="00602E33"/>
    <w:rsid w:val="00602F28"/>
    <w:rsid w:val="00602F96"/>
    <w:rsid w:val="006033AD"/>
    <w:rsid w:val="0060341B"/>
    <w:rsid w:val="006034BC"/>
    <w:rsid w:val="00603656"/>
    <w:rsid w:val="006036C0"/>
    <w:rsid w:val="00603728"/>
    <w:rsid w:val="006038C8"/>
    <w:rsid w:val="00603911"/>
    <w:rsid w:val="00603A71"/>
    <w:rsid w:val="00603C3C"/>
    <w:rsid w:val="00603E77"/>
    <w:rsid w:val="00603F90"/>
    <w:rsid w:val="00603FAA"/>
    <w:rsid w:val="0060409F"/>
    <w:rsid w:val="00604276"/>
    <w:rsid w:val="006042D3"/>
    <w:rsid w:val="006044EC"/>
    <w:rsid w:val="00604550"/>
    <w:rsid w:val="00604593"/>
    <w:rsid w:val="0060469A"/>
    <w:rsid w:val="006046C7"/>
    <w:rsid w:val="00604968"/>
    <w:rsid w:val="00604AD5"/>
    <w:rsid w:val="00604E9B"/>
    <w:rsid w:val="00604F14"/>
    <w:rsid w:val="0060501E"/>
    <w:rsid w:val="00605174"/>
    <w:rsid w:val="006051BE"/>
    <w:rsid w:val="00605347"/>
    <w:rsid w:val="0060546A"/>
    <w:rsid w:val="00605513"/>
    <w:rsid w:val="0060573F"/>
    <w:rsid w:val="006057F8"/>
    <w:rsid w:val="00605884"/>
    <w:rsid w:val="006058BE"/>
    <w:rsid w:val="00605913"/>
    <w:rsid w:val="00605A34"/>
    <w:rsid w:val="00605DC7"/>
    <w:rsid w:val="00605E31"/>
    <w:rsid w:val="0060601F"/>
    <w:rsid w:val="0060662B"/>
    <w:rsid w:val="00606649"/>
    <w:rsid w:val="0060689D"/>
    <w:rsid w:val="00606939"/>
    <w:rsid w:val="00606964"/>
    <w:rsid w:val="00606A52"/>
    <w:rsid w:val="00606FBB"/>
    <w:rsid w:val="00607020"/>
    <w:rsid w:val="006070C4"/>
    <w:rsid w:val="00607456"/>
    <w:rsid w:val="00607647"/>
    <w:rsid w:val="0060775E"/>
    <w:rsid w:val="00607950"/>
    <w:rsid w:val="00607977"/>
    <w:rsid w:val="00607ADA"/>
    <w:rsid w:val="00607B41"/>
    <w:rsid w:val="00607C10"/>
    <w:rsid w:val="00607C88"/>
    <w:rsid w:val="00607E2A"/>
    <w:rsid w:val="00607FB9"/>
    <w:rsid w:val="0061026A"/>
    <w:rsid w:val="006104F1"/>
    <w:rsid w:val="0061058D"/>
    <w:rsid w:val="00610B25"/>
    <w:rsid w:val="00610CB4"/>
    <w:rsid w:val="00610CCC"/>
    <w:rsid w:val="00610D1C"/>
    <w:rsid w:val="00610DC1"/>
    <w:rsid w:val="00610EC1"/>
    <w:rsid w:val="00611145"/>
    <w:rsid w:val="006114E1"/>
    <w:rsid w:val="00611926"/>
    <w:rsid w:val="00611B83"/>
    <w:rsid w:val="00611C4A"/>
    <w:rsid w:val="00611C79"/>
    <w:rsid w:val="00611D04"/>
    <w:rsid w:val="00611D46"/>
    <w:rsid w:val="00611F92"/>
    <w:rsid w:val="0061205F"/>
    <w:rsid w:val="00612174"/>
    <w:rsid w:val="006121BB"/>
    <w:rsid w:val="006125E9"/>
    <w:rsid w:val="00612CA8"/>
    <w:rsid w:val="00612E17"/>
    <w:rsid w:val="0061313A"/>
    <w:rsid w:val="00613257"/>
    <w:rsid w:val="00613288"/>
    <w:rsid w:val="006132BC"/>
    <w:rsid w:val="00613367"/>
    <w:rsid w:val="00613482"/>
    <w:rsid w:val="0061355C"/>
    <w:rsid w:val="00613900"/>
    <w:rsid w:val="00613963"/>
    <w:rsid w:val="006139CD"/>
    <w:rsid w:val="00613AA4"/>
    <w:rsid w:val="00613EF3"/>
    <w:rsid w:val="00613FE8"/>
    <w:rsid w:val="0061404E"/>
    <w:rsid w:val="0061414F"/>
    <w:rsid w:val="00614394"/>
    <w:rsid w:val="00614415"/>
    <w:rsid w:val="006144FA"/>
    <w:rsid w:val="00614507"/>
    <w:rsid w:val="0061450F"/>
    <w:rsid w:val="00614536"/>
    <w:rsid w:val="0061460A"/>
    <w:rsid w:val="00614A4B"/>
    <w:rsid w:val="00614CE8"/>
    <w:rsid w:val="00614D26"/>
    <w:rsid w:val="00615566"/>
    <w:rsid w:val="00615805"/>
    <w:rsid w:val="006158AE"/>
    <w:rsid w:val="00615BA2"/>
    <w:rsid w:val="00615BD7"/>
    <w:rsid w:val="00615C4E"/>
    <w:rsid w:val="00615D8D"/>
    <w:rsid w:val="00615F7A"/>
    <w:rsid w:val="00616209"/>
    <w:rsid w:val="0061674B"/>
    <w:rsid w:val="00616D74"/>
    <w:rsid w:val="00616DF9"/>
    <w:rsid w:val="00616EC5"/>
    <w:rsid w:val="00616F7E"/>
    <w:rsid w:val="006170EA"/>
    <w:rsid w:val="0061724B"/>
    <w:rsid w:val="006174E8"/>
    <w:rsid w:val="00617653"/>
    <w:rsid w:val="00617713"/>
    <w:rsid w:val="00617A76"/>
    <w:rsid w:val="00617B80"/>
    <w:rsid w:val="00617C1F"/>
    <w:rsid w:val="00617CC0"/>
    <w:rsid w:val="00617F02"/>
    <w:rsid w:val="00617FFB"/>
    <w:rsid w:val="00620008"/>
    <w:rsid w:val="006200D7"/>
    <w:rsid w:val="0062028F"/>
    <w:rsid w:val="006202D6"/>
    <w:rsid w:val="00620347"/>
    <w:rsid w:val="00620369"/>
    <w:rsid w:val="00620575"/>
    <w:rsid w:val="00620691"/>
    <w:rsid w:val="0062093B"/>
    <w:rsid w:val="00620951"/>
    <w:rsid w:val="006209B3"/>
    <w:rsid w:val="006209B6"/>
    <w:rsid w:val="00620A71"/>
    <w:rsid w:val="00620D80"/>
    <w:rsid w:val="00620FB2"/>
    <w:rsid w:val="006210F3"/>
    <w:rsid w:val="00621580"/>
    <w:rsid w:val="00621608"/>
    <w:rsid w:val="00621750"/>
    <w:rsid w:val="006217B2"/>
    <w:rsid w:val="0062182A"/>
    <w:rsid w:val="00621834"/>
    <w:rsid w:val="00621868"/>
    <w:rsid w:val="00621CAA"/>
    <w:rsid w:val="00621E51"/>
    <w:rsid w:val="00622004"/>
    <w:rsid w:val="006221FE"/>
    <w:rsid w:val="00622232"/>
    <w:rsid w:val="00622503"/>
    <w:rsid w:val="00622B34"/>
    <w:rsid w:val="00623018"/>
    <w:rsid w:val="0062302C"/>
    <w:rsid w:val="00623161"/>
    <w:rsid w:val="00623232"/>
    <w:rsid w:val="00623350"/>
    <w:rsid w:val="006234A6"/>
    <w:rsid w:val="006234ED"/>
    <w:rsid w:val="006235D0"/>
    <w:rsid w:val="006235F3"/>
    <w:rsid w:val="00623842"/>
    <w:rsid w:val="00624069"/>
    <w:rsid w:val="00624462"/>
    <w:rsid w:val="006244C9"/>
    <w:rsid w:val="006248F4"/>
    <w:rsid w:val="006251CD"/>
    <w:rsid w:val="006253C7"/>
    <w:rsid w:val="00625426"/>
    <w:rsid w:val="006257E3"/>
    <w:rsid w:val="00625C7A"/>
    <w:rsid w:val="00625E1E"/>
    <w:rsid w:val="006265D6"/>
    <w:rsid w:val="0062667B"/>
    <w:rsid w:val="00626B87"/>
    <w:rsid w:val="00626DF4"/>
    <w:rsid w:val="00626EF5"/>
    <w:rsid w:val="00626F9C"/>
    <w:rsid w:val="00627126"/>
    <w:rsid w:val="00627298"/>
    <w:rsid w:val="0062743D"/>
    <w:rsid w:val="00627460"/>
    <w:rsid w:val="006275A1"/>
    <w:rsid w:val="00627E26"/>
    <w:rsid w:val="00630001"/>
    <w:rsid w:val="00630171"/>
    <w:rsid w:val="00630255"/>
    <w:rsid w:val="00630257"/>
    <w:rsid w:val="006304E0"/>
    <w:rsid w:val="0063071E"/>
    <w:rsid w:val="00630779"/>
    <w:rsid w:val="00630841"/>
    <w:rsid w:val="0063089D"/>
    <w:rsid w:val="00630B20"/>
    <w:rsid w:val="00630CD4"/>
    <w:rsid w:val="00630D41"/>
    <w:rsid w:val="00630DBE"/>
    <w:rsid w:val="006310D7"/>
    <w:rsid w:val="00631111"/>
    <w:rsid w:val="006311B3"/>
    <w:rsid w:val="006311B8"/>
    <w:rsid w:val="00631479"/>
    <w:rsid w:val="006314A9"/>
    <w:rsid w:val="00631663"/>
    <w:rsid w:val="00631845"/>
    <w:rsid w:val="006319A0"/>
    <w:rsid w:val="00631A6E"/>
    <w:rsid w:val="00631BD9"/>
    <w:rsid w:val="006321D8"/>
    <w:rsid w:val="00632377"/>
    <w:rsid w:val="00632400"/>
    <w:rsid w:val="0063258D"/>
    <w:rsid w:val="006326D0"/>
    <w:rsid w:val="00632706"/>
    <w:rsid w:val="0063284C"/>
    <w:rsid w:val="006328DB"/>
    <w:rsid w:val="00632992"/>
    <w:rsid w:val="00632C69"/>
    <w:rsid w:val="00632DED"/>
    <w:rsid w:val="00632DF5"/>
    <w:rsid w:val="00632E18"/>
    <w:rsid w:val="00633277"/>
    <w:rsid w:val="006334EE"/>
    <w:rsid w:val="00633872"/>
    <w:rsid w:val="006338EA"/>
    <w:rsid w:val="00633A2A"/>
    <w:rsid w:val="00633E44"/>
    <w:rsid w:val="00633E6A"/>
    <w:rsid w:val="00633F54"/>
    <w:rsid w:val="00634096"/>
    <w:rsid w:val="006343D7"/>
    <w:rsid w:val="00634406"/>
    <w:rsid w:val="0063441F"/>
    <w:rsid w:val="00634426"/>
    <w:rsid w:val="00634591"/>
    <w:rsid w:val="006345C7"/>
    <w:rsid w:val="00634626"/>
    <w:rsid w:val="006349C8"/>
    <w:rsid w:val="00634B48"/>
    <w:rsid w:val="00634D15"/>
    <w:rsid w:val="00634E93"/>
    <w:rsid w:val="00634EF6"/>
    <w:rsid w:val="00635126"/>
    <w:rsid w:val="00635146"/>
    <w:rsid w:val="006352E5"/>
    <w:rsid w:val="00635499"/>
    <w:rsid w:val="006355C8"/>
    <w:rsid w:val="00635E22"/>
    <w:rsid w:val="00635E3F"/>
    <w:rsid w:val="00635FDB"/>
    <w:rsid w:val="0063606E"/>
    <w:rsid w:val="00636398"/>
    <w:rsid w:val="0063649A"/>
    <w:rsid w:val="00636789"/>
    <w:rsid w:val="00636871"/>
    <w:rsid w:val="00636891"/>
    <w:rsid w:val="006368D3"/>
    <w:rsid w:val="00636B05"/>
    <w:rsid w:val="00636C3B"/>
    <w:rsid w:val="00636CF8"/>
    <w:rsid w:val="00636FE1"/>
    <w:rsid w:val="0063701C"/>
    <w:rsid w:val="0063709E"/>
    <w:rsid w:val="006370B6"/>
    <w:rsid w:val="006372D7"/>
    <w:rsid w:val="006373C4"/>
    <w:rsid w:val="006375C5"/>
    <w:rsid w:val="006377EC"/>
    <w:rsid w:val="006378DA"/>
    <w:rsid w:val="006378F6"/>
    <w:rsid w:val="00637BFA"/>
    <w:rsid w:val="00637C43"/>
    <w:rsid w:val="00637CEB"/>
    <w:rsid w:val="00637EBA"/>
    <w:rsid w:val="00637F23"/>
    <w:rsid w:val="00637F77"/>
    <w:rsid w:val="006404AF"/>
    <w:rsid w:val="00640693"/>
    <w:rsid w:val="00640782"/>
    <w:rsid w:val="0064082F"/>
    <w:rsid w:val="00640983"/>
    <w:rsid w:val="0064098F"/>
    <w:rsid w:val="00640B3F"/>
    <w:rsid w:val="006410AF"/>
    <w:rsid w:val="006412CF"/>
    <w:rsid w:val="0064133D"/>
    <w:rsid w:val="0064151F"/>
    <w:rsid w:val="00641533"/>
    <w:rsid w:val="006415B5"/>
    <w:rsid w:val="00641921"/>
    <w:rsid w:val="0064196E"/>
    <w:rsid w:val="00641B1B"/>
    <w:rsid w:val="00641B94"/>
    <w:rsid w:val="00641C40"/>
    <w:rsid w:val="00641CFC"/>
    <w:rsid w:val="00641D3F"/>
    <w:rsid w:val="00641E62"/>
    <w:rsid w:val="00641F7A"/>
    <w:rsid w:val="0064208D"/>
    <w:rsid w:val="006420BE"/>
    <w:rsid w:val="006420DA"/>
    <w:rsid w:val="00642106"/>
    <w:rsid w:val="0064250C"/>
    <w:rsid w:val="00642536"/>
    <w:rsid w:val="0064272A"/>
    <w:rsid w:val="00642905"/>
    <w:rsid w:val="00642B67"/>
    <w:rsid w:val="00642E7A"/>
    <w:rsid w:val="00643098"/>
    <w:rsid w:val="00643475"/>
    <w:rsid w:val="0064383C"/>
    <w:rsid w:val="0064396A"/>
    <w:rsid w:val="00643987"/>
    <w:rsid w:val="00643D35"/>
    <w:rsid w:val="00644145"/>
    <w:rsid w:val="0064424E"/>
    <w:rsid w:val="0064456C"/>
    <w:rsid w:val="00644671"/>
    <w:rsid w:val="00644C63"/>
    <w:rsid w:val="00644E0C"/>
    <w:rsid w:val="0064515E"/>
    <w:rsid w:val="0064531F"/>
    <w:rsid w:val="00645509"/>
    <w:rsid w:val="00645920"/>
    <w:rsid w:val="00645A56"/>
    <w:rsid w:val="0064602F"/>
    <w:rsid w:val="0064624E"/>
    <w:rsid w:val="00646303"/>
    <w:rsid w:val="00646381"/>
    <w:rsid w:val="00646595"/>
    <w:rsid w:val="006465E8"/>
    <w:rsid w:val="0064667F"/>
    <w:rsid w:val="0064689C"/>
    <w:rsid w:val="006468CB"/>
    <w:rsid w:val="00646D86"/>
    <w:rsid w:val="00647079"/>
    <w:rsid w:val="00647814"/>
    <w:rsid w:val="006478AF"/>
    <w:rsid w:val="00647B0A"/>
    <w:rsid w:val="00647F53"/>
    <w:rsid w:val="00647F64"/>
    <w:rsid w:val="00650176"/>
    <w:rsid w:val="0065041D"/>
    <w:rsid w:val="0065051C"/>
    <w:rsid w:val="00650A3D"/>
    <w:rsid w:val="00650AAC"/>
    <w:rsid w:val="00650AB9"/>
    <w:rsid w:val="00650C06"/>
    <w:rsid w:val="00650C0B"/>
    <w:rsid w:val="00650CBD"/>
    <w:rsid w:val="00650DF9"/>
    <w:rsid w:val="00650F59"/>
    <w:rsid w:val="00651123"/>
    <w:rsid w:val="006512CF"/>
    <w:rsid w:val="006514DC"/>
    <w:rsid w:val="0065151C"/>
    <w:rsid w:val="00651595"/>
    <w:rsid w:val="006515CB"/>
    <w:rsid w:val="006519F3"/>
    <w:rsid w:val="00651BD6"/>
    <w:rsid w:val="00651D28"/>
    <w:rsid w:val="00651D3A"/>
    <w:rsid w:val="006520BD"/>
    <w:rsid w:val="006521E9"/>
    <w:rsid w:val="006522D6"/>
    <w:rsid w:val="0065232F"/>
    <w:rsid w:val="006526DB"/>
    <w:rsid w:val="0065272D"/>
    <w:rsid w:val="00652CC2"/>
    <w:rsid w:val="00652E88"/>
    <w:rsid w:val="00652EAD"/>
    <w:rsid w:val="00652EBC"/>
    <w:rsid w:val="00652F0F"/>
    <w:rsid w:val="006530E7"/>
    <w:rsid w:val="006532CB"/>
    <w:rsid w:val="0065336C"/>
    <w:rsid w:val="006536E9"/>
    <w:rsid w:val="006537AB"/>
    <w:rsid w:val="00653A22"/>
    <w:rsid w:val="00653A8B"/>
    <w:rsid w:val="00653F90"/>
    <w:rsid w:val="00654030"/>
    <w:rsid w:val="00654813"/>
    <w:rsid w:val="00654AAF"/>
    <w:rsid w:val="00654B1B"/>
    <w:rsid w:val="00654B65"/>
    <w:rsid w:val="00654D61"/>
    <w:rsid w:val="00654F7B"/>
    <w:rsid w:val="006551F5"/>
    <w:rsid w:val="00655263"/>
    <w:rsid w:val="0065540E"/>
    <w:rsid w:val="00655521"/>
    <w:rsid w:val="00655635"/>
    <w:rsid w:val="00655733"/>
    <w:rsid w:val="006557C8"/>
    <w:rsid w:val="006559F7"/>
    <w:rsid w:val="00655ACD"/>
    <w:rsid w:val="00655FE0"/>
    <w:rsid w:val="006561E6"/>
    <w:rsid w:val="00656267"/>
    <w:rsid w:val="006569CB"/>
    <w:rsid w:val="00656A92"/>
    <w:rsid w:val="00656C5D"/>
    <w:rsid w:val="00656DDE"/>
    <w:rsid w:val="00656E40"/>
    <w:rsid w:val="006574CB"/>
    <w:rsid w:val="006574FD"/>
    <w:rsid w:val="0065759C"/>
    <w:rsid w:val="0065762E"/>
    <w:rsid w:val="00657828"/>
    <w:rsid w:val="00657A5D"/>
    <w:rsid w:val="00657B65"/>
    <w:rsid w:val="00657DDD"/>
    <w:rsid w:val="00657EDD"/>
    <w:rsid w:val="006600FF"/>
    <w:rsid w:val="0066011D"/>
    <w:rsid w:val="006601B7"/>
    <w:rsid w:val="006601F6"/>
    <w:rsid w:val="00660453"/>
    <w:rsid w:val="006606EB"/>
    <w:rsid w:val="006607C0"/>
    <w:rsid w:val="00660952"/>
    <w:rsid w:val="00660BC4"/>
    <w:rsid w:val="00660C0D"/>
    <w:rsid w:val="006612B8"/>
    <w:rsid w:val="006613A6"/>
    <w:rsid w:val="006618EF"/>
    <w:rsid w:val="00661AD8"/>
    <w:rsid w:val="00662131"/>
    <w:rsid w:val="006621E7"/>
    <w:rsid w:val="0066239A"/>
    <w:rsid w:val="006623D3"/>
    <w:rsid w:val="006624A4"/>
    <w:rsid w:val="0066254B"/>
    <w:rsid w:val="006625FE"/>
    <w:rsid w:val="0066270B"/>
    <w:rsid w:val="006627A2"/>
    <w:rsid w:val="00662869"/>
    <w:rsid w:val="0066294A"/>
    <w:rsid w:val="00662B3C"/>
    <w:rsid w:val="00662BAC"/>
    <w:rsid w:val="00663066"/>
    <w:rsid w:val="0066326E"/>
    <w:rsid w:val="006634E6"/>
    <w:rsid w:val="0066358F"/>
    <w:rsid w:val="00663BD6"/>
    <w:rsid w:val="00663DF7"/>
    <w:rsid w:val="00664239"/>
    <w:rsid w:val="00664286"/>
    <w:rsid w:val="006642CF"/>
    <w:rsid w:val="006643A6"/>
    <w:rsid w:val="0066454D"/>
    <w:rsid w:val="00664797"/>
    <w:rsid w:val="00664CFD"/>
    <w:rsid w:val="00664F4F"/>
    <w:rsid w:val="00665027"/>
    <w:rsid w:val="0066520A"/>
    <w:rsid w:val="00665212"/>
    <w:rsid w:val="00665228"/>
    <w:rsid w:val="00665437"/>
    <w:rsid w:val="006655EE"/>
    <w:rsid w:val="00665675"/>
    <w:rsid w:val="00665848"/>
    <w:rsid w:val="00665872"/>
    <w:rsid w:val="00665D12"/>
    <w:rsid w:val="00665E81"/>
    <w:rsid w:val="00665ECD"/>
    <w:rsid w:val="00665FAE"/>
    <w:rsid w:val="00666146"/>
    <w:rsid w:val="00666271"/>
    <w:rsid w:val="00666327"/>
    <w:rsid w:val="00666445"/>
    <w:rsid w:val="006664A6"/>
    <w:rsid w:val="0066686D"/>
    <w:rsid w:val="00666AA2"/>
    <w:rsid w:val="00666B29"/>
    <w:rsid w:val="00666BAC"/>
    <w:rsid w:val="00666BD9"/>
    <w:rsid w:val="00666C4E"/>
    <w:rsid w:val="00666CA2"/>
    <w:rsid w:val="00666D6D"/>
    <w:rsid w:val="00666EB3"/>
    <w:rsid w:val="006670AA"/>
    <w:rsid w:val="0066739C"/>
    <w:rsid w:val="006674D7"/>
    <w:rsid w:val="00667723"/>
    <w:rsid w:val="00667756"/>
    <w:rsid w:val="00667C61"/>
    <w:rsid w:val="00667CCA"/>
    <w:rsid w:val="00667EE7"/>
    <w:rsid w:val="00667F6C"/>
    <w:rsid w:val="0067029D"/>
    <w:rsid w:val="00670321"/>
    <w:rsid w:val="006704F3"/>
    <w:rsid w:val="006704F7"/>
    <w:rsid w:val="006705B1"/>
    <w:rsid w:val="006706AE"/>
    <w:rsid w:val="0067077F"/>
    <w:rsid w:val="00670914"/>
    <w:rsid w:val="00670922"/>
    <w:rsid w:val="00670A0E"/>
    <w:rsid w:val="00670BE1"/>
    <w:rsid w:val="00670CAF"/>
    <w:rsid w:val="00671034"/>
    <w:rsid w:val="006710B8"/>
    <w:rsid w:val="00671325"/>
    <w:rsid w:val="00671371"/>
    <w:rsid w:val="00671530"/>
    <w:rsid w:val="0067165B"/>
    <w:rsid w:val="00671754"/>
    <w:rsid w:val="00671AE4"/>
    <w:rsid w:val="00671B1F"/>
    <w:rsid w:val="00671BD2"/>
    <w:rsid w:val="00671D4B"/>
    <w:rsid w:val="00672172"/>
    <w:rsid w:val="0067218F"/>
    <w:rsid w:val="006721D3"/>
    <w:rsid w:val="00672222"/>
    <w:rsid w:val="0067248B"/>
    <w:rsid w:val="006724F4"/>
    <w:rsid w:val="0067286E"/>
    <w:rsid w:val="006728C3"/>
    <w:rsid w:val="00672990"/>
    <w:rsid w:val="00672B29"/>
    <w:rsid w:val="006731D1"/>
    <w:rsid w:val="00673496"/>
    <w:rsid w:val="006735F6"/>
    <w:rsid w:val="00673786"/>
    <w:rsid w:val="0067385A"/>
    <w:rsid w:val="00673A72"/>
    <w:rsid w:val="00673B5F"/>
    <w:rsid w:val="00673C60"/>
    <w:rsid w:val="00673E28"/>
    <w:rsid w:val="00673E3C"/>
    <w:rsid w:val="00673EC3"/>
    <w:rsid w:val="00673F77"/>
    <w:rsid w:val="006741F2"/>
    <w:rsid w:val="00674279"/>
    <w:rsid w:val="006745B6"/>
    <w:rsid w:val="006745DD"/>
    <w:rsid w:val="00674932"/>
    <w:rsid w:val="00674AE8"/>
    <w:rsid w:val="00674B30"/>
    <w:rsid w:val="00674C6A"/>
    <w:rsid w:val="00674CC3"/>
    <w:rsid w:val="00674D96"/>
    <w:rsid w:val="006751B8"/>
    <w:rsid w:val="00675426"/>
    <w:rsid w:val="006754D7"/>
    <w:rsid w:val="0067560E"/>
    <w:rsid w:val="00675646"/>
    <w:rsid w:val="0067580C"/>
    <w:rsid w:val="0067587D"/>
    <w:rsid w:val="006759D5"/>
    <w:rsid w:val="00675AE9"/>
    <w:rsid w:val="00675B1A"/>
    <w:rsid w:val="00675BCF"/>
    <w:rsid w:val="00675C72"/>
    <w:rsid w:val="00675D7D"/>
    <w:rsid w:val="00675E9E"/>
    <w:rsid w:val="00675EBF"/>
    <w:rsid w:val="00675F86"/>
    <w:rsid w:val="00675FA2"/>
    <w:rsid w:val="00676181"/>
    <w:rsid w:val="00676407"/>
    <w:rsid w:val="006766ED"/>
    <w:rsid w:val="0067670E"/>
    <w:rsid w:val="00676799"/>
    <w:rsid w:val="00676C54"/>
    <w:rsid w:val="00676D08"/>
    <w:rsid w:val="006771F9"/>
    <w:rsid w:val="0067723D"/>
    <w:rsid w:val="006773CE"/>
    <w:rsid w:val="006774A6"/>
    <w:rsid w:val="006774D2"/>
    <w:rsid w:val="0067758D"/>
    <w:rsid w:val="00677655"/>
    <w:rsid w:val="006776D7"/>
    <w:rsid w:val="006776E2"/>
    <w:rsid w:val="006776ED"/>
    <w:rsid w:val="006777DD"/>
    <w:rsid w:val="0067786F"/>
    <w:rsid w:val="00677981"/>
    <w:rsid w:val="00677BBC"/>
    <w:rsid w:val="00677C4A"/>
    <w:rsid w:val="00677C66"/>
    <w:rsid w:val="00677D19"/>
    <w:rsid w:val="00677F13"/>
    <w:rsid w:val="00677F8B"/>
    <w:rsid w:val="00680411"/>
    <w:rsid w:val="00680484"/>
    <w:rsid w:val="00680521"/>
    <w:rsid w:val="00680539"/>
    <w:rsid w:val="0068055F"/>
    <w:rsid w:val="0068067C"/>
    <w:rsid w:val="00680837"/>
    <w:rsid w:val="00680899"/>
    <w:rsid w:val="00680986"/>
    <w:rsid w:val="00680A10"/>
    <w:rsid w:val="00680C77"/>
    <w:rsid w:val="00680DB8"/>
    <w:rsid w:val="00680F1C"/>
    <w:rsid w:val="00681003"/>
    <w:rsid w:val="006815F1"/>
    <w:rsid w:val="006815FC"/>
    <w:rsid w:val="00681679"/>
    <w:rsid w:val="0068169F"/>
    <w:rsid w:val="006816E3"/>
    <w:rsid w:val="00681758"/>
    <w:rsid w:val="006817C9"/>
    <w:rsid w:val="00681A6A"/>
    <w:rsid w:val="00681D21"/>
    <w:rsid w:val="006821AF"/>
    <w:rsid w:val="006822B2"/>
    <w:rsid w:val="0068254F"/>
    <w:rsid w:val="006826C2"/>
    <w:rsid w:val="00682ABB"/>
    <w:rsid w:val="00682C86"/>
    <w:rsid w:val="00682D21"/>
    <w:rsid w:val="00682D88"/>
    <w:rsid w:val="00682E10"/>
    <w:rsid w:val="00682F4A"/>
    <w:rsid w:val="006830F0"/>
    <w:rsid w:val="00683188"/>
    <w:rsid w:val="00683534"/>
    <w:rsid w:val="006838ED"/>
    <w:rsid w:val="006838F3"/>
    <w:rsid w:val="00683953"/>
    <w:rsid w:val="00683B6F"/>
    <w:rsid w:val="00683BD6"/>
    <w:rsid w:val="00683ECE"/>
    <w:rsid w:val="00684089"/>
    <w:rsid w:val="006840F6"/>
    <w:rsid w:val="0068434E"/>
    <w:rsid w:val="0068444D"/>
    <w:rsid w:val="006849EF"/>
    <w:rsid w:val="00684A74"/>
    <w:rsid w:val="00684B56"/>
    <w:rsid w:val="0068502E"/>
    <w:rsid w:val="006852F7"/>
    <w:rsid w:val="006855D9"/>
    <w:rsid w:val="00685651"/>
    <w:rsid w:val="0068595F"/>
    <w:rsid w:val="00685A8F"/>
    <w:rsid w:val="00685B2A"/>
    <w:rsid w:val="00685C1E"/>
    <w:rsid w:val="00685F19"/>
    <w:rsid w:val="006861C8"/>
    <w:rsid w:val="0068629D"/>
    <w:rsid w:val="006864DB"/>
    <w:rsid w:val="00686BE9"/>
    <w:rsid w:val="00686C4B"/>
    <w:rsid w:val="00686CD3"/>
    <w:rsid w:val="00686DF1"/>
    <w:rsid w:val="00686E3F"/>
    <w:rsid w:val="0068732E"/>
    <w:rsid w:val="00687363"/>
    <w:rsid w:val="0068739A"/>
    <w:rsid w:val="006876DB"/>
    <w:rsid w:val="00687863"/>
    <w:rsid w:val="00687B49"/>
    <w:rsid w:val="00687E53"/>
    <w:rsid w:val="0069004B"/>
    <w:rsid w:val="0069005E"/>
    <w:rsid w:val="00690086"/>
    <w:rsid w:val="00690374"/>
    <w:rsid w:val="0069048C"/>
    <w:rsid w:val="0069052C"/>
    <w:rsid w:val="00690614"/>
    <w:rsid w:val="0069088E"/>
    <w:rsid w:val="006909C9"/>
    <w:rsid w:val="00690ABC"/>
    <w:rsid w:val="00690B5F"/>
    <w:rsid w:val="006911AC"/>
    <w:rsid w:val="0069129D"/>
    <w:rsid w:val="006913D7"/>
    <w:rsid w:val="00691775"/>
    <w:rsid w:val="006919AD"/>
    <w:rsid w:val="00691A3E"/>
    <w:rsid w:val="0069207E"/>
    <w:rsid w:val="00692188"/>
    <w:rsid w:val="00692286"/>
    <w:rsid w:val="0069250D"/>
    <w:rsid w:val="006925E5"/>
    <w:rsid w:val="0069283A"/>
    <w:rsid w:val="006929A0"/>
    <w:rsid w:val="00692A76"/>
    <w:rsid w:val="00692BBC"/>
    <w:rsid w:val="00692EFA"/>
    <w:rsid w:val="006932F0"/>
    <w:rsid w:val="006933B0"/>
    <w:rsid w:val="00693460"/>
    <w:rsid w:val="0069356D"/>
    <w:rsid w:val="00693C62"/>
    <w:rsid w:val="00693FE6"/>
    <w:rsid w:val="00694071"/>
    <w:rsid w:val="0069409D"/>
    <w:rsid w:val="00694128"/>
    <w:rsid w:val="0069421E"/>
    <w:rsid w:val="006947DF"/>
    <w:rsid w:val="006948A5"/>
    <w:rsid w:val="00694A11"/>
    <w:rsid w:val="00694B78"/>
    <w:rsid w:val="00694B84"/>
    <w:rsid w:val="00694FEE"/>
    <w:rsid w:val="006954C3"/>
    <w:rsid w:val="00695714"/>
    <w:rsid w:val="0069594F"/>
    <w:rsid w:val="00695D41"/>
    <w:rsid w:val="00695F65"/>
    <w:rsid w:val="00695FC2"/>
    <w:rsid w:val="0069632F"/>
    <w:rsid w:val="00696558"/>
    <w:rsid w:val="0069672E"/>
    <w:rsid w:val="006967EC"/>
    <w:rsid w:val="00696843"/>
    <w:rsid w:val="00696949"/>
    <w:rsid w:val="006969A0"/>
    <w:rsid w:val="00696B93"/>
    <w:rsid w:val="00696C8C"/>
    <w:rsid w:val="00696F5D"/>
    <w:rsid w:val="00697052"/>
    <w:rsid w:val="006970CA"/>
    <w:rsid w:val="0069752B"/>
    <w:rsid w:val="006976BC"/>
    <w:rsid w:val="00697A79"/>
    <w:rsid w:val="00697B94"/>
    <w:rsid w:val="00697E52"/>
    <w:rsid w:val="006A0284"/>
    <w:rsid w:val="006A03B0"/>
    <w:rsid w:val="006A0551"/>
    <w:rsid w:val="006A0BA3"/>
    <w:rsid w:val="006A0CA9"/>
    <w:rsid w:val="006A0CCD"/>
    <w:rsid w:val="006A103B"/>
    <w:rsid w:val="006A14F6"/>
    <w:rsid w:val="006A15D2"/>
    <w:rsid w:val="006A15F6"/>
    <w:rsid w:val="006A1895"/>
    <w:rsid w:val="006A1A3E"/>
    <w:rsid w:val="006A1AAB"/>
    <w:rsid w:val="006A1C2E"/>
    <w:rsid w:val="006A1C46"/>
    <w:rsid w:val="006A1CBB"/>
    <w:rsid w:val="006A1EFC"/>
    <w:rsid w:val="006A22EF"/>
    <w:rsid w:val="006A246A"/>
    <w:rsid w:val="006A246C"/>
    <w:rsid w:val="006A24F9"/>
    <w:rsid w:val="006A26CA"/>
    <w:rsid w:val="006A2723"/>
    <w:rsid w:val="006A2927"/>
    <w:rsid w:val="006A2DA7"/>
    <w:rsid w:val="006A2DEE"/>
    <w:rsid w:val="006A2EC2"/>
    <w:rsid w:val="006A2EDF"/>
    <w:rsid w:val="006A3299"/>
    <w:rsid w:val="006A3446"/>
    <w:rsid w:val="006A362F"/>
    <w:rsid w:val="006A3A8B"/>
    <w:rsid w:val="006A3BD7"/>
    <w:rsid w:val="006A3D15"/>
    <w:rsid w:val="006A41D9"/>
    <w:rsid w:val="006A4298"/>
    <w:rsid w:val="006A43E4"/>
    <w:rsid w:val="006A459C"/>
    <w:rsid w:val="006A4622"/>
    <w:rsid w:val="006A46F5"/>
    <w:rsid w:val="006A46FB"/>
    <w:rsid w:val="006A49A4"/>
    <w:rsid w:val="006A4CA4"/>
    <w:rsid w:val="006A4D0A"/>
    <w:rsid w:val="006A4F48"/>
    <w:rsid w:val="006A5032"/>
    <w:rsid w:val="006A50FC"/>
    <w:rsid w:val="006A51EF"/>
    <w:rsid w:val="006A5214"/>
    <w:rsid w:val="006A5971"/>
    <w:rsid w:val="006A59DD"/>
    <w:rsid w:val="006A5BA5"/>
    <w:rsid w:val="006A5CC8"/>
    <w:rsid w:val="006A5CD0"/>
    <w:rsid w:val="006A5D38"/>
    <w:rsid w:val="006A5E28"/>
    <w:rsid w:val="006A5FC8"/>
    <w:rsid w:val="006A5FC9"/>
    <w:rsid w:val="006A5FEA"/>
    <w:rsid w:val="006A6100"/>
    <w:rsid w:val="006A623B"/>
    <w:rsid w:val="006A62FB"/>
    <w:rsid w:val="006A697B"/>
    <w:rsid w:val="006A6A68"/>
    <w:rsid w:val="006A6AF3"/>
    <w:rsid w:val="006A6D87"/>
    <w:rsid w:val="006A6E55"/>
    <w:rsid w:val="006A70BB"/>
    <w:rsid w:val="006A7213"/>
    <w:rsid w:val="006A784F"/>
    <w:rsid w:val="006A7AFF"/>
    <w:rsid w:val="006A7C53"/>
    <w:rsid w:val="006A7D3B"/>
    <w:rsid w:val="006A7E23"/>
    <w:rsid w:val="006B0139"/>
    <w:rsid w:val="006B0171"/>
    <w:rsid w:val="006B04CC"/>
    <w:rsid w:val="006B04CF"/>
    <w:rsid w:val="006B06B9"/>
    <w:rsid w:val="006B0791"/>
    <w:rsid w:val="006B0AD1"/>
    <w:rsid w:val="006B0ADA"/>
    <w:rsid w:val="006B127C"/>
    <w:rsid w:val="006B12DD"/>
    <w:rsid w:val="006B13F2"/>
    <w:rsid w:val="006B152C"/>
    <w:rsid w:val="006B16BC"/>
    <w:rsid w:val="006B17E1"/>
    <w:rsid w:val="006B1816"/>
    <w:rsid w:val="006B1917"/>
    <w:rsid w:val="006B1A25"/>
    <w:rsid w:val="006B1AB5"/>
    <w:rsid w:val="006B1B74"/>
    <w:rsid w:val="006B1C5B"/>
    <w:rsid w:val="006B1D49"/>
    <w:rsid w:val="006B1D60"/>
    <w:rsid w:val="006B1E5E"/>
    <w:rsid w:val="006B1F99"/>
    <w:rsid w:val="006B2099"/>
    <w:rsid w:val="006B21FB"/>
    <w:rsid w:val="006B235A"/>
    <w:rsid w:val="006B2532"/>
    <w:rsid w:val="006B26FA"/>
    <w:rsid w:val="006B29C1"/>
    <w:rsid w:val="006B2A24"/>
    <w:rsid w:val="006B2BF2"/>
    <w:rsid w:val="006B2EFC"/>
    <w:rsid w:val="006B30AD"/>
    <w:rsid w:val="006B3360"/>
    <w:rsid w:val="006B34BB"/>
    <w:rsid w:val="006B37A4"/>
    <w:rsid w:val="006B3843"/>
    <w:rsid w:val="006B39C5"/>
    <w:rsid w:val="006B3B25"/>
    <w:rsid w:val="006B3DCF"/>
    <w:rsid w:val="006B41F3"/>
    <w:rsid w:val="006B4303"/>
    <w:rsid w:val="006B4371"/>
    <w:rsid w:val="006B4381"/>
    <w:rsid w:val="006B43F9"/>
    <w:rsid w:val="006B453A"/>
    <w:rsid w:val="006B4569"/>
    <w:rsid w:val="006B4571"/>
    <w:rsid w:val="006B466D"/>
    <w:rsid w:val="006B479D"/>
    <w:rsid w:val="006B4900"/>
    <w:rsid w:val="006B4B06"/>
    <w:rsid w:val="006B4B31"/>
    <w:rsid w:val="006B4C33"/>
    <w:rsid w:val="006B50CF"/>
    <w:rsid w:val="006B51E9"/>
    <w:rsid w:val="006B5404"/>
    <w:rsid w:val="006B5725"/>
    <w:rsid w:val="006B5995"/>
    <w:rsid w:val="006B5AA5"/>
    <w:rsid w:val="006B5E0D"/>
    <w:rsid w:val="006B5EAF"/>
    <w:rsid w:val="006B5EE8"/>
    <w:rsid w:val="006B5F54"/>
    <w:rsid w:val="006B60C5"/>
    <w:rsid w:val="006B62E3"/>
    <w:rsid w:val="006B6396"/>
    <w:rsid w:val="006B64EA"/>
    <w:rsid w:val="006B65DE"/>
    <w:rsid w:val="006B699B"/>
    <w:rsid w:val="006B6C9B"/>
    <w:rsid w:val="006B6ED5"/>
    <w:rsid w:val="006B6F64"/>
    <w:rsid w:val="006B713B"/>
    <w:rsid w:val="006B740E"/>
    <w:rsid w:val="006B79BE"/>
    <w:rsid w:val="006B7C45"/>
    <w:rsid w:val="006B7D35"/>
    <w:rsid w:val="006B7E15"/>
    <w:rsid w:val="006C03B8"/>
    <w:rsid w:val="006C0D8A"/>
    <w:rsid w:val="006C0DBD"/>
    <w:rsid w:val="006C0F99"/>
    <w:rsid w:val="006C11D1"/>
    <w:rsid w:val="006C11E9"/>
    <w:rsid w:val="006C15F8"/>
    <w:rsid w:val="006C17D3"/>
    <w:rsid w:val="006C184F"/>
    <w:rsid w:val="006C194F"/>
    <w:rsid w:val="006C1EE8"/>
    <w:rsid w:val="006C1F07"/>
    <w:rsid w:val="006C1FF7"/>
    <w:rsid w:val="006C20B3"/>
    <w:rsid w:val="006C232C"/>
    <w:rsid w:val="006C24B2"/>
    <w:rsid w:val="006C2536"/>
    <w:rsid w:val="006C25C7"/>
    <w:rsid w:val="006C2772"/>
    <w:rsid w:val="006C27C1"/>
    <w:rsid w:val="006C27D9"/>
    <w:rsid w:val="006C29B1"/>
    <w:rsid w:val="006C2D35"/>
    <w:rsid w:val="006C2D4F"/>
    <w:rsid w:val="006C2F91"/>
    <w:rsid w:val="006C3718"/>
    <w:rsid w:val="006C3834"/>
    <w:rsid w:val="006C3A3B"/>
    <w:rsid w:val="006C3A56"/>
    <w:rsid w:val="006C3DB5"/>
    <w:rsid w:val="006C3DB7"/>
    <w:rsid w:val="006C3E39"/>
    <w:rsid w:val="006C3F95"/>
    <w:rsid w:val="006C400B"/>
    <w:rsid w:val="006C4087"/>
    <w:rsid w:val="006C44C3"/>
    <w:rsid w:val="006C4567"/>
    <w:rsid w:val="006C4702"/>
    <w:rsid w:val="006C4715"/>
    <w:rsid w:val="006C496E"/>
    <w:rsid w:val="006C49E3"/>
    <w:rsid w:val="006C4BC5"/>
    <w:rsid w:val="006C4EB2"/>
    <w:rsid w:val="006C5127"/>
    <w:rsid w:val="006C52B1"/>
    <w:rsid w:val="006C5907"/>
    <w:rsid w:val="006C5C56"/>
    <w:rsid w:val="006C5EC9"/>
    <w:rsid w:val="006C6059"/>
    <w:rsid w:val="006C636D"/>
    <w:rsid w:val="006C6633"/>
    <w:rsid w:val="006C671B"/>
    <w:rsid w:val="006C673C"/>
    <w:rsid w:val="006C6AF5"/>
    <w:rsid w:val="006C6BE3"/>
    <w:rsid w:val="006C6DF5"/>
    <w:rsid w:val="006C6F67"/>
    <w:rsid w:val="006C7522"/>
    <w:rsid w:val="006C775B"/>
    <w:rsid w:val="006C77E5"/>
    <w:rsid w:val="006C7A08"/>
    <w:rsid w:val="006C7A10"/>
    <w:rsid w:val="006C7A90"/>
    <w:rsid w:val="006C7B36"/>
    <w:rsid w:val="006D05D9"/>
    <w:rsid w:val="006D06EB"/>
    <w:rsid w:val="006D0795"/>
    <w:rsid w:val="006D089B"/>
    <w:rsid w:val="006D09FD"/>
    <w:rsid w:val="006D0A44"/>
    <w:rsid w:val="006D0A97"/>
    <w:rsid w:val="006D0AF6"/>
    <w:rsid w:val="006D0B09"/>
    <w:rsid w:val="006D0FD4"/>
    <w:rsid w:val="006D101F"/>
    <w:rsid w:val="006D10F2"/>
    <w:rsid w:val="006D12B3"/>
    <w:rsid w:val="006D1551"/>
    <w:rsid w:val="006D17DC"/>
    <w:rsid w:val="006D190A"/>
    <w:rsid w:val="006D1940"/>
    <w:rsid w:val="006D1BCC"/>
    <w:rsid w:val="006D1D67"/>
    <w:rsid w:val="006D1F73"/>
    <w:rsid w:val="006D209D"/>
    <w:rsid w:val="006D2852"/>
    <w:rsid w:val="006D2DD7"/>
    <w:rsid w:val="006D300E"/>
    <w:rsid w:val="006D3142"/>
    <w:rsid w:val="006D358D"/>
    <w:rsid w:val="006D35B0"/>
    <w:rsid w:val="006D3655"/>
    <w:rsid w:val="006D3DD4"/>
    <w:rsid w:val="006D3E50"/>
    <w:rsid w:val="006D3F03"/>
    <w:rsid w:val="006D4062"/>
    <w:rsid w:val="006D4249"/>
    <w:rsid w:val="006D425C"/>
    <w:rsid w:val="006D434F"/>
    <w:rsid w:val="006D44A6"/>
    <w:rsid w:val="006D493D"/>
    <w:rsid w:val="006D4A18"/>
    <w:rsid w:val="006D4C92"/>
    <w:rsid w:val="006D4D83"/>
    <w:rsid w:val="006D4E2E"/>
    <w:rsid w:val="006D4E6A"/>
    <w:rsid w:val="006D4EAC"/>
    <w:rsid w:val="006D4F4F"/>
    <w:rsid w:val="006D518A"/>
    <w:rsid w:val="006D51F7"/>
    <w:rsid w:val="006D52B1"/>
    <w:rsid w:val="006D541C"/>
    <w:rsid w:val="006D561B"/>
    <w:rsid w:val="006D57EE"/>
    <w:rsid w:val="006D5823"/>
    <w:rsid w:val="006D5A35"/>
    <w:rsid w:val="006D5C6D"/>
    <w:rsid w:val="006D5E80"/>
    <w:rsid w:val="006D6347"/>
    <w:rsid w:val="006D6EF4"/>
    <w:rsid w:val="006D6F08"/>
    <w:rsid w:val="006D7132"/>
    <w:rsid w:val="006D7504"/>
    <w:rsid w:val="006D753C"/>
    <w:rsid w:val="006D7638"/>
    <w:rsid w:val="006D7A69"/>
    <w:rsid w:val="006D7B89"/>
    <w:rsid w:val="006D7BD9"/>
    <w:rsid w:val="006E0033"/>
    <w:rsid w:val="006E01AE"/>
    <w:rsid w:val="006E03A9"/>
    <w:rsid w:val="006E03C0"/>
    <w:rsid w:val="006E03CE"/>
    <w:rsid w:val="006E0433"/>
    <w:rsid w:val="006E0517"/>
    <w:rsid w:val="006E062C"/>
    <w:rsid w:val="006E0651"/>
    <w:rsid w:val="006E0702"/>
    <w:rsid w:val="006E09AB"/>
    <w:rsid w:val="006E0B3F"/>
    <w:rsid w:val="006E10BA"/>
    <w:rsid w:val="006E127D"/>
    <w:rsid w:val="006E12EA"/>
    <w:rsid w:val="006E13A0"/>
    <w:rsid w:val="006E1513"/>
    <w:rsid w:val="006E1875"/>
    <w:rsid w:val="006E1894"/>
    <w:rsid w:val="006E1A0E"/>
    <w:rsid w:val="006E1C82"/>
    <w:rsid w:val="006E2194"/>
    <w:rsid w:val="006E2383"/>
    <w:rsid w:val="006E23F8"/>
    <w:rsid w:val="006E24DA"/>
    <w:rsid w:val="006E2659"/>
    <w:rsid w:val="006E269A"/>
    <w:rsid w:val="006E28B7"/>
    <w:rsid w:val="006E2A9B"/>
    <w:rsid w:val="006E2BA1"/>
    <w:rsid w:val="006E2CE0"/>
    <w:rsid w:val="006E2D94"/>
    <w:rsid w:val="006E2EAD"/>
    <w:rsid w:val="006E300C"/>
    <w:rsid w:val="006E3217"/>
    <w:rsid w:val="006E325B"/>
    <w:rsid w:val="006E3310"/>
    <w:rsid w:val="006E33C3"/>
    <w:rsid w:val="006E3513"/>
    <w:rsid w:val="006E361D"/>
    <w:rsid w:val="006E3734"/>
    <w:rsid w:val="006E3905"/>
    <w:rsid w:val="006E3B86"/>
    <w:rsid w:val="006E3D35"/>
    <w:rsid w:val="006E41CB"/>
    <w:rsid w:val="006E4210"/>
    <w:rsid w:val="006E43AA"/>
    <w:rsid w:val="006E44CB"/>
    <w:rsid w:val="006E4571"/>
    <w:rsid w:val="006E4839"/>
    <w:rsid w:val="006E488E"/>
    <w:rsid w:val="006E4CDE"/>
    <w:rsid w:val="006E4DD5"/>
    <w:rsid w:val="006E4E39"/>
    <w:rsid w:val="006E5257"/>
    <w:rsid w:val="006E52A4"/>
    <w:rsid w:val="006E5576"/>
    <w:rsid w:val="006E5615"/>
    <w:rsid w:val="006E565E"/>
    <w:rsid w:val="006E5695"/>
    <w:rsid w:val="006E56CF"/>
    <w:rsid w:val="006E57E7"/>
    <w:rsid w:val="006E5A1A"/>
    <w:rsid w:val="006E5EFD"/>
    <w:rsid w:val="006E5F07"/>
    <w:rsid w:val="006E616E"/>
    <w:rsid w:val="006E6453"/>
    <w:rsid w:val="006E673D"/>
    <w:rsid w:val="006E6967"/>
    <w:rsid w:val="006E69AB"/>
    <w:rsid w:val="006E6BD6"/>
    <w:rsid w:val="006E6CBC"/>
    <w:rsid w:val="006E6D2D"/>
    <w:rsid w:val="006E73FF"/>
    <w:rsid w:val="006E7444"/>
    <w:rsid w:val="006E78E3"/>
    <w:rsid w:val="006E7940"/>
    <w:rsid w:val="006E7BB0"/>
    <w:rsid w:val="006E7BFA"/>
    <w:rsid w:val="006E7C75"/>
    <w:rsid w:val="006E7D3B"/>
    <w:rsid w:val="006E7F0E"/>
    <w:rsid w:val="006E7F0F"/>
    <w:rsid w:val="006F005D"/>
    <w:rsid w:val="006F0144"/>
    <w:rsid w:val="006F02C8"/>
    <w:rsid w:val="006F0310"/>
    <w:rsid w:val="006F0405"/>
    <w:rsid w:val="006F064F"/>
    <w:rsid w:val="006F086E"/>
    <w:rsid w:val="006F097D"/>
    <w:rsid w:val="006F098B"/>
    <w:rsid w:val="006F0990"/>
    <w:rsid w:val="006F0A05"/>
    <w:rsid w:val="006F0BCF"/>
    <w:rsid w:val="006F0C59"/>
    <w:rsid w:val="006F0F65"/>
    <w:rsid w:val="006F1045"/>
    <w:rsid w:val="006F116B"/>
    <w:rsid w:val="006F1263"/>
    <w:rsid w:val="006F13F6"/>
    <w:rsid w:val="006F1A76"/>
    <w:rsid w:val="006F1ADE"/>
    <w:rsid w:val="006F1B70"/>
    <w:rsid w:val="006F1C01"/>
    <w:rsid w:val="006F1C4B"/>
    <w:rsid w:val="006F1D4C"/>
    <w:rsid w:val="006F1D52"/>
    <w:rsid w:val="006F1E0A"/>
    <w:rsid w:val="006F1F03"/>
    <w:rsid w:val="006F2115"/>
    <w:rsid w:val="006F21B6"/>
    <w:rsid w:val="006F2639"/>
    <w:rsid w:val="006F272E"/>
    <w:rsid w:val="006F2A2E"/>
    <w:rsid w:val="006F2BD9"/>
    <w:rsid w:val="006F302B"/>
    <w:rsid w:val="006F341D"/>
    <w:rsid w:val="006F364E"/>
    <w:rsid w:val="006F38C3"/>
    <w:rsid w:val="006F396B"/>
    <w:rsid w:val="006F39F6"/>
    <w:rsid w:val="006F3BA6"/>
    <w:rsid w:val="006F3C68"/>
    <w:rsid w:val="006F3CDE"/>
    <w:rsid w:val="006F3EDE"/>
    <w:rsid w:val="006F3F78"/>
    <w:rsid w:val="006F3FBE"/>
    <w:rsid w:val="006F419B"/>
    <w:rsid w:val="006F4253"/>
    <w:rsid w:val="006F426E"/>
    <w:rsid w:val="006F42AD"/>
    <w:rsid w:val="006F44E8"/>
    <w:rsid w:val="006F4547"/>
    <w:rsid w:val="006F4986"/>
    <w:rsid w:val="006F4AF4"/>
    <w:rsid w:val="006F4B65"/>
    <w:rsid w:val="006F4F01"/>
    <w:rsid w:val="006F4F30"/>
    <w:rsid w:val="006F5021"/>
    <w:rsid w:val="006F5496"/>
    <w:rsid w:val="006F5689"/>
    <w:rsid w:val="006F585A"/>
    <w:rsid w:val="006F58C8"/>
    <w:rsid w:val="006F58D4"/>
    <w:rsid w:val="006F59BB"/>
    <w:rsid w:val="006F5B1B"/>
    <w:rsid w:val="006F5EE4"/>
    <w:rsid w:val="006F5FAD"/>
    <w:rsid w:val="006F6085"/>
    <w:rsid w:val="006F618D"/>
    <w:rsid w:val="006F634A"/>
    <w:rsid w:val="006F649C"/>
    <w:rsid w:val="006F654B"/>
    <w:rsid w:val="006F6553"/>
    <w:rsid w:val="006F6582"/>
    <w:rsid w:val="006F68E5"/>
    <w:rsid w:val="006F6952"/>
    <w:rsid w:val="006F733A"/>
    <w:rsid w:val="006F735B"/>
    <w:rsid w:val="006F7435"/>
    <w:rsid w:val="006F7675"/>
    <w:rsid w:val="006F780E"/>
    <w:rsid w:val="006F784E"/>
    <w:rsid w:val="006F7A90"/>
    <w:rsid w:val="006F7BB6"/>
    <w:rsid w:val="007000A1"/>
    <w:rsid w:val="0070010F"/>
    <w:rsid w:val="007002C8"/>
    <w:rsid w:val="007002EF"/>
    <w:rsid w:val="0070041B"/>
    <w:rsid w:val="00700493"/>
    <w:rsid w:val="007004FB"/>
    <w:rsid w:val="007005FD"/>
    <w:rsid w:val="0070060B"/>
    <w:rsid w:val="00700715"/>
    <w:rsid w:val="00700741"/>
    <w:rsid w:val="0070085B"/>
    <w:rsid w:val="00700A2D"/>
    <w:rsid w:val="00700A57"/>
    <w:rsid w:val="00700D24"/>
    <w:rsid w:val="00700EC3"/>
    <w:rsid w:val="0070113F"/>
    <w:rsid w:val="007014D3"/>
    <w:rsid w:val="007019FC"/>
    <w:rsid w:val="00701C2E"/>
    <w:rsid w:val="00701D57"/>
    <w:rsid w:val="00701DA5"/>
    <w:rsid w:val="007022D7"/>
    <w:rsid w:val="0070277D"/>
    <w:rsid w:val="00702BEC"/>
    <w:rsid w:val="00702E2D"/>
    <w:rsid w:val="00702E6E"/>
    <w:rsid w:val="00702FEF"/>
    <w:rsid w:val="00703205"/>
    <w:rsid w:val="0070346E"/>
    <w:rsid w:val="00703495"/>
    <w:rsid w:val="007035D4"/>
    <w:rsid w:val="0070373A"/>
    <w:rsid w:val="00703C8F"/>
    <w:rsid w:val="00703D0D"/>
    <w:rsid w:val="00703D76"/>
    <w:rsid w:val="00703EBB"/>
    <w:rsid w:val="00703EBF"/>
    <w:rsid w:val="0070454B"/>
    <w:rsid w:val="00704747"/>
    <w:rsid w:val="0070497A"/>
    <w:rsid w:val="00704D83"/>
    <w:rsid w:val="00704EDB"/>
    <w:rsid w:val="00704F8E"/>
    <w:rsid w:val="00705550"/>
    <w:rsid w:val="00705767"/>
    <w:rsid w:val="007057B4"/>
    <w:rsid w:val="0070587D"/>
    <w:rsid w:val="0070597B"/>
    <w:rsid w:val="00705B0F"/>
    <w:rsid w:val="00705C43"/>
    <w:rsid w:val="00705D5A"/>
    <w:rsid w:val="00705E57"/>
    <w:rsid w:val="00706101"/>
    <w:rsid w:val="007061D5"/>
    <w:rsid w:val="00706211"/>
    <w:rsid w:val="00706767"/>
    <w:rsid w:val="00706842"/>
    <w:rsid w:val="00706D1E"/>
    <w:rsid w:val="00706D57"/>
    <w:rsid w:val="00706D6F"/>
    <w:rsid w:val="00706EB2"/>
    <w:rsid w:val="00706EBB"/>
    <w:rsid w:val="00706EDA"/>
    <w:rsid w:val="00707072"/>
    <w:rsid w:val="007070A1"/>
    <w:rsid w:val="00707103"/>
    <w:rsid w:val="0070725D"/>
    <w:rsid w:val="007077C2"/>
    <w:rsid w:val="00707870"/>
    <w:rsid w:val="00707A3F"/>
    <w:rsid w:val="00707A5D"/>
    <w:rsid w:val="00707B16"/>
    <w:rsid w:val="00707B5D"/>
    <w:rsid w:val="00707C56"/>
    <w:rsid w:val="00707D61"/>
    <w:rsid w:val="00707F47"/>
    <w:rsid w:val="00707F62"/>
    <w:rsid w:val="00707FD2"/>
    <w:rsid w:val="00710408"/>
    <w:rsid w:val="007107C0"/>
    <w:rsid w:val="00710988"/>
    <w:rsid w:val="00710AF6"/>
    <w:rsid w:val="00710C2B"/>
    <w:rsid w:val="00710E23"/>
    <w:rsid w:val="00710E98"/>
    <w:rsid w:val="00710FDC"/>
    <w:rsid w:val="00711183"/>
    <w:rsid w:val="00711FC2"/>
    <w:rsid w:val="00712287"/>
    <w:rsid w:val="00712464"/>
    <w:rsid w:val="00712772"/>
    <w:rsid w:val="00712935"/>
    <w:rsid w:val="007129F1"/>
    <w:rsid w:val="00712D97"/>
    <w:rsid w:val="00712DDC"/>
    <w:rsid w:val="00712ECC"/>
    <w:rsid w:val="00712FC7"/>
    <w:rsid w:val="00713120"/>
    <w:rsid w:val="007132F6"/>
    <w:rsid w:val="00713619"/>
    <w:rsid w:val="00713736"/>
    <w:rsid w:val="007138CC"/>
    <w:rsid w:val="00713A18"/>
    <w:rsid w:val="00713BE2"/>
    <w:rsid w:val="00713D7C"/>
    <w:rsid w:val="00713F38"/>
    <w:rsid w:val="00713FA2"/>
    <w:rsid w:val="00713FBE"/>
    <w:rsid w:val="00714039"/>
    <w:rsid w:val="00714273"/>
    <w:rsid w:val="007143B5"/>
    <w:rsid w:val="007143FA"/>
    <w:rsid w:val="007144DA"/>
    <w:rsid w:val="007147F6"/>
    <w:rsid w:val="007148D3"/>
    <w:rsid w:val="00714B53"/>
    <w:rsid w:val="00714D4A"/>
    <w:rsid w:val="00714DF4"/>
    <w:rsid w:val="00714F3C"/>
    <w:rsid w:val="00714F3E"/>
    <w:rsid w:val="007155A8"/>
    <w:rsid w:val="00715739"/>
    <w:rsid w:val="00715B8A"/>
    <w:rsid w:val="00715B9A"/>
    <w:rsid w:val="00715BC0"/>
    <w:rsid w:val="00715CE0"/>
    <w:rsid w:val="00715F9E"/>
    <w:rsid w:val="00716538"/>
    <w:rsid w:val="0071656E"/>
    <w:rsid w:val="007165B2"/>
    <w:rsid w:val="00716AEC"/>
    <w:rsid w:val="00716F44"/>
    <w:rsid w:val="00716F95"/>
    <w:rsid w:val="00717030"/>
    <w:rsid w:val="00717172"/>
    <w:rsid w:val="00717651"/>
    <w:rsid w:val="00717681"/>
    <w:rsid w:val="007177BE"/>
    <w:rsid w:val="00717C86"/>
    <w:rsid w:val="00717DC3"/>
    <w:rsid w:val="00717F39"/>
    <w:rsid w:val="007203FA"/>
    <w:rsid w:val="00720435"/>
    <w:rsid w:val="007204B5"/>
    <w:rsid w:val="007205ED"/>
    <w:rsid w:val="0072063E"/>
    <w:rsid w:val="00720E8F"/>
    <w:rsid w:val="00720F4B"/>
    <w:rsid w:val="0072102C"/>
    <w:rsid w:val="00721144"/>
    <w:rsid w:val="007211E2"/>
    <w:rsid w:val="00721568"/>
    <w:rsid w:val="00721728"/>
    <w:rsid w:val="00721758"/>
    <w:rsid w:val="007222A3"/>
    <w:rsid w:val="007228EC"/>
    <w:rsid w:val="007229DE"/>
    <w:rsid w:val="00722A6F"/>
    <w:rsid w:val="00722C96"/>
    <w:rsid w:val="00722CD0"/>
    <w:rsid w:val="00722D25"/>
    <w:rsid w:val="00722E1A"/>
    <w:rsid w:val="00722FFB"/>
    <w:rsid w:val="00722FFF"/>
    <w:rsid w:val="007232A1"/>
    <w:rsid w:val="0072336A"/>
    <w:rsid w:val="007234E6"/>
    <w:rsid w:val="007235B7"/>
    <w:rsid w:val="007235EF"/>
    <w:rsid w:val="007236E8"/>
    <w:rsid w:val="00723ADB"/>
    <w:rsid w:val="00723C89"/>
    <w:rsid w:val="00723CA0"/>
    <w:rsid w:val="00723CA8"/>
    <w:rsid w:val="00724122"/>
    <w:rsid w:val="00724269"/>
    <w:rsid w:val="00724302"/>
    <w:rsid w:val="0072446F"/>
    <w:rsid w:val="00724B8A"/>
    <w:rsid w:val="00724CD0"/>
    <w:rsid w:val="00724D54"/>
    <w:rsid w:val="00724EF9"/>
    <w:rsid w:val="00725423"/>
    <w:rsid w:val="0072542B"/>
    <w:rsid w:val="007254C5"/>
    <w:rsid w:val="007257D0"/>
    <w:rsid w:val="0072581A"/>
    <w:rsid w:val="00725B66"/>
    <w:rsid w:val="00725F2B"/>
    <w:rsid w:val="007263DC"/>
    <w:rsid w:val="0072649B"/>
    <w:rsid w:val="00726722"/>
    <w:rsid w:val="00726A99"/>
    <w:rsid w:val="00726C15"/>
    <w:rsid w:val="00726D2A"/>
    <w:rsid w:val="00726EA6"/>
    <w:rsid w:val="00726F55"/>
    <w:rsid w:val="00727208"/>
    <w:rsid w:val="007272A6"/>
    <w:rsid w:val="00727352"/>
    <w:rsid w:val="0072740B"/>
    <w:rsid w:val="007274B3"/>
    <w:rsid w:val="00727680"/>
    <w:rsid w:val="00727953"/>
    <w:rsid w:val="00727CC4"/>
    <w:rsid w:val="00727D50"/>
    <w:rsid w:val="00727E92"/>
    <w:rsid w:val="00727F7C"/>
    <w:rsid w:val="007300E9"/>
    <w:rsid w:val="00730350"/>
    <w:rsid w:val="00730427"/>
    <w:rsid w:val="00730756"/>
    <w:rsid w:val="00730C36"/>
    <w:rsid w:val="00730F6F"/>
    <w:rsid w:val="00731182"/>
    <w:rsid w:val="007311C1"/>
    <w:rsid w:val="00731531"/>
    <w:rsid w:val="00731AE6"/>
    <w:rsid w:val="00731CBB"/>
    <w:rsid w:val="00731E46"/>
    <w:rsid w:val="00731F0A"/>
    <w:rsid w:val="00732107"/>
    <w:rsid w:val="007321ED"/>
    <w:rsid w:val="007327A2"/>
    <w:rsid w:val="0073289B"/>
    <w:rsid w:val="00732DAF"/>
    <w:rsid w:val="00732E59"/>
    <w:rsid w:val="00733142"/>
    <w:rsid w:val="007332A0"/>
    <w:rsid w:val="0073332F"/>
    <w:rsid w:val="00733464"/>
    <w:rsid w:val="00733651"/>
    <w:rsid w:val="007337F7"/>
    <w:rsid w:val="007339E1"/>
    <w:rsid w:val="00733E97"/>
    <w:rsid w:val="0073407B"/>
    <w:rsid w:val="00734447"/>
    <w:rsid w:val="007348B1"/>
    <w:rsid w:val="007349B7"/>
    <w:rsid w:val="00734A5D"/>
    <w:rsid w:val="00734C99"/>
    <w:rsid w:val="00734D66"/>
    <w:rsid w:val="00734EC6"/>
    <w:rsid w:val="00735489"/>
    <w:rsid w:val="007355F7"/>
    <w:rsid w:val="007356F2"/>
    <w:rsid w:val="00735804"/>
    <w:rsid w:val="007359F9"/>
    <w:rsid w:val="00735A97"/>
    <w:rsid w:val="00735F73"/>
    <w:rsid w:val="00736177"/>
    <w:rsid w:val="00736203"/>
    <w:rsid w:val="007362A6"/>
    <w:rsid w:val="0073649B"/>
    <w:rsid w:val="0073677A"/>
    <w:rsid w:val="007367A0"/>
    <w:rsid w:val="00736D4F"/>
    <w:rsid w:val="00736D7D"/>
    <w:rsid w:val="00737060"/>
    <w:rsid w:val="007370D2"/>
    <w:rsid w:val="0073728A"/>
    <w:rsid w:val="0073742E"/>
    <w:rsid w:val="00737507"/>
    <w:rsid w:val="007378C1"/>
    <w:rsid w:val="00737CA5"/>
    <w:rsid w:val="0074000B"/>
    <w:rsid w:val="007401DF"/>
    <w:rsid w:val="0074021E"/>
    <w:rsid w:val="0074027C"/>
    <w:rsid w:val="00740462"/>
    <w:rsid w:val="00740775"/>
    <w:rsid w:val="0074080C"/>
    <w:rsid w:val="00740901"/>
    <w:rsid w:val="00740977"/>
    <w:rsid w:val="00740980"/>
    <w:rsid w:val="00740AD2"/>
    <w:rsid w:val="00740C4D"/>
    <w:rsid w:val="00740CA8"/>
    <w:rsid w:val="00740E58"/>
    <w:rsid w:val="00740F15"/>
    <w:rsid w:val="00740F49"/>
    <w:rsid w:val="00741068"/>
    <w:rsid w:val="007410A0"/>
    <w:rsid w:val="007416E4"/>
    <w:rsid w:val="0074179D"/>
    <w:rsid w:val="007417FA"/>
    <w:rsid w:val="0074188D"/>
    <w:rsid w:val="00741C8D"/>
    <w:rsid w:val="0074205E"/>
    <w:rsid w:val="007420F3"/>
    <w:rsid w:val="00742162"/>
    <w:rsid w:val="007421C2"/>
    <w:rsid w:val="007427D2"/>
    <w:rsid w:val="00742F2E"/>
    <w:rsid w:val="0074313D"/>
    <w:rsid w:val="0074327B"/>
    <w:rsid w:val="007432EE"/>
    <w:rsid w:val="00743395"/>
    <w:rsid w:val="007433D2"/>
    <w:rsid w:val="007434AD"/>
    <w:rsid w:val="007434EC"/>
    <w:rsid w:val="00743A0B"/>
    <w:rsid w:val="00743D2F"/>
    <w:rsid w:val="00743E33"/>
    <w:rsid w:val="00743E3A"/>
    <w:rsid w:val="00744168"/>
    <w:rsid w:val="0074422B"/>
    <w:rsid w:val="007442DA"/>
    <w:rsid w:val="007445A0"/>
    <w:rsid w:val="00744722"/>
    <w:rsid w:val="007449D3"/>
    <w:rsid w:val="00744B80"/>
    <w:rsid w:val="00744B99"/>
    <w:rsid w:val="00744F2A"/>
    <w:rsid w:val="0074506D"/>
    <w:rsid w:val="0074524B"/>
    <w:rsid w:val="007454FC"/>
    <w:rsid w:val="00745771"/>
    <w:rsid w:val="00745A9E"/>
    <w:rsid w:val="00745BBE"/>
    <w:rsid w:val="00745FE1"/>
    <w:rsid w:val="007460E9"/>
    <w:rsid w:val="00746416"/>
    <w:rsid w:val="00746427"/>
    <w:rsid w:val="0074647F"/>
    <w:rsid w:val="007467A7"/>
    <w:rsid w:val="007467CE"/>
    <w:rsid w:val="00746861"/>
    <w:rsid w:val="0074689F"/>
    <w:rsid w:val="00746BB4"/>
    <w:rsid w:val="00746BFD"/>
    <w:rsid w:val="0074719B"/>
    <w:rsid w:val="007471DE"/>
    <w:rsid w:val="0074733A"/>
    <w:rsid w:val="007474F9"/>
    <w:rsid w:val="007475C7"/>
    <w:rsid w:val="00747848"/>
    <w:rsid w:val="007478A7"/>
    <w:rsid w:val="00747C45"/>
    <w:rsid w:val="00747C47"/>
    <w:rsid w:val="00747CBD"/>
    <w:rsid w:val="00747D8B"/>
    <w:rsid w:val="00747DFA"/>
    <w:rsid w:val="00747F70"/>
    <w:rsid w:val="00750126"/>
    <w:rsid w:val="007502D1"/>
    <w:rsid w:val="0075035E"/>
    <w:rsid w:val="00750526"/>
    <w:rsid w:val="00750580"/>
    <w:rsid w:val="007506F6"/>
    <w:rsid w:val="0075072E"/>
    <w:rsid w:val="007507A6"/>
    <w:rsid w:val="00750884"/>
    <w:rsid w:val="00750A1D"/>
    <w:rsid w:val="00750BE5"/>
    <w:rsid w:val="00750EA5"/>
    <w:rsid w:val="00751228"/>
    <w:rsid w:val="00751279"/>
    <w:rsid w:val="00751625"/>
    <w:rsid w:val="0075182A"/>
    <w:rsid w:val="00751940"/>
    <w:rsid w:val="00751A74"/>
    <w:rsid w:val="00751AE0"/>
    <w:rsid w:val="00751BC3"/>
    <w:rsid w:val="00751C8A"/>
    <w:rsid w:val="00751CED"/>
    <w:rsid w:val="00751E84"/>
    <w:rsid w:val="00752234"/>
    <w:rsid w:val="0075225E"/>
    <w:rsid w:val="007522D6"/>
    <w:rsid w:val="00752317"/>
    <w:rsid w:val="0075248D"/>
    <w:rsid w:val="00752514"/>
    <w:rsid w:val="00752679"/>
    <w:rsid w:val="007526B4"/>
    <w:rsid w:val="007528FE"/>
    <w:rsid w:val="00752B3D"/>
    <w:rsid w:val="00752C64"/>
    <w:rsid w:val="00752D07"/>
    <w:rsid w:val="00752EDB"/>
    <w:rsid w:val="00752FDF"/>
    <w:rsid w:val="00753112"/>
    <w:rsid w:val="00753454"/>
    <w:rsid w:val="007534CA"/>
    <w:rsid w:val="00753627"/>
    <w:rsid w:val="007539A1"/>
    <w:rsid w:val="00753A7D"/>
    <w:rsid w:val="00753CD7"/>
    <w:rsid w:val="00753DE0"/>
    <w:rsid w:val="0075411D"/>
    <w:rsid w:val="00754149"/>
    <w:rsid w:val="00754214"/>
    <w:rsid w:val="007542E5"/>
    <w:rsid w:val="0075454A"/>
    <w:rsid w:val="0075463A"/>
    <w:rsid w:val="00754961"/>
    <w:rsid w:val="00754B98"/>
    <w:rsid w:val="00754BBA"/>
    <w:rsid w:val="00754C93"/>
    <w:rsid w:val="00754CB9"/>
    <w:rsid w:val="00754E91"/>
    <w:rsid w:val="00755009"/>
    <w:rsid w:val="007554AD"/>
    <w:rsid w:val="00755551"/>
    <w:rsid w:val="007555E1"/>
    <w:rsid w:val="00755803"/>
    <w:rsid w:val="007559C8"/>
    <w:rsid w:val="00755AAC"/>
    <w:rsid w:val="00755F21"/>
    <w:rsid w:val="0075622B"/>
    <w:rsid w:val="00756554"/>
    <w:rsid w:val="00756788"/>
    <w:rsid w:val="00756842"/>
    <w:rsid w:val="00756A07"/>
    <w:rsid w:val="00756B95"/>
    <w:rsid w:val="00756DD0"/>
    <w:rsid w:val="00756EC4"/>
    <w:rsid w:val="00757151"/>
    <w:rsid w:val="007571BB"/>
    <w:rsid w:val="007571E1"/>
    <w:rsid w:val="007572D5"/>
    <w:rsid w:val="007575E2"/>
    <w:rsid w:val="007578FF"/>
    <w:rsid w:val="00757BD9"/>
    <w:rsid w:val="00757C96"/>
    <w:rsid w:val="00757CD3"/>
    <w:rsid w:val="00757E02"/>
    <w:rsid w:val="0076019E"/>
    <w:rsid w:val="007602CE"/>
    <w:rsid w:val="007604B2"/>
    <w:rsid w:val="0076086E"/>
    <w:rsid w:val="0076090D"/>
    <w:rsid w:val="00760947"/>
    <w:rsid w:val="00760BEA"/>
    <w:rsid w:val="00760E30"/>
    <w:rsid w:val="0076100D"/>
    <w:rsid w:val="007613C3"/>
    <w:rsid w:val="00761547"/>
    <w:rsid w:val="007615F2"/>
    <w:rsid w:val="007616B3"/>
    <w:rsid w:val="007617D1"/>
    <w:rsid w:val="00761A9E"/>
    <w:rsid w:val="00761F48"/>
    <w:rsid w:val="00762153"/>
    <w:rsid w:val="00762173"/>
    <w:rsid w:val="00762194"/>
    <w:rsid w:val="00762397"/>
    <w:rsid w:val="00762435"/>
    <w:rsid w:val="007625D7"/>
    <w:rsid w:val="0076261C"/>
    <w:rsid w:val="007626F6"/>
    <w:rsid w:val="00762C09"/>
    <w:rsid w:val="00762DE5"/>
    <w:rsid w:val="00762DFB"/>
    <w:rsid w:val="00762F23"/>
    <w:rsid w:val="00762F46"/>
    <w:rsid w:val="00763284"/>
    <w:rsid w:val="007633A8"/>
    <w:rsid w:val="00763505"/>
    <w:rsid w:val="0076372C"/>
    <w:rsid w:val="00763870"/>
    <w:rsid w:val="007638C3"/>
    <w:rsid w:val="00763BDE"/>
    <w:rsid w:val="00763F69"/>
    <w:rsid w:val="00764556"/>
    <w:rsid w:val="00764AD7"/>
    <w:rsid w:val="00764B1D"/>
    <w:rsid w:val="00764D24"/>
    <w:rsid w:val="00764D3F"/>
    <w:rsid w:val="00764E95"/>
    <w:rsid w:val="007650D3"/>
    <w:rsid w:val="00765158"/>
    <w:rsid w:val="00765281"/>
    <w:rsid w:val="00765439"/>
    <w:rsid w:val="007655FD"/>
    <w:rsid w:val="00765791"/>
    <w:rsid w:val="0076604D"/>
    <w:rsid w:val="007660A1"/>
    <w:rsid w:val="00766130"/>
    <w:rsid w:val="0076618E"/>
    <w:rsid w:val="007663E2"/>
    <w:rsid w:val="007663F5"/>
    <w:rsid w:val="00766550"/>
    <w:rsid w:val="007665BE"/>
    <w:rsid w:val="007667BD"/>
    <w:rsid w:val="00766BAD"/>
    <w:rsid w:val="00766D8A"/>
    <w:rsid w:val="00766E2E"/>
    <w:rsid w:val="00766FA3"/>
    <w:rsid w:val="00767018"/>
    <w:rsid w:val="007673EF"/>
    <w:rsid w:val="0076742A"/>
    <w:rsid w:val="0076742D"/>
    <w:rsid w:val="00767472"/>
    <w:rsid w:val="00767535"/>
    <w:rsid w:val="0076758A"/>
    <w:rsid w:val="007676CD"/>
    <w:rsid w:val="00767910"/>
    <w:rsid w:val="00767A29"/>
    <w:rsid w:val="00767A43"/>
    <w:rsid w:val="00767B20"/>
    <w:rsid w:val="00767BE3"/>
    <w:rsid w:val="00767DC9"/>
    <w:rsid w:val="00767F7D"/>
    <w:rsid w:val="007701CB"/>
    <w:rsid w:val="007707D4"/>
    <w:rsid w:val="0077083B"/>
    <w:rsid w:val="00770AC0"/>
    <w:rsid w:val="00770CE6"/>
    <w:rsid w:val="00770D44"/>
    <w:rsid w:val="00770F1D"/>
    <w:rsid w:val="007710BC"/>
    <w:rsid w:val="007710E2"/>
    <w:rsid w:val="00771241"/>
    <w:rsid w:val="007717EC"/>
    <w:rsid w:val="007718F5"/>
    <w:rsid w:val="00771A83"/>
    <w:rsid w:val="00771C52"/>
    <w:rsid w:val="00771E8C"/>
    <w:rsid w:val="0077202D"/>
    <w:rsid w:val="00772284"/>
    <w:rsid w:val="00772304"/>
    <w:rsid w:val="00772557"/>
    <w:rsid w:val="00772653"/>
    <w:rsid w:val="00772971"/>
    <w:rsid w:val="007729A2"/>
    <w:rsid w:val="00772A8D"/>
    <w:rsid w:val="00772A9B"/>
    <w:rsid w:val="00772F3A"/>
    <w:rsid w:val="00772F5E"/>
    <w:rsid w:val="007730A7"/>
    <w:rsid w:val="007732CE"/>
    <w:rsid w:val="00773387"/>
    <w:rsid w:val="007735F2"/>
    <w:rsid w:val="00773638"/>
    <w:rsid w:val="0077387E"/>
    <w:rsid w:val="00773A1C"/>
    <w:rsid w:val="00773D78"/>
    <w:rsid w:val="00774149"/>
    <w:rsid w:val="0077422D"/>
    <w:rsid w:val="007744CE"/>
    <w:rsid w:val="00774551"/>
    <w:rsid w:val="00774B2D"/>
    <w:rsid w:val="0077513F"/>
    <w:rsid w:val="007755D9"/>
    <w:rsid w:val="007755F2"/>
    <w:rsid w:val="00775891"/>
    <w:rsid w:val="007758CB"/>
    <w:rsid w:val="00775A52"/>
    <w:rsid w:val="00775A6D"/>
    <w:rsid w:val="00775BF5"/>
    <w:rsid w:val="00775D21"/>
    <w:rsid w:val="00775F73"/>
    <w:rsid w:val="00776070"/>
    <w:rsid w:val="0077616B"/>
    <w:rsid w:val="007763FB"/>
    <w:rsid w:val="00776630"/>
    <w:rsid w:val="00776755"/>
    <w:rsid w:val="00776795"/>
    <w:rsid w:val="007767DA"/>
    <w:rsid w:val="007768D6"/>
    <w:rsid w:val="0077693D"/>
    <w:rsid w:val="00776971"/>
    <w:rsid w:val="007776EC"/>
    <w:rsid w:val="00777A63"/>
    <w:rsid w:val="00777A71"/>
    <w:rsid w:val="00777C09"/>
    <w:rsid w:val="00777C2C"/>
    <w:rsid w:val="00777DF9"/>
    <w:rsid w:val="00780005"/>
    <w:rsid w:val="00780403"/>
    <w:rsid w:val="0078069C"/>
    <w:rsid w:val="00780A80"/>
    <w:rsid w:val="00780AA2"/>
    <w:rsid w:val="00780AA8"/>
    <w:rsid w:val="00780F75"/>
    <w:rsid w:val="00780FCD"/>
    <w:rsid w:val="00781105"/>
    <w:rsid w:val="007812F7"/>
    <w:rsid w:val="0078132B"/>
    <w:rsid w:val="0078147D"/>
    <w:rsid w:val="0078159C"/>
    <w:rsid w:val="007816C2"/>
    <w:rsid w:val="007816F7"/>
    <w:rsid w:val="0078177E"/>
    <w:rsid w:val="007819B8"/>
    <w:rsid w:val="00781AC5"/>
    <w:rsid w:val="00781ADA"/>
    <w:rsid w:val="00781C13"/>
    <w:rsid w:val="00781C4B"/>
    <w:rsid w:val="00781D5B"/>
    <w:rsid w:val="00781E79"/>
    <w:rsid w:val="00781F1F"/>
    <w:rsid w:val="0078265C"/>
    <w:rsid w:val="007826DC"/>
    <w:rsid w:val="0078270C"/>
    <w:rsid w:val="00782BA5"/>
    <w:rsid w:val="00782BA7"/>
    <w:rsid w:val="00782D3A"/>
    <w:rsid w:val="00782E5E"/>
    <w:rsid w:val="00782FBE"/>
    <w:rsid w:val="0078304C"/>
    <w:rsid w:val="0078326F"/>
    <w:rsid w:val="007833E7"/>
    <w:rsid w:val="00783673"/>
    <w:rsid w:val="007836FF"/>
    <w:rsid w:val="007837EA"/>
    <w:rsid w:val="00784045"/>
    <w:rsid w:val="007841E0"/>
    <w:rsid w:val="007841F6"/>
    <w:rsid w:val="0078464C"/>
    <w:rsid w:val="00784781"/>
    <w:rsid w:val="007849A7"/>
    <w:rsid w:val="00784AB3"/>
    <w:rsid w:val="00784ACD"/>
    <w:rsid w:val="00784ACE"/>
    <w:rsid w:val="00784B91"/>
    <w:rsid w:val="007853C1"/>
    <w:rsid w:val="00785490"/>
    <w:rsid w:val="007854D0"/>
    <w:rsid w:val="007854EE"/>
    <w:rsid w:val="0078582D"/>
    <w:rsid w:val="00785912"/>
    <w:rsid w:val="00785E16"/>
    <w:rsid w:val="007860DD"/>
    <w:rsid w:val="007862A5"/>
    <w:rsid w:val="007863E0"/>
    <w:rsid w:val="00786794"/>
    <w:rsid w:val="007867FB"/>
    <w:rsid w:val="00786A4D"/>
    <w:rsid w:val="00786D28"/>
    <w:rsid w:val="00786EDF"/>
    <w:rsid w:val="00786FCA"/>
    <w:rsid w:val="007870B0"/>
    <w:rsid w:val="007870BC"/>
    <w:rsid w:val="0078718A"/>
    <w:rsid w:val="00787276"/>
    <w:rsid w:val="00787284"/>
    <w:rsid w:val="00787436"/>
    <w:rsid w:val="007874BD"/>
    <w:rsid w:val="0078751C"/>
    <w:rsid w:val="007877B7"/>
    <w:rsid w:val="00787D0B"/>
    <w:rsid w:val="00787DF0"/>
    <w:rsid w:val="00787F20"/>
    <w:rsid w:val="00787F23"/>
    <w:rsid w:val="007902B4"/>
    <w:rsid w:val="007904EE"/>
    <w:rsid w:val="00790807"/>
    <w:rsid w:val="0079097A"/>
    <w:rsid w:val="00790E11"/>
    <w:rsid w:val="00790ED7"/>
    <w:rsid w:val="00790F53"/>
    <w:rsid w:val="00791256"/>
    <w:rsid w:val="007912B9"/>
    <w:rsid w:val="007912D5"/>
    <w:rsid w:val="00791445"/>
    <w:rsid w:val="007914D2"/>
    <w:rsid w:val="007915B8"/>
    <w:rsid w:val="00791891"/>
    <w:rsid w:val="007919B6"/>
    <w:rsid w:val="00791A7E"/>
    <w:rsid w:val="00791AB6"/>
    <w:rsid w:val="00791C6D"/>
    <w:rsid w:val="00791E8B"/>
    <w:rsid w:val="007924FD"/>
    <w:rsid w:val="007925EA"/>
    <w:rsid w:val="00792640"/>
    <w:rsid w:val="007928C1"/>
    <w:rsid w:val="0079290A"/>
    <w:rsid w:val="007929D8"/>
    <w:rsid w:val="00792A87"/>
    <w:rsid w:val="00792D18"/>
    <w:rsid w:val="00792EAE"/>
    <w:rsid w:val="00792F76"/>
    <w:rsid w:val="0079300A"/>
    <w:rsid w:val="007932A1"/>
    <w:rsid w:val="007932B1"/>
    <w:rsid w:val="00793415"/>
    <w:rsid w:val="007939CD"/>
    <w:rsid w:val="00793AED"/>
    <w:rsid w:val="00793BAF"/>
    <w:rsid w:val="00793CD8"/>
    <w:rsid w:val="00793FB1"/>
    <w:rsid w:val="00794024"/>
    <w:rsid w:val="007940AE"/>
    <w:rsid w:val="007940C0"/>
    <w:rsid w:val="007941A8"/>
    <w:rsid w:val="00794552"/>
    <w:rsid w:val="007947B5"/>
    <w:rsid w:val="007947FD"/>
    <w:rsid w:val="00794FAC"/>
    <w:rsid w:val="007950E3"/>
    <w:rsid w:val="00795233"/>
    <w:rsid w:val="00795591"/>
    <w:rsid w:val="007957C2"/>
    <w:rsid w:val="007958D3"/>
    <w:rsid w:val="00795933"/>
    <w:rsid w:val="007959A3"/>
    <w:rsid w:val="007959D1"/>
    <w:rsid w:val="00795C4F"/>
    <w:rsid w:val="00795C92"/>
    <w:rsid w:val="00795E3F"/>
    <w:rsid w:val="00796231"/>
    <w:rsid w:val="007962F6"/>
    <w:rsid w:val="00796324"/>
    <w:rsid w:val="0079636E"/>
    <w:rsid w:val="007965EE"/>
    <w:rsid w:val="00796A08"/>
    <w:rsid w:val="00796B4E"/>
    <w:rsid w:val="00797062"/>
    <w:rsid w:val="0079711D"/>
    <w:rsid w:val="007971BB"/>
    <w:rsid w:val="007978E4"/>
    <w:rsid w:val="007979EC"/>
    <w:rsid w:val="00797DA3"/>
    <w:rsid w:val="00797E36"/>
    <w:rsid w:val="00797ECC"/>
    <w:rsid w:val="007A029B"/>
    <w:rsid w:val="007A02E8"/>
    <w:rsid w:val="007A0CA1"/>
    <w:rsid w:val="007A0CA5"/>
    <w:rsid w:val="007A0CBC"/>
    <w:rsid w:val="007A0F6A"/>
    <w:rsid w:val="007A0FFE"/>
    <w:rsid w:val="007A1156"/>
    <w:rsid w:val="007A122B"/>
    <w:rsid w:val="007A13D8"/>
    <w:rsid w:val="007A19E0"/>
    <w:rsid w:val="007A1A05"/>
    <w:rsid w:val="007A1BF0"/>
    <w:rsid w:val="007A1CB3"/>
    <w:rsid w:val="007A1D5C"/>
    <w:rsid w:val="007A228E"/>
    <w:rsid w:val="007A22C5"/>
    <w:rsid w:val="007A245E"/>
    <w:rsid w:val="007A246B"/>
    <w:rsid w:val="007A29EE"/>
    <w:rsid w:val="007A2A8F"/>
    <w:rsid w:val="007A2B10"/>
    <w:rsid w:val="007A2CD2"/>
    <w:rsid w:val="007A2D60"/>
    <w:rsid w:val="007A2DB8"/>
    <w:rsid w:val="007A2DE3"/>
    <w:rsid w:val="007A2EE4"/>
    <w:rsid w:val="007A2FE3"/>
    <w:rsid w:val="007A306F"/>
    <w:rsid w:val="007A34D9"/>
    <w:rsid w:val="007A3578"/>
    <w:rsid w:val="007A37F4"/>
    <w:rsid w:val="007A3B74"/>
    <w:rsid w:val="007A3B93"/>
    <w:rsid w:val="007A3C66"/>
    <w:rsid w:val="007A3F2B"/>
    <w:rsid w:val="007A4275"/>
    <w:rsid w:val="007A42AA"/>
    <w:rsid w:val="007A43A6"/>
    <w:rsid w:val="007A43AF"/>
    <w:rsid w:val="007A465F"/>
    <w:rsid w:val="007A4696"/>
    <w:rsid w:val="007A4822"/>
    <w:rsid w:val="007A4870"/>
    <w:rsid w:val="007A4915"/>
    <w:rsid w:val="007A4A4C"/>
    <w:rsid w:val="007A4A89"/>
    <w:rsid w:val="007A4A8B"/>
    <w:rsid w:val="007A4B87"/>
    <w:rsid w:val="007A4CB4"/>
    <w:rsid w:val="007A4E70"/>
    <w:rsid w:val="007A52C7"/>
    <w:rsid w:val="007A54C9"/>
    <w:rsid w:val="007A54DD"/>
    <w:rsid w:val="007A5539"/>
    <w:rsid w:val="007A5542"/>
    <w:rsid w:val="007A5894"/>
    <w:rsid w:val="007A58A6"/>
    <w:rsid w:val="007A5924"/>
    <w:rsid w:val="007A5A0B"/>
    <w:rsid w:val="007A5A2E"/>
    <w:rsid w:val="007A5E36"/>
    <w:rsid w:val="007A5FD9"/>
    <w:rsid w:val="007A606B"/>
    <w:rsid w:val="007A6158"/>
    <w:rsid w:val="007A6186"/>
    <w:rsid w:val="007A656A"/>
    <w:rsid w:val="007A65AB"/>
    <w:rsid w:val="007A66FA"/>
    <w:rsid w:val="007A6781"/>
    <w:rsid w:val="007A68AD"/>
    <w:rsid w:val="007A68FC"/>
    <w:rsid w:val="007A6AF2"/>
    <w:rsid w:val="007A7526"/>
    <w:rsid w:val="007A793F"/>
    <w:rsid w:val="007A7ABD"/>
    <w:rsid w:val="007A7D13"/>
    <w:rsid w:val="007A7D53"/>
    <w:rsid w:val="007A7EEB"/>
    <w:rsid w:val="007A7FFB"/>
    <w:rsid w:val="007B009E"/>
    <w:rsid w:val="007B0141"/>
    <w:rsid w:val="007B021F"/>
    <w:rsid w:val="007B0337"/>
    <w:rsid w:val="007B0433"/>
    <w:rsid w:val="007B050F"/>
    <w:rsid w:val="007B05F7"/>
    <w:rsid w:val="007B0BE9"/>
    <w:rsid w:val="007B0C13"/>
    <w:rsid w:val="007B1018"/>
    <w:rsid w:val="007B1109"/>
    <w:rsid w:val="007B1139"/>
    <w:rsid w:val="007B1209"/>
    <w:rsid w:val="007B124C"/>
    <w:rsid w:val="007B12BF"/>
    <w:rsid w:val="007B1390"/>
    <w:rsid w:val="007B1394"/>
    <w:rsid w:val="007B1406"/>
    <w:rsid w:val="007B1638"/>
    <w:rsid w:val="007B169B"/>
    <w:rsid w:val="007B1842"/>
    <w:rsid w:val="007B196C"/>
    <w:rsid w:val="007B1AC9"/>
    <w:rsid w:val="007B1E38"/>
    <w:rsid w:val="007B1F70"/>
    <w:rsid w:val="007B20D7"/>
    <w:rsid w:val="007B238D"/>
    <w:rsid w:val="007B23B9"/>
    <w:rsid w:val="007B248C"/>
    <w:rsid w:val="007B249B"/>
    <w:rsid w:val="007B2565"/>
    <w:rsid w:val="007B272D"/>
    <w:rsid w:val="007B2AF6"/>
    <w:rsid w:val="007B2BDF"/>
    <w:rsid w:val="007B2CF1"/>
    <w:rsid w:val="007B2D92"/>
    <w:rsid w:val="007B2E49"/>
    <w:rsid w:val="007B2F5F"/>
    <w:rsid w:val="007B2FA4"/>
    <w:rsid w:val="007B3139"/>
    <w:rsid w:val="007B32D2"/>
    <w:rsid w:val="007B32D7"/>
    <w:rsid w:val="007B354E"/>
    <w:rsid w:val="007B381C"/>
    <w:rsid w:val="007B39EF"/>
    <w:rsid w:val="007B3A65"/>
    <w:rsid w:val="007B3D2D"/>
    <w:rsid w:val="007B3D6D"/>
    <w:rsid w:val="007B3D72"/>
    <w:rsid w:val="007B3E93"/>
    <w:rsid w:val="007B4121"/>
    <w:rsid w:val="007B46F3"/>
    <w:rsid w:val="007B4983"/>
    <w:rsid w:val="007B49D2"/>
    <w:rsid w:val="007B4CF9"/>
    <w:rsid w:val="007B4D46"/>
    <w:rsid w:val="007B4F70"/>
    <w:rsid w:val="007B50AE"/>
    <w:rsid w:val="007B50B6"/>
    <w:rsid w:val="007B50BD"/>
    <w:rsid w:val="007B51C8"/>
    <w:rsid w:val="007B51DF"/>
    <w:rsid w:val="007B532F"/>
    <w:rsid w:val="007B552A"/>
    <w:rsid w:val="007B55B3"/>
    <w:rsid w:val="007B56C1"/>
    <w:rsid w:val="007B5851"/>
    <w:rsid w:val="007B5CFC"/>
    <w:rsid w:val="007B5D22"/>
    <w:rsid w:val="007B6051"/>
    <w:rsid w:val="007B6058"/>
    <w:rsid w:val="007B657D"/>
    <w:rsid w:val="007B666E"/>
    <w:rsid w:val="007B681F"/>
    <w:rsid w:val="007B696B"/>
    <w:rsid w:val="007B69D3"/>
    <w:rsid w:val="007B6E40"/>
    <w:rsid w:val="007B703B"/>
    <w:rsid w:val="007B7114"/>
    <w:rsid w:val="007B726E"/>
    <w:rsid w:val="007B730D"/>
    <w:rsid w:val="007B738D"/>
    <w:rsid w:val="007B7623"/>
    <w:rsid w:val="007B771C"/>
    <w:rsid w:val="007B7760"/>
    <w:rsid w:val="007B7872"/>
    <w:rsid w:val="007B796F"/>
    <w:rsid w:val="007C00BD"/>
    <w:rsid w:val="007C00F2"/>
    <w:rsid w:val="007C03CE"/>
    <w:rsid w:val="007C05DD"/>
    <w:rsid w:val="007C0745"/>
    <w:rsid w:val="007C0B2E"/>
    <w:rsid w:val="007C0E50"/>
    <w:rsid w:val="007C10CC"/>
    <w:rsid w:val="007C11F7"/>
    <w:rsid w:val="007C1340"/>
    <w:rsid w:val="007C13A8"/>
    <w:rsid w:val="007C154C"/>
    <w:rsid w:val="007C1597"/>
    <w:rsid w:val="007C171C"/>
    <w:rsid w:val="007C172C"/>
    <w:rsid w:val="007C187E"/>
    <w:rsid w:val="007C1B67"/>
    <w:rsid w:val="007C1CAE"/>
    <w:rsid w:val="007C1E30"/>
    <w:rsid w:val="007C1F8F"/>
    <w:rsid w:val="007C2005"/>
    <w:rsid w:val="007C20D1"/>
    <w:rsid w:val="007C21EC"/>
    <w:rsid w:val="007C22A6"/>
    <w:rsid w:val="007C24F0"/>
    <w:rsid w:val="007C2543"/>
    <w:rsid w:val="007C2544"/>
    <w:rsid w:val="007C2780"/>
    <w:rsid w:val="007C28AD"/>
    <w:rsid w:val="007C2A6D"/>
    <w:rsid w:val="007C2CF6"/>
    <w:rsid w:val="007C2D2F"/>
    <w:rsid w:val="007C2DAB"/>
    <w:rsid w:val="007C2DF0"/>
    <w:rsid w:val="007C319E"/>
    <w:rsid w:val="007C3215"/>
    <w:rsid w:val="007C33EA"/>
    <w:rsid w:val="007C3470"/>
    <w:rsid w:val="007C3683"/>
    <w:rsid w:val="007C36DC"/>
    <w:rsid w:val="007C37EE"/>
    <w:rsid w:val="007C3D18"/>
    <w:rsid w:val="007C3D4B"/>
    <w:rsid w:val="007C3F36"/>
    <w:rsid w:val="007C4046"/>
    <w:rsid w:val="007C43C0"/>
    <w:rsid w:val="007C446A"/>
    <w:rsid w:val="007C46C5"/>
    <w:rsid w:val="007C4715"/>
    <w:rsid w:val="007C48DC"/>
    <w:rsid w:val="007C4A11"/>
    <w:rsid w:val="007C4B9A"/>
    <w:rsid w:val="007C4C6F"/>
    <w:rsid w:val="007C4F1F"/>
    <w:rsid w:val="007C511F"/>
    <w:rsid w:val="007C516A"/>
    <w:rsid w:val="007C522E"/>
    <w:rsid w:val="007C536B"/>
    <w:rsid w:val="007C54F2"/>
    <w:rsid w:val="007C54FF"/>
    <w:rsid w:val="007C550F"/>
    <w:rsid w:val="007C5624"/>
    <w:rsid w:val="007C56D7"/>
    <w:rsid w:val="007C58B0"/>
    <w:rsid w:val="007C595C"/>
    <w:rsid w:val="007C5FAE"/>
    <w:rsid w:val="007C6095"/>
    <w:rsid w:val="007C60BF"/>
    <w:rsid w:val="007C617E"/>
    <w:rsid w:val="007C64DE"/>
    <w:rsid w:val="007C66E6"/>
    <w:rsid w:val="007C676E"/>
    <w:rsid w:val="007C6A07"/>
    <w:rsid w:val="007C6B2B"/>
    <w:rsid w:val="007C6D58"/>
    <w:rsid w:val="007C6E2E"/>
    <w:rsid w:val="007C6E6C"/>
    <w:rsid w:val="007C70B7"/>
    <w:rsid w:val="007C70D1"/>
    <w:rsid w:val="007C71C2"/>
    <w:rsid w:val="007C729B"/>
    <w:rsid w:val="007C74DE"/>
    <w:rsid w:val="007C75A1"/>
    <w:rsid w:val="007C761F"/>
    <w:rsid w:val="007C779B"/>
    <w:rsid w:val="007C77A5"/>
    <w:rsid w:val="007C783E"/>
    <w:rsid w:val="007C785E"/>
    <w:rsid w:val="007C790D"/>
    <w:rsid w:val="007C7993"/>
    <w:rsid w:val="007C7A80"/>
    <w:rsid w:val="007C7C43"/>
    <w:rsid w:val="007C7D70"/>
    <w:rsid w:val="007C7DD9"/>
    <w:rsid w:val="007D00A2"/>
    <w:rsid w:val="007D02F2"/>
    <w:rsid w:val="007D0479"/>
    <w:rsid w:val="007D04E5"/>
    <w:rsid w:val="007D04EB"/>
    <w:rsid w:val="007D0B22"/>
    <w:rsid w:val="007D0FB4"/>
    <w:rsid w:val="007D1000"/>
    <w:rsid w:val="007D10EA"/>
    <w:rsid w:val="007D1172"/>
    <w:rsid w:val="007D1239"/>
    <w:rsid w:val="007D129B"/>
    <w:rsid w:val="007D13A8"/>
    <w:rsid w:val="007D1488"/>
    <w:rsid w:val="007D162A"/>
    <w:rsid w:val="007D1769"/>
    <w:rsid w:val="007D1788"/>
    <w:rsid w:val="007D1899"/>
    <w:rsid w:val="007D1AC2"/>
    <w:rsid w:val="007D1BAC"/>
    <w:rsid w:val="007D1C10"/>
    <w:rsid w:val="007D1C7C"/>
    <w:rsid w:val="007D1C86"/>
    <w:rsid w:val="007D1D7A"/>
    <w:rsid w:val="007D1E9F"/>
    <w:rsid w:val="007D21C5"/>
    <w:rsid w:val="007D22F5"/>
    <w:rsid w:val="007D2873"/>
    <w:rsid w:val="007D2B08"/>
    <w:rsid w:val="007D2BFA"/>
    <w:rsid w:val="007D2C48"/>
    <w:rsid w:val="007D2E52"/>
    <w:rsid w:val="007D2F11"/>
    <w:rsid w:val="007D3378"/>
    <w:rsid w:val="007D34C2"/>
    <w:rsid w:val="007D3561"/>
    <w:rsid w:val="007D3698"/>
    <w:rsid w:val="007D36BB"/>
    <w:rsid w:val="007D38AE"/>
    <w:rsid w:val="007D3B64"/>
    <w:rsid w:val="007D3D3E"/>
    <w:rsid w:val="007D3FF1"/>
    <w:rsid w:val="007D4121"/>
    <w:rsid w:val="007D4AB8"/>
    <w:rsid w:val="007D4ADA"/>
    <w:rsid w:val="007D4C6E"/>
    <w:rsid w:val="007D4E51"/>
    <w:rsid w:val="007D4E56"/>
    <w:rsid w:val="007D4EC0"/>
    <w:rsid w:val="007D4F46"/>
    <w:rsid w:val="007D5008"/>
    <w:rsid w:val="007D5230"/>
    <w:rsid w:val="007D546D"/>
    <w:rsid w:val="007D56BD"/>
    <w:rsid w:val="007D56FC"/>
    <w:rsid w:val="007D57D2"/>
    <w:rsid w:val="007D5843"/>
    <w:rsid w:val="007D5901"/>
    <w:rsid w:val="007D5B17"/>
    <w:rsid w:val="007D5B3F"/>
    <w:rsid w:val="007D5C80"/>
    <w:rsid w:val="007D5D9A"/>
    <w:rsid w:val="007D5EF2"/>
    <w:rsid w:val="007D5FCC"/>
    <w:rsid w:val="007D6170"/>
    <w:rsid w:val="007D61F4"/>
    <w:rsid w:val="007D63E4"/>
    <w:rsid w:val="007D6714"/>
    <w:rsid w:val="007D6A29"/>
    <w:rsid w:val="007D6B20"/>
    <w:rsid w:val="007D6C1F"/>
    <w:rsid w:val="007D6FD6"/>
    <w:rsid w:val="007D708D"/>
    <w:rsid w:val="007D70B2"/>
    <w:rsid w:val="007D716F"/>
    <w:rsid w:val="007D7526"/>
    <w:rsid w:val="007D79A1"/>
    <w:rsid w:val="007D7A96"/>
    <w:rsid w:val="007D7D89"/>
    <w:rsid w:val="007D7F64"/>
    <w:rsid w:val="007E0108"/>
    <w:rsid w:val="007E0120"/>
    <w:rsid w:val="007E026B"/>
    <w:rsid w:val="007E0589"/>
    <w:rsid w:val="007E05AC"/>
    <w:rsid w:val="007E07A4"/>
    <w:rsid w:val="007E0831"/>
    <w:rsid w:val="007E09AA"/>
    <w:rsid w:val="007E0CDC"/>
    <w:rsid w:val="007E0D87"/>
    <w:rsid w:val="007E0FF8"/>
    <w:rsid w:val="007E100F"/>
    <w:rsid w:val="007E1183"/>
    <w:rsid w:val="007E1315"/>
    <w:rsid w:val="007E171A"/>
    <w:rsid w:val="007E2242"/>
    <w:rsid w:val="007E224A"/>
    <w:rsid w:val="007E259A"/>
    <w:rsid w:val="007E27CE"/>
    <w:rsid w:val="007E2803"/>
    <w:rsid w:val="007E29A9"/>
    <w:rsid w:val="007E2EC0"/>
    <w:rsid w:val="007E2FDD"/>
    <w:rsid w:val="007E3084"/>
    <w:rsid w:val="007E37FA"/>
    <w:rsid w:val="007E3A93"/>
    <w:rsid w:val="007E4068"/>
    <w:rsid w:val="007E40F0"/>
    <w:rsid w:val="007E4167"/>
    <w:rsid w:val="007E4352"/>
    <w:rsid w:val="007E4396"/>
    <w:rsid w:val="007E4399"/>
    <w:rsid w:val="007E4573"/>
    <w:rsid w:val="007E4610"/>
    <w:rsid w:val="007E46EC"/>
    <w:rsid w:val="007E4715"/>
    <w:rsid w:val="007E4781"/>
    <w:rsid w:val="007E48C1"/>
    <w:rsid w:val="007E4A06"/>
    <w:rsid w:val="007E4B5D"/>
    <w:rsid w:val="007E4B72"/>
    <w:rsid w:val="007E4DAD"/>
    <w:rsid w:val="007E4DC9"/>
    <w:rsid w:val="007E4DCF"/>
    <w:rsid w:val="007E505B"/>
    <w:rsid w:val="007E5250"/>
    <w:rsid w:val="007E5459"/>
    <w:rsid w:val="007E5CA8"/>
    <w:rsid w:val="007E5CB6"/>
    <w:rsid w:val="007E5E3E"/>
    <w:rsid w:val="007E6070"/>
    <w:rsid w:val="007E60F4"/>
    <w:rsid w:val="007E6447"/>
    <w:rsid w:val="007E678A"/>
    <w:rsid w:val="007E67FA"/>
    <w:rsid w:val="007E6A6F"/>
    <w:rsid w:val="007E6CD6"/>
    <w:rsid w:val="007E6DC0"/>
    <w:rsid w:val="007E6EE1"/>
    <w:rsid w:val="007E7091"/>
    <w:rsid w:val="007E7105"/>
    <w:rsid w:val="007E7154"/>
    <w:rsid w:val="007E750B"/>
    <w:rsid w:val="007E75D9"/>
    <w:rsid w:val="007E78EB"/>
    <w:rsid w:val="007E7A4A"/>
    <w:rsid w:val="007E7AFD"/>
    <w:rsid w:val="007E7B24"/>
    <w:rsid w:val="007E7C7B"/>
    <w:rsid w:val="007E7FB3"/>
    <w:rsid w:val="007F023F"/>
    <w:rsid w:val="007F045B"/>
    <w:rsid w:val="007F0535"/>
    <w:rsid w:val="007F0727"/>
    <w:rsid w:val="007F07F5"/>
    <w:rsid w:val="007F086C"/>
    <w:rsid w:val="007F08F5"/>
    <w:rsid w:val="007F0ADD"/>
    <w:rsid w:val="007F0B32"/>
    <w:rsid w:val="007F0BCE"/>
    <w:rsid w:val="007F0DC9"/>
    <w:rsid w:val="007F0EBD"/>
    <w:rsid w:val="007F0F60"/>
    <w:rsid w:val="007F1411"/>
    <w:rsid w:val="007F1517"/>
    <w:rsid w:val="007F152F"/>
    <w:rsid w:val="007F228E"/>
    <w:rsid w:val="007F2324"/>
    <w:rsid w:val="007F233E"/>
    <w:rsid w:val="007F2711"/>
    <w:rsid w:val="007F2879"/>
    <w:rsid w:val="007F2A38"/>
    <w:rsid w:val="007F2B0B"/>
    <w:rsid w:val="007F2B5B"/>
    <w:rsid w:val="007F2BAD"/>
    <w:rsid w:val="007F2C13"/>
    <w:rsid w:val="007F2D88"/>
    <w:rsid w:val="007F2EAC"/>
    <w:rsid w:val="007F2ED1"/>
    <w:rsid w:val="007F3052"/>
    <w:rsid w:val="007F375E"/>
    <w:rsid w:val="007F377D"/>
    <w:rsid w:val="007F37E2"/>
    <w:rsid w:val="007F38AD"/>
    <w:rsid w:val="007F3B32"/>
    <w:rsid w:val="007F3D62"/>
    <w:rsid w:val="007F3E4C"/>
    <w:rsid w:val="007F4272"/>
    <w:rsid w:val="007F4298"/>
    <w:rsid w:val="007F437A"/>
    <w:rsid w:val="007F45A8"/>
    <w:rsid w:val="007F473B"/>
    <w:rsid w:val="007F47C4"/>
    <w:rsid w:val="007F4D70"/>
    <w:rsid w:val="007F4FB5"/>
    <w:rsid w:val="007F4FB6"/>
    <w:rsid w:val="007F4FE7"/>
    <w:rsid w:val="007F5202"/>
    <w:rsid w:val="007F530B"/>
    <w:rsid w:val="007F5A91"/>
    <w:rsid w:val="007F5BF2"/>
    <w:rsid w:val="007F5D82"/>
    <w:rsid w:val="007F5F92"/>
    <w:rsid w:val="007F61C1"/>
    <w:rsid w:val="007F61DC"/>
    <w:rsid w:val="007F65A5"/>
    <w:rsid w:val="007F665F"/>
    <w:rsid w:val="007F667A"/>
    <w:rsid w:val="007F6962"/>
    <w:rsid w:val="007F6D39"/>
    <w:rsid w:val="007F6D6D"/>
    <w:rsid w:val="007F6DB6"/>
    <w:rsid w:val="007F7293"/>
    <w:rsid w:val="007F75C7"/>
    <w:rsid w:val="007F7610"/>
    <w:rsid w:val="007F77F1"/>
    <w:rsid w:val="007F7828"/>
    <w:rsid w:val="007F791C"/>
    <w:rsid w:val="007F7A57"/>
    <w:rsid w:val="007F7B2C"/>
    <w:rsid w:val="007F7D40"/>
    <w:rsid w:val="007F7D4C"/>
    <w:rsid w:val="007F7E42"/>
    <w:rsid w:val="00800198"/>
    <w:rsid w:val="00800734"/>
    <w:rsid w:val="008009A3"/>
    <w:rsid w:val="00800D98"/>
    <w:rsid w:val="00800E24"/>
    <w:rsid w:val="00800E59"/>
    <w:rsid w:val="00801029"/>
    <w:rsid w:val="00801714"/>
    <w:rsid w:val="00801885"/>
    <w:rsid w:val="008018C7"/>
    <w:rsid w:val="0080194C"/>
    <w:rsid w:val="00801B30"/>
    <w:rsid w:val="00801B9C"/>
    <w:rsid w:val="00801D25"/>
    <w:rsid w:val="00801D3C"/>
    <w:rsid w:val="00801E40"/>
    <w:rsid w:val="00801E60"/>
    <w:rsid w:val="00801ED8"/>
    <w:rsid w:val="00802468"/>
    <w:rsid w:val="008025FC"/>
    <w:rsid w:val="0080279E"/>
    <w:rsid w:val="008027ED"/>
    <w:rsid w:val="00803007"/>
    <w:rsid w:val="008032A7"/>
    <w:rsid w:val="00803597"/>
    <w:rsid w:val="00803BFF"/>
    <w:rsid w:val="00803D33"/>
    <w:rsid w:val="00803D45"/>
    <w:rsid w:val="00803DB9"/>
    <w:rsid w:val="00803DEA"/>
    <w:rsid w:val="00803FAE"/>
    <w:rsid w:val="00804062"/>
    <w:rsid w:val="008043D6"/>
    <w:rsid w:val="008046D9"/>
    <w:rsid w:val="008047AF"/>
    <w:rsid w:val="00804A6C"/>
    <w:rsid w:val="00804CEC"/>
    <w:rsid w:val="00804D1D"/>
    <w:rsid w:val="00804D71"/>
    <w:rsid w:val="00804F23"/>
    <w:rsid w:val="0080500A"/>
    <w:rsid w:val="0080527D"/>
    <w:rsid w:val="0080527F"/>
    <w:rsid w:val="008053E8"/>
    <w:rsid w:val="0080545F"/>
    <w:rsid w:val="008055D8"/>
    <w:rsid w:val="00805720"/>
    <w:rsid w:val="008057E4"/>
    <w:rsid w:val="00805900"/>
    <w:rsid w:val="00805A44"/>
    <w:rsid w:val="00805AB5"/>
    <w:rsid w:val="00805EC3"/>
    <w:rsid w:val="00805FC1"/>
    <w:rsid w:val="0080605F"/>
    <w:rsid w:val="00806135"/>
    <w:rsid w:val="00806723"/>
    <w:rsid w:val="0080676A"/>
    <w:rsid w:val="00806943"/>
    <w:rsid w:val="00806C46"/>
    <w:rsid w:val="00806EC5"/>
    <w:rsid w:val="008073EE"/>
    <w:rsid w:val="00807786"/>
    <w:rsid w:val="00807854"/>
    <w:rsid w:val="0080787B"/>
    <w:rsid w:val="00807882"/>
    <w:rsid w:val="00807926"/>
    <w:rsid w:val="00807B89"/>
    <w:rsid w:val="00807C04"/>
    <w:rsid w:val="00807D98"/>
    <w:rsid w:val="00807E14"/>
    <w:rsid w:val="00807E3D"/>
    <w:rsid w:val="00807EBB"/>
    <w:rsid w:val="008101F3"/>
    <w:rsid w:val="008104C5"/>
    <w:rsid w:val="008105A4"/>
    <w:rsid w:val="008106BE"/>
    <w:rsid w:val="0081078D"/>
    <w:rsid w:val="008107FC"/>
    <w:rsid w:val="00810862"/>
    <w:rsid w:val="008109C4"/>
    <w:rsid w:val="00810A77"/>
    <w:rsid w:val="00810C7C"/>
    <w:rsid w:val="00810DA4"/>
    <w:rsid w:val="00810EEF"/>
    <w:rsid w:val="008110E7"/>
    <w:rsid w:val="0081129F"/>
    <w:rsid w:val="00811617"/>
    <w:rsid w:val="008117F3"/>
    <w:rsid w:val="0081183C"/>
    <w:rsid w:val="00811EA6"/>
    <w:rsid w:val="00811FCB"/>
    <w:rsid w:val="00811FF3"/>
    <w:rsid w:val="0081207F"/>
    <w:rsid w:val="008122E2"/>
    <w:rsid w:val="008122FE"/>
    <w:rsid w:val="008122FF"/>
    <w:rsid w:val="0081247F"/>
    <w:rsid w:val="0081254B"/>
    <w:rsid w:val="00812636"/>
    <w:rsid w:val="008127FA"/>
    <w:rsid w:val="008129EC"/>
    <w:rsid w:val="00813066"/>
    <w:rsid w:val="008130B2"/>
    <w:rsid w:val="008130C1"/>
    <w:rsid w:val="00813364"/>
    <w:rsid w:val="00813466"/>
    <w:rsid w:val="00813798"/>
    <w:rsid w:val="00813A27"/>
    <w:rsid w:val="00813A55"/>
    <w:rsid w:val="00814059"/>
    <w:rsid w:val="0081411F"/>
    <w:rsid w:val="0081417D"/>
    <w:rsid w:val="008141AF"/>
    <w:rsid w:val="008142BC"/>
    <w:rsid w:val="008144B9"/>
    <w:rsid w:val="008146FE"/>
    <w:rsid w:val="008148B1"/>
    <w:rsid w:val="00815059"/>
    <w:rsid w:val="00815074"/>
    <w:rsid w:val="0081517B"/>
    <w:rsid w:val="0081520F"/>
    <w:rsid w:val="008154BF"/>
    <w:rsid w:val="00815519"/>
    <w:rsid w:val="008155FE"/>
    <w:rsid w:val="00815634"/>
    <w:rsid w:val="008156EA"/>
    <w:rsid w:val="008158D6"/>
    <w:rsid w:val="0081592F"/>
    <w:rsid w:val="008159D0"/>
    <w:rsid w:val="00815C84"/>
    <w:rsid w:val="00815ED1"/>
    <w:rsid w:val="0081604F"/>
    <w:rsid w:val="0081642E"/>
    <w:rsid w:val="00816490"/>
    <w:rsid w:val="008164B7"/>
    <w:rsid w:val="0081652A"/>
    <w:rsid w:val="00816543"/>
    <w:rsid w:val="0081665D"/>
    <w:rsid w:val="00816E3E"/>
    <w:rsid w:val="00816FF9"/>
    <w:rsid w:val="0081704B"/>
    <w:rsid w:val="0081714F"/>
    <w:rsid w:val="00817196"/>
    <w:rsid w:val="00817237"/>
    <w:rsid w:val="008175A5"/>
    <w:rsid w:val="008175E9"/>
    <w:rsid w:val="00817813"/>
    <w:rsid w:val="0081791C"/>
    <w:rsid w:val="00817B21"/>
    <w:rsid w:val="00817E44"/>
    <w:rsid w:val="00820029"/>
    <w:rsid w:val="008200A0"/>
    <w:rsid w:val="0082033A"/>
    <w:rsid w:val="00820C28"/>
    <w:rsid w:val="00820C74"/>
    <w:rsid w:val="00820C9D"/>
    <w:rsid w:val="00820D0E"/>
    <w:rsid w:val="00820F0A"/>
    <w:rsid w:val="00820FE0"/>
    <w:rsid w:val="0082114C"/>
    <w:rsid w:val="00821210"/>
    <w:rsid w:val="0082179A"/>
    <w:rsid w:val="008217F4"/>
    <w:rsid w:val="008219C4"/>
    <w:rsid w:val="00821A5D"/>
    <w:rsid w:val="00821AF8"/>
    <w:rsid w:val="00821CFA"/>
    <w:rsid w:val="00821DA2"/>
    <w:rsid w:val="00821FF3"/>
    <w:rsid w:val="0082214E"/>
    <w:rsid w:val="00822294"/>
    <w:rsid w:val="008222E3"/>
    <w:rsid w:val="0082249C"/>
    <w:rsid w:val="00822C8A"/>
    <w:rsid w:val="00822DC4"/>
    <w:rsid w:val="00822E1E"/>
    <w:rsid w:val="00822E36"/>
    <w:rsid w:val="00822F7F"/>
    <w:rsid w:val="0082319C"/>
    <w:rsid w:val="008231DE"/>
    <w:rsid w:val="0082328F"/>
    <w:rsid w:val="008233E3"/>
    <w:rsid w:val="008233F1"/>
    <w:rsid w:val="0082359F"/>
    <w:rsid w:val="008235DB"/>
    <w:rsid w:val="008238B9"/>
    <w:rsid w:val="00823E0C"/>
    <w:rsid w:val="00823E41"/>
    <w:rsid w:val="00823ECF"/>
    <w:rsid w:val="00823EF9"/>
    <w:rsid w:val="0082401F"/>
    <w:rsid w:val="008242E6"/>
    <w:rsid w:val="00824413"/>
    <w:rsid w:val="00824569"/>
    <w:rsid w:val="008248A5"/>
    <w:rsid w:val="00824A34"/>
    <w:rsid w:val="00824AB4"/>
    <w:rsid w:val="00825108"/>
    <w:rsid w:val="008251B1"/>
    <w:rsid w:val="008253E8"/>
    <w:rsid w:val="00825571"/>
    <w:rsid w:val="0082572E"/>
    <w:rsid w:val="008257A0"/>
    <w:rsid w:val="00825803"/>
    <w:rsid w:val="0082587B"/>
    <w:rsid w:val="00825913"/>
    <w:rsid w:val="00825A1C"/>
    <w:rsid w:val="00825C42"/>
    <w:rsid w:val="00825D25"/>
    <w:rsid w:val="00826001"/>
    <w:rsid w:val="008262B8"/>
    <w:rsid w:val="0082656A"/>
    <w:rsid w:val="008266D3"/>
    <w:rsid w:val="0082670E"/>
    <w:rsid w:val="008267DE"/>
    <w:rsid w:val="008268A3"/>
    <w:rsid w:val="00826932"/>
    <w:rsid w:val="00826B59"/>
    <w:rsid w:val="00826BE8"/>
    <w:rsid w:val="00826CCC"/>
    <w:rsid w:val="00826D5B"/>
    <w:rsid w:val="00826E35"/>
    <w:rsid w:val="008273FC"/>
    <w:rsid w:val="00827583"/>
    <w:rsid w:val="00827836"/>
    <w:rsid w:val="00827869"/>
    <w:rsid w:val="00827D6F"/>
    <w:rsid w:val="008303A5"/>
    <w:rsid w:val="008305BC"/>
    <w:rsid w:val="0083077D"/>
    <w:rsid w:val="00830822"/>
    <w:rsid w:val="008309C3"/>
    <w:rsid w:val="00830ADB"/>
    <w:rsid w:val="00830D9F"/>
    <w:rsid w:val="00830E2A"/>
    <w:rsid w:val="008312FD"/>
    <w:rsid w:val="008314EC"/>
    <w:rsid w:val="00831540"/>
    <w:rsid w:val="008315D5"/>
    <w:rsid w:val="00831633"/>
    <w:rsid w:val="008316A9"/>
    <w:rsid w:val="0083194E"/>
    <w:rsid w:val="00831CC1"/>
    <w:rsid w:val="00831E77"/>
    <w:rsid w:val="00831EFF"/>
    <w:rsid w:val="00832159"/>
    <w:rsid w:val="00832177"/>
    <w:rsid w:val="00832441"/>
    <w:rsid w:val="00832525"/>
    <w:rsid w:val="0083253E"/>
    <w:rsid w:val="00832541"/>
    <w:rsid w:val="0083277B"/>
    <w:rsid w:val="008327B7"/>
    <w:rsid w:val="0083283B"/>
    <w:rsid w:val="0083287D"/>
    <w:rsid w:val="008328D8"/>
    <w:rsid w:val="00832902"/>
    <w:rsid w:val="00832A04"/>
    <w:rsid w:val="00832A92"/>
    <w:rsid w:val="00832B36"/>
    <w:rsid w:val="00832BC7"/>
    <w:rsid w:val="008334C9"/>
    <w:rsid w:val="008336DC"/>
    <w:rsid w:val="008338D5"/>
    <w:rsid w:val="00833A50"/>
    <w:rsid w:val="0083417F"/>
    <w:rsid w:val="008342A9"/>
    <w:rsid w:val="008342CD"/>
    <w:rsid w:val="0083433D"/>
    <w:rsid w:val="008344EB"/>
    <w:rsid w:val="008347A5"/>
    <w:rsid w:val="008349D5"/>
    <w:rsid w:val="00834B03"/>
    <w:rsid w:val="00834B43"/>
    <w:rsid w:val="00834B64"/>
    <w:rsid w:val="00834BD5"/>
    <w:rsid w:val="00834D08"/>
    <w:rsid w:val="008359C2"/>
    <w:rsid w:val="00835B74"/>
    <w:rsid w:val="00835D19"/>
    <w:rsid w:val="00835D5B"/>
    <w:rsid w:val="00835F2B"/>
    <w:rsid w:val="00836728"/>
    <w:rsid w:val="00836756"/>
    <w:rsid w:val="00836ABD"/>
    <w:rsid w:val="00836AEA"/>
    <w:rsid w:val="00836B3E"/>
    <w:rsid w:val="00836CEA"/>
    <w:rsid w:val="00836E6F"/>
    <w:rsid w:val="00836F9C"/>
    <w:rsid w:val="00836FCB"/>
    <w:rsid w:val="008371BB"/>
    <w:rsid w:val="008372AA"/>
    <w:rsid w:val="00837571"/>
    <w:rsid w:val="0083757D"/>
    <w:rsid w:val="008376AC"/>
    <w:rsid w:val="008376EB"/>
    <w:rsid w:val="0083771F"/>
    <w:rsid w:val="00837772"/>
    <w:rsid w:val="0083779F"/>
    <w:rsid w:val="008377BA"/>
    <w:rsid w:val="0083796E"/>
    <w:rsid w:val="00837B77"/>
    <w:rsid w:val="00837BEF"/>
    <w:rsid w:val="00837C34"/>
    <w:rsid w:val="00837C54"/>
    <w:rsid w:val="00837D38"/>
    <w:rsid w:val="00837F79"/>
    <w:rsid w:val="008402A5"/>
    <w:rsid w:val="008402C5"/>
    <w:rsid w:val="00840AEA"/>
    <w:rsid w:val="00840B04"/>
    <w:rsid w:val="00840B90"/>
    <w:rsid w:val="00840BF0"/>
    <w:rsid w:val="00840E7D"/>
    <w:rsid w:val="00840EE5"/>
    <w:rsid w:val="00841090"/>
    <w:rsid w:val="0084114A"/>
    <w:rsid w:val="00841152"/>
    <w:rsid w:val="008411EC"/>
    <w:rsid w:val="00841228"/>
    <w:rsid w:val="00841261"/>
    <w:rsid w:val="008412EF"/>
    <w:rsid w:val="008413C0"/>
    <w:rsid w:val="008415BD"/>
    <w:rsid w:val="0084167E"/>
    <w:rsid w:val="00841711"/>
    <w:rsid w:val="0084177C"/>
    <w:rsid w:val="008417AC"/>
    <w:rsid w:val="008417D4"/>
    <w:rsid w:val="008418E6"/>
    <w:rsid w:val="00841B07"/>
    <w:rsid w:val="00841C56"/>
    <w:rsid w:val="00841E6F"/>
    <w:rsid w:val="00841E75"/>
    <w:rsid w:val="0084214C"/>
    <w:rsid w:val="00842264"/>
    <w:rsid w:val="008422A8"/>
    <w:rsid w:val="008422EE"/>
    <w:rsid w:val="0084264F"/>
    <w:rsid w:val="008429F8"/>
    <w:rsid w:val="00842B3E"/>
    <w:rsid w:val="00842DB3"/>
    <w:rsid w:val="00843128"/>
    <w:rsid w:val="008431F3"/>
    <w:rsid w:val="00843214"/>
    <w:rsid w:val="008432E7"/>
    <w:rsid w:val="00843444"/>
    <w:rsid w:val="008434D3"/>
    <w:rsid w:val="00843531"/>
    <w:rsid w:val="00843637"/>
    <w:rsid w:val="00843861"/>
    <w:rsid w:val="00843979"/>
    <w:rsid w:val="00843CAB"/>
    <w:rsid w:val="00843D91"/>
    <w:rsid w:val="00843E5B"/>
    <w:rsid w:val="00843F0B"/>
    <w:rsid w:val="00844091"/>
    <w:rsid w:val="00844270"/>
    <w:rsid w:val="008444E8"/>
    <w:rsid w:val="008446B0"/>
    <w:rsid w:val="008446C0"/>
    <w:rsid w:val="00844749"/>
    <w:rsid w:val="00844844"/>
    <w:rsid w:val="008448BB"/>
    <w:rsid w:val="008448FF"/>
    <w:rsid w:val="00844B4E"/>
    <w:rsid w:val="00844BE2"/>
    <w:rsid w:val="00844E80"/>
    <w:rsid w:val="00845089"/>
    <w:rsid w:val="008450FA"/>
    <w:rsid w:val="0084531E"/>
    <w:rsid w:val="0084547E"/>
    <w:rsid w:val="008458C1"/>
    <w:rsid w:val="0084599E"/>
    <w:rsid w:val="008459FF"/>
    <w:rsid w:val="00845A4B"/>
    <w:rsid w:val="00845B09"/>
    <w:rsid w:val="00845C47"/>
    <w:rsid w:val="00845E46"/>
    <w:rsid w:val="0084610A"/>
    <w:rsid w:val="00846244"/>
    <w:rsid w:val="00846311"/>
    <w:rsid w:val="00846508"/>
    <w:rsid w:val="0084662B"/>
    <w:rsid w:val="008467CD"/>
    <w:rsid w:val="00846A3C"/>
    <w:rsid w:val="00846A48"/>
    <w:rsid w:val="00846C57"/>
    <w:rsid w:val="00846E0D"/>
    <w:rsid w:val="00846E78"/>
    <w:rsid w:val="00846F51"/>
    <w:rsid w:val="00846FE7"/>
    <w:rsid w:val="00847203"/>
    <w:rsid w:val="00847305"/>
    <w:rsid w:val="008473BE"/>
    <w:rsid w:val="0084745E"/>
    <w:rsid w:val="00847465"/>
    <w:rsid w:val="0084762B"/>
    <w:rsid w:val="00847676"/>
    <w:rsid w:val="00847918"/>
    <w:rsid w:val="00847A2C"/>
    <w:rsid w:val="00847A3D"/>
    <w:rsid w:val="00847DCE"/>
    <w:rsid w:val="00847EC3"/>
    <w:rsid w:val="00847ED0"/>
    <w:rsid w:val="0085013B"/>
    <w:rsid w:val="00850C65"/>
    <w:rsid w:val="00850D69"/>
    <w:rsid w:val="00850DA1"/>
    <w:rsid w:val="00850E62"/>
    <w:rsid w:val="00850F75"/>
    <w:rsid w:val="008510B3"/>
    <w:rsid w:val="00851143"/>
    <w:rsid w:val="008511A3"/>
    <w:rsid w:val="008511D1"/>
    <w:rsid w:val="00851303"/>
    <w:rsid w:val="00851312"/>
    <w:rsid w:val="00851366"/>
    <w:rsid w:val="00851398"/>
    <w:rsid w:val="008516B3"/>
    <w:rsid w:val="00851AA2"/>
    <w:rsid w:val="00851CF5"/>
    <w:rsid w:val="00852028"/>
    <w:rsid w:val="00852112"/>
    <w:rsid w:val="008521F2"/>
    <w:rsid w:val="00852227"/>
    <w:rsid w:val="00852544"/>
    <w:rsid w:val="0085271E"/>
    <w:rsid w:val="00852F75"/>
    <w:rsid w:val="008535BB"/>
    <w:rsid w:val="00853868"/>
    <w:rsid w:val="00853C2C"/>
    <w:rsid w:val="00853E20"/>
    <w:rsid w:val="00853E30"/>
    <w:rsid w:val="0085402B"/>
    <w:rsid w:val="0085416E"/>
    <w:rsid w:val="00854753"/>
    <w:rsid w:val="008548BE"/>
    <w:rsid w:val="008553BB"/>
    <w:rsid w:val="00855B0C"/>
    <w:rsid w:val="00855B87"/>
    <w:rsid w:val="00855BA2"/>
    <w:rsid w:val="00855D38"/>
    <w:rsid w:val="00855EC3"/>
    <w:rsid w:val="008561A6"/>
    <w:rsid w:val="00856380"/>
    <w:rsid w:val="00856620"/>
    <w:rsid w:val="00856911"/>
    <w:rsid w:val="00856C8F"/>
    <w:rsid w:val="00856DD4"/>
    <w:rsid w:val="00856E52"/>
    <w:rsid w:val="008572E8"/>
    <w:rsid w:val="00857350"/>
    <w:rsid w:val="00857760"/>
    <w:rsid w:val="008577B1"/>
    <w:rsid w:val="008578A4"/>
    <w:rsid w:val="008600BA"/>
    <w:rsid w:val="0086017D"/>
    <w:rsid w:val="00860280"/>
    <w:rsid w:val="008602EB"/>
    <w:rsid w:val="00860844"/>
    <w:rsid w:val="0086089E"/>
    <w:rsid w:val="008608FF"/>
    <w:rsid w:val="008609BA"/>
    <w:rsid w:val="00860A26"/>
    <w:rsid w:val="00860F8D"/>
    <w:rsid w:val="0086102F"/>
    <w:rsid w:val="0086133E"/>
    <w:rsid w:val="0086136A"/>
    <w:rsid w:val="00861430"/>
    <w:rsid w:val="0086162D"/>
    <w:rsid w:val="0086166C"/>
    <w:rsid w:val="008616F4"/>
    <w:rsid w:val="00861795"/>
    <w:rsid w:val="008617E9"/>
    <w:rsid w:val="00861C34"/>
    <w:rsid w:val="00861D5C"/>
    <w:rsid w:val="00861EDE"/>
    <w:rsid w:val="00861F27"/>
    <w:rsid w:val="008623F7"/>
    <w:rsid w:val="00862493"/>
    <w:rsid w:val="008629A6"/>
    <w:rsid w:val="00862AD8"/>
    <w:rsid w:val="00862CF2"/>
    <w:rsid w:val="00862FBC"/>
    <w:rsid w:val="00862FC3"/>
    <w:rsid w:val="00863016"/>
    <w:rsid w:val="0086310B"/>
    <w:rsid w:val="00863182"/>
    <w:rsid w:val="0086326A"/>
    <w:rsid w:val="0086326F"/>
    <w:rsid w:val="0086347B"/>
    <w:rsid w:val="008637A7"/>
    <w:rsid w:val="00863913"/>
    <w:rsid w:val="00863A2E"/>
    <w:rsid w:val="00863D72"/>
    <w:rsid w:val="00863DF6"/>
    <w:rsid w:val="00863FE5"/>
    <w:rsid w:val="008641B6"/>
    <w:rsid w:val="008642C5"/>
    <w:rsid w:val="00864820"/>
    <w:rsid w:val="00864ADA"/>
    <w:rsid w:val="00864FA8"/>
    <w:rsid w:val="00865020"/>
    <w:rsid w:val="008651BE"/>
    <w:rsid w:val="008651C1"/>
    <w:rsid w:val="008654FD"/>
    <w:rsid w:val="00865A60"/>
    <w:rsid w:val="00865B76"/>
    <w:rsid w:val="00865C4F"/>
    <w:rsid w:val="0086604F"/>
    <w:rsid w:val="008665C3"/>
    <w:rsid w:val="0086666B"/>
    <w:rsid w:val="00866963"/>
    <w:rsid w:val="00866AAD"/>
    <w:rsid w:val="00866BCF"/>
    <w:rsid w:val="00866D6C"/>
    <w:rsid w:val="00866F79"/>
    <w:rsid w:val="00866FA0"/>
    <w:rsid w:val="008672C8"/>
    <w:rsid w:val="008672D7"/>
    <w:rsid w:val="00867649"/>
    <w:rsid w:val="008677FD"/>
    <w:rsid w:val="00867949"/>
    <w:rsid w:val="008679F6"/>
    <w:rsid w:val="00867BF3"/>
    <w:rsid w:val="0087009F"/>
    <w:rsid w:val="00870376"/>
    <w:rsid w:val="0087040D"/>
    <w:rsid w:val="008706C3"/>
    <w:rsid w:val="008706D4"/>
    <w:rsid w:val="008708B7"/>
    <w:rsid w:val="00870B31"/>
    <w:rsid w:val="00870B7F"/>
    <w:rsid w:val="00870E34"/>
    <w:rsid w:val="00870F3C"/>
    <w:rsid w:val="00870F8A"/>
    <w:rsid w:val="00870FFE"/>
    <w:rsid w:val="00871090"/>
    <w:rsid w:val="0087120F"/>
    <w:rsid w:val="00871254"/>
    <w:rsid w:val="0087132E"/>
    <w:rsid w:val="0087156D"/>
    <w:rsid w:val="008719A4"/>
    <w:rsid w:val="00871A86"/>
    <w:rsid w:val="00871BE4"/>
    <w:rsid w:val="00871CCC"/>
    <w:rsid w:val="00871D23"/>
    <w:rsid w:val="00871F24"/>
    <w:rsid w:val="0087205B"/>
    <w:rsid w:val="008722C6"/>
    <w:rsid w:val="008722C9"/>
    <w:rsid w:val="008722FE"/>
    <w:rsid w:val="0087246B"/>
    <w:rsid w:val="0087260C"/>
    <w:rsid w:val="0087269A"/>
    <w:rsid w:val="00872758"/>
    <w:rsid w:val="00872914"/>
    <w:rsid w:val="00872E5A"/>
    <w:rsid w:val="00872FD2"/>
    <w:rsid w:val="00873031"/>
    <w:rsid w:val="00873299"/>
    <w:rsid w:val="00873857"/>
    <w:rsid w:val="008739F7"/>
    <w:rsid w:val="00873B4B"/>
    <w:rsid w:val="00873C4B"/>
    <w:rsid w:val="00873D3C"/>
    <w:rsid w:val="00873FC7"/>
    <w:rsid w:val="00873FE8"/>
    <w:rsid w:val="008742D5"/>
    <w:rsid w:val="00874305"/>
    <w:rsid w:val="00874312"/>
    <w:rsid w:val="0087437C"/>
    <w:rsid w:val="008745E4"/>
    <w:rsid w:val="00874638"/>
    <w:rsid w:val="00874658"/>
    <w:rsid w:val="0087470D"/>
    <w:rsid w:val="00875044"/>
    <w:rsid w:val="00875094"/>
    <w:rsid w:val="0087542B"/>
    <w:rsid w:val="0087567D"/>
    <w:rsid w:val="008758AE"/>
    <w:rsid w:val="00875957"/>
    <w:rsid w:val="008759D7"/>
    <w:rsid w:val="00875C6F"/>
    <w:rsid w:val="00875CD7"/>
    <w:rsid w:val="00875EFC"/>
    <w:rsid w:val="00875EFD"/>
    <w:rsid w:val="00876064"/>
    <w:rsid w:val="008760D3"/>
    <w:rsid w:val="00876161"/>
    <w:rsid w:val="008761FA"/>
    <w:rsid w:val="00876596"/>
    <w:rsid w:val="008765BE"/>
    <w:rsid w:val="008765EE"/>
    <w:rsid w:val="0087680F"/>
    <w:rsid w:val="00876A41"/>
    <w:rsid w:val="00876B4D"/>
    <w:rsid w:val="00876C6C"/>
    <w:rsid w:val="00876D3D"/>
    <w:rsid w:val="00877234"/>
    <w:rsid w:val="008773F8"/>
    <w:rsid w:val="0087753E"/>
    <w:rsid w:val="00877631"/>
    <w:rsid w:val="00877BEA"/>
    <w:rsid w:val="00877CDF"/>
    <w:rsid w:val="00877EEE"/>
    <w:rsid w:val="00877F18"/>
    <w:rsid w:val="00880079"/>
    <w:rsid w:val="00880195"/>
    <w:rsid w:val="008805D5"/>
    <w:rsid w:val="00880783"/>
    <w:rsid w:val="00880A51"/>
    <w:rsid w:val="00880A72"/>
    <w:rsid w:val="00880B4F"/>
    <w:rsid w:val="00880BA4"/>
    <w:rsid w:val="00880DC2"/>
    <w:rsid w:val="00880E00"/>
    <w:rsid w:val="00880F73"/>
    <w:rsid w:val="00881055"/>
    <w:rsid w:val="008810E4"/>
    <w:rsid w:val="00881803"/>
    <w:rsid w:val="00881856"/>
    <w:rsid w:val="0088225C"/>
    <w:rsid w:val="00882307"/>
    <w:rsid w:val="008824E0"/>
    <w:rsid w:val="00882A88"/>
    <w:rsid w:val="00882D2A"/>
    <w:rsid w:val="00882E17"/>
    <w:rsid w:val="00882EE8"/>
    <w:rsid w:val="00882F1D"/>
    <w:rsid w:val="00882F7E"/>
    <w:rsid w:val="008831AB"/>
    <w:rsid w:val="008834DA"/>
    <w:rsid w:val="00883705"/>
    <w:rsid w:val="00883864"/>
    <w:rsid w:val="00883EBE"/>
    <w:rsid w:val="008840F8"/>
    <w:rsid w:val="00884250"/>
    <w:rsid w:val="008842FE"/>
    <w:rsid w:val="0088457C"/>
    <w:rsid w:val="008847E9"/>
    <w:rsid w:val="00884927"/>
    <w:rsid w:val="00884A78"/>
    <w:rsid w:val="00884F2A"/>
    <w:rsid w:val="00885028"/>
    <w:rsid w:val="008851B7"/>
    <w:rsid w:val="008851B9"/>
    <w:rsid w:val="008852A2"/>
    <w:rsid w:val="00885324"/>
    <w:rsid w:val="0088532A"/>
    <w:rsid w:val="00885848"/>
    <w:rsid w:val="00885B3F"/>
    <w:rsid w:val="00885B9A"/>
    <w:rsid w:val="008860E3"/>
    <w:rsid w:val="00886122"/>
    <w:rsid w:val="008863A3"/>
    <w:rsid w:val="008866C3"/>
    <w:rsid w:val="008866F8"/>
    <w:rsid w:val="00886715"/>
    <w:rsid w:val="00886774"/>
    <w:rsid w:val="008867E3"/>
    <w:rsid w:val="0088681B"/>
    <w:rsid w:val="00886A84"/>
    <w:rsid w:val="00886B5E"/>
    <w:rsid w:val="00886CA0"/>
    <w:rsid w:val="00886E3A"/>
    <w:rsid w:val="00886FB3"/>
    <w:rsid w:val="008871D1"/>
    <w:rsid w:val="0088728D"/>
    <w:rsid w:val="00887549"/>
    <w:rsid w:val="0088798C"/>
    <w:rsid w:val="00887ACC"/>
    <w:rsid w:val="00887BC5"/>
    <w:rsid w:val="00887D42"/>
    <w:rsid w:val="00887D51"/>
    <w:rsid w:val="00887F5F"/>
    <w:rsid w:val="00887FE3"/>
    <w:rsid w:val="008900CE"/>
    <w:rsid w:val="008900D8"/>
    <w:rsid w:val="0089014C"/>
    <w:rsid w:val="0089037E"/>
    <w:rsid w:val="00890392"/>
    <w:rsid w:val="008905FC"/>
    <w:rsid w:val="008907DE"/>
    <w:rsid w:val="00890859"/>
    <w:rsid w:val="00890909"/>
    <w:rsid w:val="00890A0E"/>
    <w:rsid w:val="00890BB6"/>
    <w:rsid w:val="00890D58"/>
    <w:rsid w:val="00890DC1"/>
    <w:rsid w:val="00890FA8"/>
    <w:rsid w:val="00891023"/>
    <w:rsid w:val="008917EE"/>
    <w:rsid w:val="008918D8"/>
    <w:rsid w:val="00891CC9"/>
    <w:rsid w:val="00891E71"/>
    <w:rsid w:val="00891F43"/>
    <w:rsid w:val="00892482"/>
    <w:rsid w:val="00892662"/>
    <w:rsid w:val="008928C4"/>
    <w:rsid w:val="008929FC"/>
    <w:rsid w:val="00892AF7"/>
    <w:rsid w:val="00892C65"/>
    <w:rsid w:val="00892E39"/>
    <w:rsid w:val="00892E79"/>
    <w:rsid w:val="0089314A"/>
    <w:rsid w:val="008931C1"/>
    <w:rsid w:val="0089338A"/>
    <w:rsid w:val="00893440"/>
    <w:rsid w:val="008935CA"/>
    <w:rsid w:val="0089365A"/>
    <w:rsid w:val="008937B5"/>
    <w:rsid w:val="008938C3"/>
    <w:rsid w:val="00893910"/>
    <w:rsid w:val="00893A21"/>
    <w:rsid w:val="00893ACB"/>
    <w:rsid w:val="00893D2F"/>
    <w:rsid w:val="00893F45"/>
    <w:rsid w:val="00893F9B"/>
    <w:rsid w:val="00894012"/>
    <w:rsid w:val="00894081"/>
    <w:rsid w:val="008941E3"/>
    <w:rsid w:val="00894472"/>
    <w:rsid w:val="008944A8"/>
    <w:rsid w:val="00894681"/>
    <w:rsid w:val="0089471D"/>
    <w:rsid w:val="00894767"/>
    <w:rsid w:val="00894809"/>
    <w:rsid w:val="00894823"/>
    <w:rsid w:val="00894A88"/>
    <w:rsid w:val="00894A8C"/>
    <w:rsid w:val="00894B17"/>
    <w:rsid w:val="00894CBB"/>
    <w:rsid w:val="00894EA0"/>
    <w:rsid w:val="00895269"/>
    <w:rsid w:val="00895323"/>
    <w:rsid w:val="00895386"/>
    <w:rsid w:val="008954E8"/>
    <w:rsid w:val="008956C9"/>
    <w:rsid w:val="00895BFF"/>
    <w:rsid w:val="00895C3E"/>
    <w:rsid w:val="00895D9F"/>
    <w:rsid w:val="00895FAD"/>
    <w:rsid w:val="0089612B"/>
    <w:rsid w:val="008961EF"/>
    <w:rsid w:val="00896327"/>
    <w:rsid w:val="008964A5"/>
    <w:rsid w:val="008966AC"/>
    <w:rsid w:val="0089683F"/>
    <w:rsid w:val="00896AC7"/>
    <w:rsid w:val="00896B39"/>
    <w:rsid w:val="00896B69"/>
    <w:rsid w:val="00896C4A"/>
    <w:rsid w:val="0089703E"/>
    <w:rsid w:val="0089722F"/>
    <w:rsid w:val="00897377"/>
    <w:rsid w:val="00897566"/>
    <w:rsid w:val="008975F2"/>
    <w:rsid w:val="00897678"/>
    <w:rsid w:val="0089768B"/>
    <w:rsid w:val="008977C7"/>
    <w:rsid w:val="00897807"/>
    <w:rsid w:val="00897973"/>
    <w:rsid w:val="00897979"/>
    <w:rsid w:val="00897C06"/>
    <w:rsid w:val="00897D8F"/>
    <w:rsid w:val="00897F99"/>
    <w:rsid w:val="008A008F"/>
    <w:rsid w:val="008A02E9"/>
    <w:rsid w:val="008A03A6"/>
    <w:rsid w:val="008A0644"/>
    <w:rsid w:val="008A077A"/>
    <w:rsid w:val="008A082A"/>
    <w:rsid w:val="008A0835"/>
    <w:rsid w:val="008A0B29"/>
    <w:rsid w:val="008A0B3B"/>
    <w:rsid w:val="008A0C87"/>
    <w:rsid w:val="008A0ED3"/>
    <w:rsid w:val="008A10AF"/>
    <w:rsid w:val="008A11F5"/>
    <w:rsid w:val="008A1278"/>
    <w:rsid w:val="008A13B4"/>
    <w:rsid w:val="008A1A7F"/>
    <w:rsid w:val="008A1C5F"/>
    <w:rsid w:val="008A1D02"/>
    <w:rsid w:val="008A1DD6"/>
    <w:rsid w:val="008A1E0E"/>
    <w:rsid w:val="008A1EE9"/>
    <w:rsid w:val="008A20A8"/>
    <w:rsid w:val="008A2154"/>
    <w:rsid w:val="008A21FF"/>
    <w:rsid w:val="008A2229"/>
    <w:rsid w:val="008A2256"/>
    <w:rsid w:val="008A245D"/>
    <w:rsid w:val="008A277A"/>
    <w:rsid w:val="008A2978"/>
    <w:rsid w:val="008A2CE2"/>
    <w:rsid w:val="008A2FE7"/>
    <w:rsid w:val="008A3001"/>
    <w:rsid w:val="008A30AC"/>
    <w:rsid w:val="008A3521"/>
    <w:rsid w:val="008A3768"/>
    <w:rsid w:val="008A3794"/>
    <w:rsid w:val="008A389D"/>
    <w:rsid w:val="008A39F1"/>
    <w:rsid w:val="008A3B04"/>
    <w:rsid w:val="008A3EFD"/>
    <w:rsid w:val="008A420D"/>
    <w:rsid w:val="008A44B8"/>
    <w:rsid w:val="008A45CE"/>
    <w:rsid w:val="008A480C"/>
    <w:rsid w:val="008A4C07"/>
    <w:rsid w:val="008A4C72"/>
    <w:rsid w:val="008A4D96"/>
    <w:rsid w:val="008A4FE5"/>
    <w:rsid w:val="008A50F0"/>
    <w:rsid w:val="008A51A8"/>
    <w:rsid w:val="008A52C1"/>
    <w:rsid w:val="008A5407"/>
    <w:rsid w:val="008A54C7"/>
    <w:rsid w:val="008A58B0"/>
    <w:rsid w:val="008A5ADA"/>
    <w:rsid w:val="008A5B2E"/>
    <w:rsid w:val="008A5CFB"/>
    <w:rsid w:val="008A5F27"/>
    <w:rsid w:val="008A648A"/>
    <w:rsid w:val="008A656E"/>
    <w:rsid w:val="008A66B2"/>
    <w:rsid w:val="008A66C5"/>
    <w:rsid w:val="008A6B84"/>
    <w:rsid w:val="008A6C4E"/>
    <w:rsid w:val="008A7191"/>
    <w:rsid w:val="008A75C6"/>
    <w:rsid w:val="008A77D8"/>
    <w:rsid w:val="008A7AD9"/>
    <w:rsid w:val="008A7C61"/>
    <w:rsid w:val="008A7DF2"/>
    <w:rsid w:val="008A7DFE"/>
    <w:rsid w:val="008A7F2D"/>
    <w:rsid w:val="008A7F4D"/>
    <w:rsid w:val="008B0091"/>
    <w:rsid w:val="008B01C1"/>
    <w:rsid w:val="008B028F"/>
    <w:rsid w:val="008B032D"/>
    <w:rsid w:val="008B0331"/>
    <w:rsid w:val="008B0483"/>
    <w:rsid w:val="008B0799"/>
    <w:rsid w:val="008B0D66"/>
    <w:rsid w:val="008B10CE"/>
    <w:rsid w:val="008B120C"/>
    <w:rsid w:val="008B1252"/>
    <w:rsid w:val="008B1410"/>
    <w:rsid w:val="008B19C0"/>
    <w:rsid w:val="008B1AF6"/>
    <w:rsid w:val="008B1B6D"/>
    <w:rsid w:val="008B1BD3"/>
    <w:rsid w:val="008B2609"/>
    <w:rsid w:val="008B2638"/>
    <w:rsid w:val="008B2755"/>
    <w:rsid w:val="008B2798"/>
    <w:rsid w:val="008B2849"/>
    <w:rsid w:val="008B2BAD"/>
    <w:rsid w:val="008B2BB0"/>
    <w:rsid w:val="008B2BEB"/>
    <w:rsid w:val="008B2BF7"/>
    <w:rsid w:val="008B3249"/>
    <w:rsid w:val="008B3313"/>
    <w:rsid w:val="008B386A"/>
    <w:rsid w:val="008B388E"/>
    <w:rsid w:val="008B3A63"/>
    <w:rsid w:val="008B3B12"/>
    <w:rsid w:val="008B3C17"/>
    <w:rsid w:val="008B3D45"/>
    <w:rsid w:val="008B41AF"/>
    <w:rsid w:val="008B425A"/>
    <w:rsid w:val="008B42E3"/>
    <w:rsid w:val="008B4530"/>
    <w:rsid w:val="008B454D"/>
    <w:rsid w:val="008B4AE8"/>
    <w:rsid w:val="008B4C50"/>
    <w:rsid w:val="008B4D65"/>
    <w:rsid w:val="008B4E32"/>
    <w:rsid w:val="008B4E5E"/>
    <w:rsid w:val="008B4F2D"/>
    <w:rsid w:val="008B5150"/>
    <w:rsid w:val="008B517E"/>
    <w:rsid w:val="008B51A0"/>
    <w:rsid w:val="008B52C6"/>
    <w:rsid w:val="008B546F"/>
    <w:rsid w:val="008B592A"/>
    <w:rsid w:val="008B593B"/>
    <w:rsid w:val="008B5A00"/>
    <w:rsid w:val="008B5A35"/>
    <w:rsid w:val="008B5D0C"/>
    <w:rsid w:val="008B5F2A"/>
    <w:rsid w:val="008B5FBF"/>
    <w:rsid w:val="008B623E"/>
    <w:rsid w:val="008B62F2"/>
    <w:rsid w:val="008B634D"/>
    <w:rsid w:val="008B657D"/>
    <w:rsid w:val="008B658F"/>
    <w:rsid w:val="008B675C"/>
    <w:rsid w:val="008B6A1C"/>
    <w:rsid w:val="008B6C09"/>
    <w:rsid w:val="008B7354"/>
    <w:rsid w:val="008B74D0"/>
    <w:rsid w:val="008B7549"/>
    <w:rsid w:val="008B7A77"/>
    <w:rsid w:val="008B7B5C"/>
    <w:rsid w:val="008B7BB5"/>
    <w:rsid w:val="008B7CBB"/>
    <w:rsid w:val="008B7D16"/>
    <w:rsid w:val="008B7E74"/>
    <w:rsid w:val="008B7E79"/>
    <w:rsid w:val="008C0448"/>
    <w:rsid w:val="008C05E9"/>
    <w:rsid w:val="008C082B"/>
    <w:rsid w:val="008C088C"/>
    <w:rsid w:val="008C0C99"/>
    <w:rsid w:val="008C1124"/>
    <w:rsid w:val="008C13A3"/>
    <w:rsid w:val="008C145C"/>
    <w:rsid w:val="008C148C"/>
    <w:rsid w:val="008C16CC"/>
    <w:rsid w:val="008C1710"/>
    <w:rsid w:val="008C1815"/>
    <w:rsid w:val="008C187B"/>
    <w:rsid w:val="008C1A78"/>
    <w:rsid w:val="008C1D66"/>
    <w:rsid w:val="008C1EB7"/>
    <w:rsid w:val="008C1F7A"/>
    <w:rsid w:val="008C2017"/>
    <w:rsid w:val="008C2308"/>
    <w:rsid w:val="008C25D4"/>
    <w:rsid w:val="008C2974"/>
    <w:rsid w:val="008C29B5"/>
    <w:rsid w:val="008C2A5F"/>
    <w:rsid w:val="008C314E"/>
    <w:rsid w:val="008C3295"/>
    <w:rsid w:val="008C3343"/>
    <w:rsid w:val="008C3542"/>
    <w:rsid w:val="008C3949"/>
    <w:rsid w:val="008C39CC"/>
    <w:rsid w:val="008C3AAE"/>
    <w:rsid w:val="008C3BC5"/>
    <w:rsid w:val="008C3EE7"/>
    <w:rsid w:val="008C4122"/>
    <w:rsid w:val="008C443E"/>
    <w:rsid w:val="008C4472"/>
    <w:rsid w:val="008C4524"/>
    <w:rsid w:val="008C45D9"/>
    <w:rsid w:val="008C4682"/>
    <w:rsid w:val="008C4958"/>
    <w:rsid w:val="008C4A23"/>
    <w:rsid w:val="008C4A8F"/>
    <w:rsid w:val="008C4BAA"/>
    <w:rsid w:val="008C4D76"/>
    <w:rsid w:val="008C4F8C"/>
    <w:rsid w:val="008C5062"/>
    <w:rsid w:val="008C50F2"/>
    <w:rsid w:val="008C52F8"/>
    <w:rsid w:val="008C532A"/>
    <w:rsid w:val="008C553C"/>
    <w:rsid w:val="008C5A38"/>
    <w:rsid w:val="008C5AEB"/>
    <w:rsid w:val="008C5CFA"/>
    <w:rsid w:val="008C5D94"/>
    <w:rsid w:val="008C5EBB"/>
    <w:rsid w:val="008C5F6A"/>
    <w:rsid w:val="008C63DC"/>
    <w:rsid w:val="008C6474"/>
    <w:rsid w:val="008C6587"/>
    <w:rsid w:val="008C66F6"/>
    <w:rsid w:val="008C6874"/>
    <w:rsid w:val="008C6A1B"/>
    <w:rsid w:val="008C6AA7"/>
    <w:rsid w:val="008C6AE8"/>
    <w:rsid w:val="008C6C12"/>
    <w:rsid w:val="008C6CC4"/>
    <w:rsid w:val="008C6E89"/>
    <w:rsid w:val="008C7445"/>
    <w:rsid w:val="008C74CC"/>
    <w:rsid w:val="008C7573"/>
    <w:rsid w:val="008C7654"/>
    <w:rsid w:val="008C7656"/>
    <w:rsid w:val="008C7A86"/>
    <w:rsid w:val="008C7FAF"/>
    <w:rsid w:val="008D0087"/>
    <w:rsid w:val="008D00A5"/>
    <w:rsid w:val="008D01FE"/>
    <w:rsid w:val="008D03CA"/>
    <w:rsid w:val="008D0482"/>
    <w:rsid w:val="008D0666"/>
    <w:rsid w:val="008D0817"/>
    <w:rsid w:val="008D0892"/>
    <w:rsid w:val="008D1295"/>
    <w:rsid w:val="008D1728"/>
    <w:rsid w:val="008D1781"/>
    <w:rsid w:val="008D17AF"/>
    <w:rsid w:val="008D18A1"/>
    <w:rsid w:val="008D18E3"/>
    <w:rsid w:val="008D1C19"/>
    <w:rsid w:val="008D1FA0"/>
    <w:rsid w:val="008D2054"/>
    <w:rsid w:val="008D223F"/>
    <w:rsid w:val="008D2427"/>
    <w:rsid w:val="008D24F5"/>
    <w:rsid w:val="008D26FF"/>
    <w:rsid w:val="008D2B17"/>
    <w:rsid w:val="008D2B6D"/>
    <w:rsid w:val="008D3093"/>
    <w:rsid w:val="008D33CD"/>
    <w:rsid w:val="008D3434"/>
    <w:rsid w:val="008D34F1"/>
    <w:rsid w:val="008D37FA"/>
    <w:rsid w:val="008D38BF"/>
    <w:rsid w:val="008D39D8"/>
    <w:rsid w:val="008D3AE4"/>
    <w:rsid w:val="008D3D38"/>
    <w:rsid w:val="008D3DAA"/>
    <w:rsid w:val="008D3DC3"/>
    <w:rsid w:val="008D3EE4"/>
    <w:rsid w:val="008D3FDA"/>
    <w:rsid w:val="008D404A"/>
    <w:rsid w:val="008D4113"/>
    <w:rsid w:val="008D4287"/>
    <w:rsid w:val="008D4324"/>
    <w:rsid w:val="008D43DD"/>
    <w:rsid w:val="008D4471"/>
    <w:rsid w:val="008D4518"/>
    <w:rsid w:val="008D4551"/>
    <w:rsid w:val="008D4635"/>
    <w:rsid w:val="008D46DE"/>
    <w:rsid w:val="008D4820"/>
    <w:rsid w:val="008D4859"/>
    <w:rsid w:val="008D493E"/>
    <w:rsid w:val="008D4F1C"/>
    <w:rsid w:val="008D4F32"/>
    <w:rsid w:val="008D4F68"/>
    <w:rsid w:val="008D50D3"/>
    <w:rsid w:val="008D514C"/>
    <w:rsid w:val="008D514F"/>
    <w:rsid w:val="008D5261"/>
    <w:rsid w:val="008D53DE"/>
    <w:rsid w:val="008D56C7"/>
    <w:rsid w:val="008D57A0"/>
    <w:rsid w:val="008D58F0"/>
    <w:rsid w:val="008D59D7"/>
    <w:rsid w:val="008D5A36"/>
    <w:rsid w:val="008D5ADD"/>
    <w:rsid w:val="008D5B43"/>
    <w:rsid w:val="008D5B72"/>
    <w:rsid w:val="008D5C67"/>
    <w:rsid w:val="008D5D26"/>
    <w:rsid w:val="008D5DC4"/>
    <w:rsid w:val="008D5E3D"/>
    <w:rsid w:val="008D5E57"/>
    <w:rsid w:val="008D5E89"/>
    <w:rsid w:val="008D66BA"/>
    <w:rsid w:val="008D6928"/>
    <w:rsid w:val="008D69E4"/>
    <w:rsid w:val="008D6A68"/>
    <w:rsid w:val="008D6B9F"/>
    <w:rsid w:val="008D6D1A"/>
    <w:rsid w:val="008D707A"/>
    <w:rsid w:val="008D71A1"/>
    <w:rsid w:val="008D7598"/>
    <w:rsid w:val="008D75A4"/>
    <w:rsid w:val="008D75EF"/>
    <w:rsid w:val="008D7615"/>
    <w:rsid w:val="008D79B8"/>
    <w:rsid w:val="008D79B9"/>
    <w:rsid w:val="008D7B80"/>
    <w:rsid w:val="008E055B"/>
    <w:rsid w:val="008E0587"/>
    <w:rsid w:val="008E0597"/>
    <w:rsid w:val="008E065E"/>
    <w:rsid w:val="008E0927"/>
    <w:rsid w:val="008E0A26"/>
    <w:rsid w:val="008E0BCE"/>
    <w:rsid w:val="008E1050"/>
    <w:rsid w:val="008E11B4"/>
    <w:rsid w:val="008E129F"/>
    <w:rsid w:val="008E156D"/>
    <w:rsid w:val="008E1825"/>
    <w:rsid w:val="008E1909"/>
    <w:rsid w:val="008E1F3D"/>
    <w:rsid w:val="008E22FF"/>
    <w:rsid w:val="008E2365"/>
    <w:rsid w:val="008E240A"/>
    <w:rsid w:val="008E2456"/>
    <w:rsid w:val="008E27BD"/>
    <w:rsid w:val="008E27E6"/>
    <w:rsid w:val="008E2A1D"/>
    <w:rsid w:val="008E2D6E"/>
    <w:rsid w:val="008E2FBC"/>
    <w:rsid w:val="008E30EB"/>
    <w:rsid w:val="008E31B0"/>
    <w:rsid w:val="008E34BE"/>
    <w:rsid w:val="008E393B"/>
    <w:rsid w:val="008E3D67"/>
    <w:rsid w:val="008E3F73"/>
    <w:rsid w:val="008E4226"/>
    <w:rsid w:val="008E459A"/>
    <w:rsid w:val="008E45B3"/>
    <w:rsid w:val="008E465F"/>
    <w:rsid w:val="008E4CC1"/>
    <w:rsid w:val="008E4DE1"/>
    <w:rsid w:val="008E4E1C"/>
    <w:rsid w:val="008E505E"/>
    <w:rsid w:val="008E50C4"/>
    <w:rsid w:val="008E529A"/>
    <w:rsid w:val="008E556F"/>
    <w:rsid w:val="008E585D"/>
    <w:rsid w:val="008E5C0D"/>
    <w:rsid w:val="008E5CC0"/>
    <w:rsid w:val="008E5DBD"/>
    <w:rsid w:val="008E5FA7"/>
    <w:rsid w:val="008E6060"/>
    <w:rsid w:val="008E68FF"/>
    <w:rsid w:val="008E6C7D"/>
    <w:rsid w:val="008E6D61"/>
    <w:rsid w:val="008E6F79"/>
    <w:rsid w:val="008E717F"/>
    <w:rsid w:val="008E71B6"/>
    <w:rsid w:val="008E7B0D"/>
    <w:rsid w:val="008E7BAB"/>
    <w:rsid w:val="008E7C09"/>
    <w:rsid w:val="008E7D11"/>
    <w:rsid w:val="008E7F9F"/>
    <w:rsid w:val="008F01C5"/>
    <w:rsid w:val="008F0543"/>
    <w:rsid w:val="008F0575"/>
    <w:rsid w:val="008F09A0"/>
    <w:rsid w:val="008F0FA7"/>
    <w:rsid w:val="008F10EF"/>
    <w:rsid w:val="008F10FF"/>
    <w:rsid w:val="008F110F"/>
    <w:rsid w:val="008F12D0"/>
    <w:rsid w:val="008F1BDE"/>
    <w:rsid w:val="008F1C4E"/>
    <w:rsid w:val="008F1CBA"/>
    <w:rsid w:val="008F1EAB"/>
    <w:rsid w:val="008F201D"/>
    <w:rsid w:val="008F21EA"/>
    <w:rsid w:val="008F234E"/>
    <w:rsid w:val="008F23CD"/>
    <w:rsid w:val="008F2479"/>
    <w:rsid w:val="008F296B"/>
    <w:rsid w:val="008F2990"/>
    <w:rsid w:val="008F29FC"/>
    <w:rsid w:val="008F2F70"/>
    <w:rsid w:val="008F2F98"/>
    <w:rsid w:val="008F3065"/>
    <w:rsid w:val="008F309F"/>
    <w:rsid w:val="008F30F1"/>
    <w:rsid w:val="008F31E3"/>
    <w:rsid w:val="008F3240"/>
    <w:rsid w:val="008F33DC"/>
    <w:rsid w:val="008F3589"/>
    <w:rsid w:val="008F3897"/>
    <w:rsid w:val="008F38A8"/>
    <w:rsid w:val="008F3ABB"/>
    <w:rsid w:val="008F3D62"/>
    <w:rsid w:val="008F3D64"/>
    <w:rsid w:val="008F3D6E"/>
    <w:rsid w:val="008F3E5A"/>
    <w:rsid w:val="008F3E82"/>
    <w:rsid w:val="008F3ED7"/>
    <w:rsid w:val="008F3F6B"/>
    <w:rsid w:val="008F444F"/>
    <w:rsid w:val="008F4583"/>
    <w:rsid w:val="008F45BC"/>
    <w:rsid w:val="008F477F"/>
    <w:rsid w:val="008F486E"/>
    <w:rsid w:val="008F496E"/>
    <w:rsid w:val="008F4AFB"/>
    <w:rsid w:val="008F4FA8"/>
    <w:rsid w:val="008F5006"/>
    <w:rsid w:val="008F535E"/>
    <w:rsid w:val="008F53B4"/>
    <w:rsid w:val="008F5C0C"/>
    <w:rsid w:val="008F5E0A"/>
    <w:rsid w:val="008F5FDF"/>
    <w:rsid w:val="008F65A4"/>
    <w:rsid w:val="008F6874"/>
    <w:rsid w:val="008F6880"/>
    <w:rsid w:val="008F6AC3"/>
    <w:rsid w:val="008F6CA4"/>
    <w:rsid w:val="008F6D0E"/>
    <w:rsid w:val="008F7077"/>
    <w:rsid w:val="008F7106"/>
    <w:rsid w:val="008F71D7"/>
    <w:rsid w:val="008F72C6"/>
    <w:rsid w:val="008F7364"/>
    <w:rsid w:val="008F7893"/>
    <w:rsid w:val="008F7DBC"/>
    <w:rsid w:val="008F7E0F"/>
    <w:rsid w:val="009002C6"/>
    <w:rsid w:val="009004BC"/>
    <w:rsid w:val="00900552"/>
    <w:rsid w:val="0090055F"/>
    <w:rsid w:val="009006CF"/>
    <w:rsid w:val="00900729"/>
    <w:rsid w:val="0090099B"/>
    <w:rsid w:val="009009D0"/>
    <w:rsid w:val="00900A66"/>
    <w:rsid w:val="00900BAC"/>
    <w:rsid w:val="00900BEC"/>
    <w:rsid w:val="00900E09"/>
    <w:rsid w:val="00900EF3"/>
    <w:rsid w:val="00900F1B"/>
    <w:rsid w:val="00900F7D"/>
    <w:rsid w:val="0090138C"/>
    <w:rsid w:val="0090163C"/>
    <w:rsid w:val="009017D0"/>
    <w:rsid w:val="0090194A"/>
    <w:rsid w:val="00901976"/>
    <w:rsid w:val="00901B4C"/>
    <w:rsid w:val="00901CA4"/>
    <w:rsid w:val="00901FBD"/>
    <w:rsid w:val="00902281"/>
    <w:rsid w:val="00902350"/>
    <w:rsid w:val="00902727"/>
    <w:rsid w:val="00902825"/>
    <w:rsid w:val="00902F99"/>
    <w:rsid w:val="0090336B"/>
    <w:rsid w:val="009034F9"/>
    <w:rsid w:val="0090376B"/>
    <w:rsid w:val="00903845"/>
    <w:rsid w:val="00903CCE"/>
    <w:rsid w:val="009044D0"/>
    <w:rsid w:val="00904575"/>
    <w:rsid w:val="009047D2"/>
    <w:rsid w:val="009047F7"/>
    <w:rsid w:val="00904D3F"/>
    <w:rsid w:val="00904F6A"/>
    <w:rsid w:val="00905188"/>
    <w:rsid w:val="0090520A"/>
    <w:rsid w:val="009053AA"/>
    <w:rsid w:val="009056E9"/>
    <w:rsid w:val="0090571B"/>
    <w:rsid w:val="00905879"/>
    <w:rsid w:val="0090599A"/>
    <w:rsid w:val="00905E59"/>
    <w:rsid w:val="00906041"/>
    <w:rsid w:val="009060C0"/>
    <w:rsid w:val="00906223"/>
    <w:rsid w:val="00906467"/>
    <w:rsid w:val="00906563"/>
    <w:rsid w:val="00906659"/>
    <w:rsid w:val="009066E6"/>
    <w:rsid w:val="0090676C"/>
    <w:rsid w:val="00906939"/>
    <w:rsid w:val="00906964"/>
    <w:rsid w:val="00906C9B"/>
    <w:rsid w:val="00906FF1"/>
    <w:rsid w:val="00907196"/>
    <w:rsid w:val="0090743C"/>
    <w:rsid w:val="0090743E"/>
    <w:rsid w:val="00907778"/>
    <w:rsid w:val="0090788B"/>
    <w:rsid w:val="00907891"/>
    <w:rsid w:val="00907C56"/>
    <w:rsid w:val="00907C7D"/>
    <w:rsid w:val="00907FAD"/>
    <w:rsid w:val="0091023E"/>
    <w:rsid w:val="0091028D"/>
    <w:rsid w:val="009102C0"/>
    <w:rsid w:val="009102F2"/>
    <w:rsid w:val="00910472"/>
    <w:rsid w:val="0091061B"/>
    <w:rsid w:val="0091081A"/>
    <w:rsid w:val="00910935"/>
    <w:rsid w:val="0091096D"/>
    <w:rsid w:val="00910981"/>
    <w:rsid w:val="00910B7D"/>
    <w:rsid w:val="00910C17"/>
    <w:rsid w:val="00910DDE"/>
    <w:rsid w:val="00910DE3"/>
    <w:rsid w:val="009111AE"/>
    <w:rsid w:val="00911621"/>
    <w:rsid w:val="0091163F"/>
    <w:rsid w:val="00911894"/>
    <w:rsid w:val="00911B1A"/>
    <w:rsid w:val="00911CD2"/>
    <w:rsid w:val="00911D93"/>
    <w:rsid w:val="00911DFB"/>
    <w:rsid w:val="00911F4B"/>
    <w:rsid w:val="0091201E"/>
    <w:rsid w:val="009121DB"/>
    <w:rsid w:val="009124BA"/>
    <w:rsid w:val="0091259C"/>
    <w:rsid w:val="009125EE"/>
    <w:rsid w:val="009126ED"/>
    <w:rsid w:val="00912701"/>
    <w:rsid w:val="009127F4"/>
    <w:rsid w:val="0091302D"/>
    <w:rsid w:val="009131A4"/>
    <w:rsid w:val="00913267"/>
    <w:rsid w:val="0091328E"/>
    <w:rsid w:val="009133EB"/>
    <w:rsid w:val="009134B3"/>
    <w:rsid w:val="009136DD"/>
    <w:rsid w:val="0091387C"/>
    <w:rsid w:val="009139D9"/>
    <w:rsid w:val="00913DEB"/>
    <w:rsid w:val="00913E4F"/>
    <w:rsid w:val="00913F54"/>
    <w:rsid w:val="0091400A"/>
    <w:rsid w:val="009141C5"/>
    <w:rsid w:val="00914436"/>
    <w:rsid w:val="00914672"/>
    <w:rsid w:val="00914840"/>
    <w:rsid w:val="00914897"/>
    <w:rsid w:val="00914AD8"/>
    <w:rsid w:val="00914BDA"/>
    <w:rsid w:val="00914ECB"/>
    <w:rsid w:val="0091547A"/>
    <w:rsid w:val="00915481"/>
    <w:rsid w:val="00915917"/>
    <w:rsid w:val="009159D9"/>
    <w:rsid w:val="00915B70"/>
    <w:rsid w:val="00916079"/>
    <w:rsid w:val="0091617E"/>
    <w:rsid w:val="00916184"/>
    <w:rsid w:val="009161D8"/>
    <w:rsid w:val="009162C9"/>
    <w:rsid w:val="009163C6"/>
    <w:rsid w:val="00916930"/>
    <w:rsid w:val="00916B3D"/>
    <w:rsid w:val="00916CCC"/>
    <w:rsid w:val="00916CFD"/>
    <w:rsid w:val="00917346"/>
    <w:rsid w:val="00917416"/>
    <w:rsid w:val="009174E9"/>
    <w:rsid w:val="00917675"/>
    <w:rsid w:val="0091767F"/>
    <w:rsid w:val="00917840"/>
    <w:rsid w:val="0091791D"/>
    <w:rsid w:val="00917971"/>
    <w:rsid w:val="00917979"/>
    <w:rsid w:val="0091797D"/>
    <w:rsid w:val="00917CE9"/>
    <w:rsid w:val="00917D83"/>
    <w:rsid w:val="00917F90"/>
    <w:rsid w:val="009200C9"/>
    <w:rsid w:val="009200D0"/>
    <w:rsid w:val="009202DD"/>
    <w:rsid w:val="009202F3"/>
    <w:rsid w:val="0092034A"/>
    <w:rsid w:val="009203B5"/>
    <w:rsid w:val="009206A4"/>
    <w:rsid w:val="009206FE"/>
    <w:rsid w:val="0092079D"/>
    <w:rsid w:val="00920938"/>
    <w:rsid w:val="00920A0A"/>
    <w:rsid w:val="00920A82"/>
    <w:rsid w:val="00920BA2"/>
    <w:rsid w:val="00920BF2"/>
    <w:rsid w:val="00920C21"/>
    <w:rsid w:val="00920F78"/>
    <w:rsid w:val="009212CC"/>
    <w:rsid w:val="0092146D"/>
    <w:rsid w:val="00921671"/>
    <w:rsid w:val="00921887"/>
    <w:rsid w:val="00921899"/>
    <w:rsid w:val="00921B74"/>
    <w:rsid w:val="00922010"/>
    <w:rsid w:val="0092227D"/>
    <w:rsid w:val="00922568"/>
    <w:rsid w:val="00922637"/>
    <w:rsid w:val="00922715"/>
    <w:rsid w:val="009227B2"/>
    <w:rsid w:val="009228D8"/>
    <w:rsid w:val="00922E6A"/>
    <w:rsid w:val="00922EA9"/>
    <w:rsid w:val="00922EDC"/>
    <w:rsid w:val="00923032"/>
    <w:rsid w:val="0092325C"/>
    <w:rsid w:val="0092339D"/>
    <w:rsid w:val="0092342B"/>
    <w:rsid w:val="00923446"/>
    <w:rsid w:val="009234C1"/>
    <w:rsid w:val="009238DA"/>
    <w:rsid w:val="009238DF"/>
    <w:rsid w:val="009239DF"/>
    <w:rsid w:val="00923A6C"/>
    <w:rsid w:val="00923B0A"/>
    <w:rsid w:val="00923DA3"/>
    <w:rsid w:val="00924038"/>
    <w:rsid w:val="0092404C"/>
    <w:rsid w:val="009241BB"/>
    <w:rsid w:val="0092443C"/>
    <w:rsid w:val="00924672"/>
    <w:rsid w:val="0092468B"/>
    <w:rsid w:val="009246C8"/>
    <w:rsid w:val="009248D2"/>
    <w:rsid w:val="00924A7F"/>
    <w:rsid w:val="00924C6C"/>
    <w:rsid w:val="00924CC1"/>
    <w:rsid w:val="00924D60"/>
    <w:rsid w:val="00924D7B"/>
    <w:rsid w:val="00924E31"/>
    <w:rsid w:val="00924E4F"/>
    <w:rsid w:val="00924F11"/>
    <w:rsid w:val="00925288"/>
    <w:rsid w:val="0092555F"/>
    <w:rsid w:val="009256FF"/>
    <w:rsid w:val="00925B73"/>
    <w:rsid w:val="00925F57"/>
    <w:rsid w:val="00925F7C"/>
    <w:rsid w:val="009262AF"/>
    <w:rsid w:val="009263C2"/>
    <w:rsid w:val="0092688E"/>
    <w:rsid w:val="00926B49"/>
    <w:rsid w:val="00926DA8"/>
    <w:rsid w:val="00927263"/>
    <w:rsid w:val="00927286"/>
    <w:rsid w:val="00927325"/>
    <w:rsid w:val="00927431"/>
    <w:rsid w:val="00927445"/>
    <w:rsid w:val="00927480"/>
    <w:rsid w:val="00927499"/>
    <w:rsid w:val="009275CC"/>
    <w:rsid w:val="00927716"/>
    <w:rsid w:val="0092796F"/>
    <w:rsid w:val="00927AC0"/>
    <w:rsid w:val="00927DE0"/>
    <w:rsid w:val="00927F1E"/>
    <w:rsid w:val="00930357"/>
    <w:rsid w:val="0093044A"/>
    <w:rsid w:val="00930490"/>
    <w:rsid w:val="009304AB"/>
    <w:rsid w:val="0093050D"/>
    <w:rsid w:val="0093056B"/>
    <w:rsid w:val="00930623"/>
    <w:rsid w:val="00930671"/>
    <w:rsid w:val="009306AD"/>
    <w:rsid w:val="009308AD"/>
    <w:rsid w:val="00930CBE"/>
    <w:rsid w:val="00930DF3"/>
    <w:rsid w:val="00930EAE"/>
    <w:rsid w:val="00930EF4"/>
    <w:rsid w:val="00930F1A"/>
    <w:rsid w:val="00931277"/>
    <w:rsid w:val="0093143E"/>
    <w:rsid w:val="0093178C"/>
    <w:rsid w:val="00931B9C"/>
    <w:rsid w:val="00931BD9"/>
    <w:rsid w:val="00931E98"/>
    <w:rsid w:val="00931F7C"/>
    <w:rsid w:val="00931FC1"/>
    <w:rsid w:val="009326BB"/>
    <w:rsid w:val="0093280A"/>
    <w:rsid w:val="00932898"/>
    <w:rsid w:val="00932CB7"/>
    <w:rsid w:val="00932CD5"/>
    <w:rsid w:val="00932D83"/>
    <w:rsid w:val="00932DB6"/>
    <w:rsid w:val="00932E2B"/>
    <w:rsid w:val="0093303A"/>
    <w:rsid w:val="00933077"/>
    <w:rsid w:val="00933310"/>
    <w:rsid w:val="00933812"/>
    <w:rsid w:val="0093383F"/>
    <w:rsid w:val="00933CA5"/>
    <w:rsid w:val="00933CF6"/>
    <w:rsid w:val="00933DF1"/>
    <w:rsid w:val="00934360"/>
    <w:rsid w:val="00934397"/>
    <w:rsid w:val="009345B1"/>
    <w:rsid w:val="00934762"/>
    <w:rsid w:val="0093485E"/>
    <w:rsid w:val="0093495E"/>
    <w:rsid w:val="009349F2"/>
    <w:rsid w:val="00934B10"/>
    <w:rsid w:val="00934BED"/>
    <w:rsid w:val="00934F18"/>
    <w:rsid w:val="00935229"/>
    <w:rsid w:val="00935468"/>
    <w:rsid w:val="0093554C"/>
    <w:rsid w:val="009355C9"/>
    <w:rsid w:val="0093567B"/>
    <w:rsid w:val="00935733"/>
    <w:rsid w:val="00935C65"/>
    <w:rsid w:val="00935D46"/>
    <w:rsid w:val="00935E42"/>
    <w:rsid w:val="00936000"/>
    <w:rsid w:val="0093613E"/>
    <w:rsid w:val="00936469"/>
    <w:rsid w:val="009364C4"/>
    <w:rsid w:val="009367DD"/>
    <w:rsid w:val="00936840"/>
    <w:rsid w:val="009368F3"/>
    <w:rsid w:val="00936955"/>
    <w:rsid w:val="00936A15"/>
    <w:rsid w:val="00937222"/>
    <w:rsid w:val="0093732B"/>
    <w:rsid w:val="0093732D"/>
    <w:rsid w:val="00937366"/>
    <w:rsid w:val="009374BD"/>
    <w:rsid w:val="009374C6"/>
    <w:rsid w:val="00937557"/>
    <w:rsid w:val="00937600"/>
    <w:rsid w:val="009376C8"/>
    <w:rsid w:val="009376E2"/>
    <w:rsid w:val="00937777"/>
    <w:rsid w:val="00937A81"/>
    <w:rsid w:val="00937BE6"/>
    <w:rsid w:val="00937D0C"/>
    <w:rsid w:val="00940019"/>
    <w:rsid w:val="00940250"/>
    <w:rsid w:val="009403AE"/>
    <w:rsid w:val="00940426"/>
    <w:rsid w:val="0094045F"/>
    <w:rsid w:val="00940564"/>
    <w:rsid w:val="009407FA"/>
    <w:rsid w:val="00940A4F"/>
    <w:rsid w:val="00940C04"/>
    <w:rsid w:val="00941093"/>
    <w:rsid w:val="0094131B"/>
    <w:rsid w:val="00941636"/>
    <w:rsid w:val="0094176B"/>
    <w:rsid w:val="0094177F"/>
    <w:rsid w:val="00941799"/>
    <w:rsid w:val="00941A52"/>
    <w:rsid w:val="00941B8F"/>
    <w:rsid w:val="00941D14"/>
    <w:rsid w:val="00941DFD"/>
    <w:rsid w:val="00941E12"/>
    <w:rsid w:val="009421E1"/>
    <w:rsid w:val="0094254D"/>
    <w:rsid w:val="009426BA"/>
    <w:rsid w:val="009429B3"/>
    <w:rsid w:val="00942AAB"/>
    <w:rsid w:val="00942F57"/>
    <w:rsid w:val="00942FBD"/>
    <w:rsid w:val="00943149"/>
    <w:rsid w:val="00943204"/>
    <w:rsid w:val="009433C3"/>
    <w:rsid w:val="00943420"/>
    <w:rsid w:val="00943642"/>
    <w:rsid w:val="0094366C"/>
    <w:rsid w:val="00943742"/>
    <w:rsid w:val="0094387C"/>
    <w:rsid w:val="00943ACA"/>
    <w:rsid w:val="00943ADB"/>
    <w:rsid w:val="00943EFC"/>
    <w:rsid w:val="009440B9"/>
    <w:rsid w:val="009441D2"/>
    <w:rsid w:val="009443B7"/>
    <w:rsid w:val="009444A3"/>
    <w:rsid w:val="009444FB"/>
    <w:rsid w:val="009445DE"/>
    <w:rsid w:val="009449DE"/>
    <w:rsid w:val="00944F12"/>
    <w:rsid w:val="00944F1D"/>
    <w:rsid w:val="00944F51"/>
    <w:rsid w:val="00944F6A"/>
    <w:rsid w:val="009450BD"/>
    <w:rsid w:val="00945149"/>
    <w:rsid w:val="009451F4"/>
    <w:rsid w:val="00945213"/>
    <w:rsid w:val="00945298"/>
    <w:rsid w:val="00945623"/>
    <w:rsid w:val="00945754"/>
    <w:rsid w:val="0094579F"/>
    <w:rsid w:val="009457B9"/>
    <w:rsid w:val="00945B2A"/>
    <w:rsid w:val="00945C05"/>
    <w:rsid w:val="00945D38"/>
    <w:rsid w:val="00945D56"/>
    <w:rsid w:val="00946004"/>
    <w:rsid w:val="00946472"/>
    <w:rsid w:val="00946477"/>
    <w:rsid w:val="00946712"/>
    <w:rsid w:val="0094684F"/>
    <w:rsid w:val="00946945"/>
    <w:rsid w:val="00946B25"/>
    <w:rsid w:val="00946DFA"/>
    <w:rsid w:val="009473EC"/>
    <w:rsid w:val="00947691"/>
    <w:rsid w:val="009476E7"/>
    <w:rsid w:val="00947713"/>
    <w:rsid w:val="0094777D"/>
    <w:rsid w:val="0094777F"/>
    <w:rsid w:val="0094792B"/>
    <w:rsid w:val="00947AD3"/>
    <w:rsid w:val="00947B03"/>
    <w:rsid w:val="00947C4A"/>
    <w:rsid w:val="00947D77"/>
    <w:rsid w:val="00947D97"/>
    <w:rsid w:val="00947EBE"/>
    <w:rsid w:val="00950029"/>
    <w:rsid w:val="009500D0"/>
    <w:rsid w:val="0095069F"/>
    <w:rsid w:val="009506CF"/>
    <w:rsid w:val="00950864"/>
    <w:rsid w:val="009508FC"/>
    <w:rsid w:val="00950990"/>
    <w:rsid w:val="009509B9"/>
    <w:rsid w:val="00950A13"/>
    <w:rsid w:val="00950C38"/>
    <w:rsid w:val="00950CDC"/>
    <w:rsid w:val="00950DE7"/>
    <w:rsid w:val="00950F0C"/>
    <w:rsid w:val="00950F4B"/>
    <w:rsid w:val="00950FC1"/>
    <w:rsid w:val="00951119"/>
    <w:rsid w:val="00951530"/>
    <w:rsid w:val="0095155F"/>
    <w:rsid w:val="009515FD"/>
    <w:rsid w:val="00951678"/>
    <w:rsid w:val="00951713"/>
    <w:rsid w:val="00951895"/>
    <w:rsid w:val="00951931"/>
    <w:rsid w:val="00952787"/>
    <w:rsid w:val="009529E9"/>
    <w:rsid w:val="00952EEB"/>
    <w:rsid w:val="00952F37"/>
    <w:rsid w:val="0095312A"/>
    <w:rsid w:val="009531EE"/>
    <w:rsid w:val="00953343"/>
    <w:rsid w:val="009533E2"/>
    <w:rsid w:val="0095348E"/>
    <w:rsid w:val="00953755"/>
    <w:rsid w:val="00953920"/>
    <w:rsid w:val="00953C1F"/>
    <w:rsid w:val="00953C91"/>
    <w:rsid w:val="00953D47"/>
    <w:rsid w:val="0095404D"/>
    <w:rsid w:val="00954327"/>
    <w:rsid w:val="0095446A"/>
    <w:rsid w:val="009545BC"/>
    <w:rsid w:val="00954608"/>
    <w:rsid w:val="009546AF"/>
    <w:rsid w:val="00954798"/>
    <w:rsid w:val="009547ED"/>
    <w:rsid w:val="0095480A"/>
    <w:rsid w:val="009548A1"/>
    <w:rsid w:val="0095493B"/>
    <w:rsid w:val="00954BC1"/>
    <w:rsid w:val="00954C5C"/>
    <w:rsid w:val="00954E9C"/>
    <w:rsid w:val="00955185"/>
    <w:rsid w:val="009554AB"/>
    <w:rsid w:val="00955583"/>
    <w:rsid w:val="0095566F"/>
    <w:rsid w:val="00955953"/>
    <w:rsid w:val="009559D2"/>
    <w:rsid w:val="00955B8B"/>
    <w:rsid w:val="00955DB8"/>
    <w:rsid w:val="00955E18"/>
    <w:rsid w:val="00955FC8"/>
    <w:rsid w:val="0095615F"/>
    <w:rsid w:val="00956409"/>
    <w:rsid w:val="0095670B"/>
    <w:rsid w:val="0095681E"/>
    <w:rsid w:val="00956D0A"/>
    <w:rsid w:val="00956FEF"/>
    <w:rsid w:val="0095724D"/>
    <w:rsid w:val="009572D4"/>
    <w:rsid w:val="00957439"/>
    <w:rsid w:val="00957531"/>
    <w:rsid w:val="009575BC"/>
    <w:rsid w:val="009578FC"/>
    <w:rsid w:val="0095798F"/>
    <w:rsid w:val="00957D27"/>
    <w:rsid w:val="00960088"/>
    <w:rsid w:val="0096025A"/>
    <w:rsid w:val="0096029D"/>
    <w:rsid w:val="00960330"/>
    <w:rsid w:val="0096033B"/>
    <w:rsid w:val="0096050E"/>
    <w:rsid w:val="0096059D"/>
    <w:rsid w:val="00960BF3"/>
    <w:rsid w:val="00960C55"/>
    <w:rsid w:val="00960C75"/>
    <w:rsid w:val="00960C7F"/>
    <w:rsid w:val="00960DAB"/>
    <w:rsid w:val="00960E26"/>
    <w:rsid w:val="00961065"/>
    <w:rsid w:val="009613BF"/>
    <w:rsid w:val="00961921"/>
    <w:rsid w:val="00961AF5"/>
    <w:rsid w:val="00961AF7"/>
    <w:rsid w:val="00961B6A"/>
    <w:rsid w:val="00961BE0"/>
    <w:rsid w:val="00961CD1"/>
    <w:rsid w:val="009621E4"/>
    <w:rsid w:val="00962813"/>
    <w:rsid w:val="00962C59"/>
    <w:rsid w:val="00962D26"/>
    <w:rsid w:val="00962DFB"/>
    <w:rsid w:val="00963B51"/>
    <w:rsid w:val="00963BCC"/>
    <w:rsid w:val="00963C76"/>
    <w:rsid w:val="00963C8B"/>
    <w:rsid w:val="00963DAF"/>
    <w:rsid w:val="009640C7"/>
    <w:rsid w:val="009640E7"/>
    <w:rsid w:val="0096426B"/>
    <w:rsid w:val="00964277"/>
    <w:rsid w:val="009642D3"/>
    <w:rsid w:val="0096430A"/>
    <w:rsid w:val="00964596"/>
    <w:rsid w:val="00964708"/>
    <w:rsid w:val="0096471D"/>
    <w:rsid w:val="0096476D"/>
    <w:rsid w:val="00964B64"/>
    <w:rsid w:val="00964BC8"/>
    <w:rsid w:val="00964F16"/>
    <w:rsid w:val="00965089"/>
    <w:rsid w:val="0096554B"/>
    <w:rsid w:val="009656E9"/>
    <w:rsid w:val="009657C9"/>
    <w:rsid w:val="009657F9"/>
    <w:rsid w:val="0096584A"/>
    <w:rsid w:val="00965968"/>
    <w:rsid w:val="00965B5E"/>
    <w:rsid w:val="00966140"/>
    <w:rsid w:val="0096615B"/>
    <w:rsid w:val="00966218"/>
    <w:rsid w:val="0096661A"/>
    <w:rsid w:val="00966721"/>
    <w:rsid w:val="00966BF8"/>
    <w:rsid w:val="00966D97"/>
    <w:rsid w:val="00966EB8"/>
    <w:rsid w:val="009673D3"/>
    <w:rsid w:val="0096752A"/>
    <w:rsid w:val="00967CA2"/>
    <w:rsid w:val="00967D3C"/>
    <w:rsid w:val="00970288"/>
    <w:rsid w:val="00970578"/>
    <w:rsid w:val="00970725"/>
    <w:rsid w:val="00970770"/>
    <w:rsid w:val="00970790"/>
    <w:rsid w:val="00970883"/>
    <w:rsid w:val="00970946"/>
    <w:rsid w:val="00970A17"/>
    <w:rsid w:val="00970C2D"/>
    <w:rsid w:val="00970C66"/>
    <w:rsid w:val="00970DEE"/>
    <w:rsid w:val="00970EDF"/>
    <w:rsid w:val="00970FFA"/>
    <w:rsid w:val="00971036"/>
    <w:rsid w:val="00971148"/>
    <w:rsid w:val="00971304"/>
    <w:rsid w:val="00971477"/>
    <w:rsid w:val="00971531"/>
    <w:rsid w:val="009715D0"/>
    <w:rsid w:val="009717C6"/>
    <w:rsid w:val="00971A88"/>
    <w:rsid w:val="00971D02"/>
    <w:rsid w:val="00971F08"/>
    <w:rsid w:val="00971FD6"/>
    <w:rsid w:val="00972023"/>
    <w:rsid w:val="00972349"/>
    <w:rsid w:val="009724C1"/>
    <w:rsid w:val="00972563"/>
    <w:rsid w:val="00972604"/>
    <w:rsid w:val="009726F4"/>
    <w:rsid w:val="0097270E"/>
    <w:rsid w:val="00972757"/>
    <w:rsid w:val="0097278E"/>
    <w:rsid w:val="009728DD"/>
    <w:rsid w:val="009729D5"/>
    <w:rsid w:val="00972AFE"/>
    <w:rsid w:val="00972B4B"/>
    <w:rsid w:val="009731A3"/>
    <w:rsid w:val="00973507"/>
    <w:rsid w:val="0097389B"/>
    <w:rsid w:val="00973AFD"/>
    <w:rsid w:val="00973D0F"/>
    <w:rsid w:val="00973DB4"/>
    <w:rsid w:val="0097410D"/>
    <w:rsid w:val="009741F0"/>
    <w:rsid w:val="00974281"/>
    <w:rsid w:val="009744D8"/>
    <w:rsid w:val="00974543"/>
    <w:rsid w:val="009746E9"/>
    <w:rsid w:val="00974994"/>
    <w:rsid w:val="00974C4A"/>
    <w:rsid w:val="00974C68"/>
    <w:rsid w:val="00974E7F"/>
    <w:rsid w:val="00974EF2"/>
    <w:rsid w:val="00974F28"/>
    <w:rsid w:val="00975482"/>
    <w:rsid w:val="009755F2"/>
    <w:rsid w:val="00975BC9"/>
    <w:rsid w:val="00975CC2"/>
    <w:rsid w:val="00975D69"/>
    <w:rsid w:val="00975DAE"/>
    <w:rsid w:val="00975EE4"/>
    <w:rsid w:val="00975F3A"/>
    <w:rsid w:val="0097603D"/>
    <w:rsid w:val="00976103"/>
    <w:rsid w:val="0097614B"/>
    <w:rsid w:val="009761C8"/>
    <w:rsid w:val="009762E5"/>
    <w:rsid w:val="0097639B"/>
    <w:rsid w:val="00976949"/>
    <w:rsid w:val="00976A39"/>
    <w:rsid w:val="00976A9E"/>
    <w:rsid w:val="00976B41"/>
    <w:rsid w:val="00976C35"/>
    <w:rsid w:val="00976D28"/>
    <w:rsid w:val="00976D7D"/>
    <w:rsid w:val="00976F78"/>
    <w:rsid w:val="00976FC5"/>
    <w:rsid w:val="0097702B"/>
    <w:rsid w:val="00977136"/>
    <w:rsid w:val="0097736A"/>
    <w:rsid w:val="00977468"/>
    <w:rsid w:val="0097759D"/>
    <w:rsid w:val="0097759F"/>
    <w:rsid w:val="00977607"/>
    <w:rsid w:val="009777AC"/>
    <w:rsid w:val="00977883"/>
    <w:rsid w:val="00977A65"/>
    <w:rsid w:val="00977B35"/>
    <w:rsid w:val="00977DB4"/>
    <w:rsid w:val="00980307"/>
    <w:rsid w:val="00980477"/>
    <w:rsid w:val="009805BE"/>
    <w:rsid w:val="009806D2"/>
    <w:rsid w:val="009806E2"/>
    <w:rsid w:val="0098073B"/>
    <w:rsid w:val="009807FF"/>
    <w:rsid w:val="00980A4E"/>
    <w:rsid w:val="00980BA9"/>
    <w:rsid w:val="00980F5E"/>
    <w:rsid w:val="00981218"/>
    <w:rsid w:val="00981252"/>
    <w:rsid w:val="00981489"/>
    <w:rsid w:val="009814E1"/>
    <w:rsid w:val="00981663"/>
    <w:rsid w:val="009817B1"/>
    <w:rsid w:val="009817C3"/>
    <w:rsid w:val="0098187E"/>
    <w:rsid w:val="00981C54"/>
    <w:rsid w:val="00981CD9"/>
    <w:rsid w:val="00981DC4"/>
    <w:rsid w:val="009821FA"/>
    <w:rsid w:val="00982363"/>
    <w:rsid w:val="009823BC"/>
    <w:rsid w:val="00982405"/>
    <w:rsid w:val="009826FA"/>
    <w:rsid w:val="0098299A"/>
    <w:rsid w:val="00982F72"/>
    <w:rsid w:val="0098328A"/>
    <w:rsid w:val="00983349"/>
    <w:rsid w:val="009833A4"/>
    <w:rsid w:val="0098357F"/>
    <w:rsid w:val="009836F3"/>
    <w:rsid w:val="00983736"/>
    <w:rsid w:val="00983857"/>
    <w:rsid w:val="00983A48"/>
    <w:rsid w:val="00983B6E"/>
    <w:rsid w:val="00983D15"/>
    <w:rsid w:val="00983DDA"/>
    <w:rsid w:val="0098431D"/>
    <w:rsid w:val="009843C1"/>
    <w:rsid w:val="009844DB"/>
    <w:rsid w:val="009845D2"/>
    <w:rsid w:val="009846A1"/>
    <w:rsid w:val="009846CB"/>
    <w:rsid w:val="00984809"/>
    <w:rsid w:val="009848F9"/>
    <w:rsid w:val="00984C3D"/>
    <w:rsid w:val="00984EFF"/>
    <w:rsid w:val="0098516E"/>
    <w:rsid w:val="00985253"/>
    <w:rsid w:val="009853B3"/>
    <w:rsid w:val="009854ED"/>
    <w:rsid w:val="009855AA"/>
    <w:rsid w:val="00985B75"/>
    <w:rsid w:val="00985DE7"/>
    <w:rsid w:val="00985EE3"/>
    <w:rsid w:val="00985F71"/>
    <w:rsid w:val="00986300"/>
    <w:rsid w:val="00986508"/>
    <w:rsid w:val="009866D9"/>
    <w:rsid w:val="009867BC"/>
    <w:rsid w:val="0098682F"/>
    <w:rsid w:val="00986963"/>
    <w:rsid w:val="00986C22"/>
    <w:rsid w:val="00986EAF"/>
    <w:rsid w:val="0098745F"/>
    <w:rsid w:val="00987493"/>
    <w:rsid w:val="00987771"/>
    <w:rsid w:val="009878C2"/>
    <w:rsid w:val="00987999"/>
    <w:rsid w:val="00987D24"/>
    <w:rsid w:val="00987D2D"/>
    <w:rsid w:val="00987F79"/>
    <w:rsid w:val="0099017B"/>
    <w:rsid w:val="009901C3"/>
    <w:rsid w:val="009904F2"/>
    <w:rsid w:val="00990630"/>
    <w:rsid w:val="00990885"/>
    <w:rsid w:val="00990908"/>
    <w:rsid w:val="0099093A"/>
    <w:rsid w:val="009909A8"/>
    <w:rsid w:val="009909F3"/>
    <w:rsid w:val="00990B27"/>
    <w:rsid w:val="00990B5A"/>
    <w:rsid w:val="00990BA8"/>
    <w:rsid w:val="00990F95"/>
    <w:rsid w:val="0099106C"/>
    <w:rsid w:val="00991365"/>
    <w:rsid w:val="00991761"/>
    <w:rsid w:val="00991EAF"/>
    <w:rsid w:val="00991ED2"/>
    <w:rsid w:val="0099216B"/>
    <w:rsid w:val="0099245F"/>
    <w:rsid w:val="009926E5"/>
    <w:rsid w:val="00992735"/>
    <w:rsid w:val="0099286C"/>
    <w:rsid w:val="009928C6"/>
    <w:rsid w:val="00992906"/>
    <w:rsid w:val="00992936"/>
    <w:rsid w:val="00992B69"/>
    <w:rsid w:val="00992B77"/>
    <w:rsid w:val="00992C8E"/>
    <w:rsid w:val="00992F01"/>
    <w:rsid w:val="009930DD"/>
    <w:rsid w:val="009930F0"/>
    <w:rsid w:val="00993174"/>
    <w:rsid w:val="009931E0"/>
    <w:rsid w:val="0099366F"/>
    <w:rsid w:val="0099375A"/>
    <w:rsid w:val="009937AE"/>
    <w:rsid w:val="009937B2"/>
    <w:rsid w:val="009937FF"/>
    <w:rsid w:val="00993A78"/>
    <w:rsid w:val="00993AC9"/>
    <w:rsid w:val="00993C26"/>
    <w:rsid w:val="00994015"/>
    <w:rsid w:val="00994431"/>
    <w:rsid w:val="0099476C"/>
    <w:rsid w:val="00994885"/>
    <w:rsid w:val="009949EA"/>
    <w:rsid w:val="00994AA5"/>
    <w:rsid w:val="00994C7E"/>
    <w:rsid w:val="00994CE4"/>
    <w:rsid w:val="00994CF1"/>
    <w:rsid w:val="00994DCA"/>
    <w:rsid w:val="00995027"/>
    <w:rsid w:val="00995072"/>
    <w:rsid w:val="0099576A"/>
    <w:rsid w:val="00995812"/>
    <w:rsid w:val="009958C7"/>
    <w:rsid w:val="009958DE"/>
    <w:rsid w:val="009958F7"/>
    <w:rsid w:val="00995958"/>
    <w:rsid w:val="00995DE3"/>
    <w:rsid w:val="009960D4"/>
    <w:rsid w:val="009960EC"/>
    <w:rsid w:val="00996211"/>
    <w:rsid w:val="009962C5"/>
    <w:rsid w:val="009963CD"/>
    <w:rsid w:val="00996537"/>
    <w:rsid w:val="00996A06"/>
    <w:rsid w:val="00996A74"/>
    <w:rsid w:val="00996B79"/>
    <w:rsid w:val="00996DC0"/>
    <w:rsid w:val="00996F5F"/>
    <w:rsid w:val="009970A3"/>
    <w:rsid w:val="009970DD"/>
    <w:rsid w:val="00997549"/>
    <w:rsid w:val="00997A8F"/>
    <w:rsid w:val="00997ABE"/>
    <w:rsid w:val="00997B36"/>
    <w:rsid w:val="00997D6C"/>
    <w:rsid w:val="00997F0E"/>
    <w:rsid w:val="009A0390"/>
    <w:rsid w:val="009A03E0"/>
    <w:rsid w:val="009A07A0"/>
    <w:rsid w:val="009A0802"/>
    <w:rsid w:val="009A0831"/>
    <w:rsid w:val="009A0B1F"/>
    <w:rsid w:val="009A0C9C"/>
    <w:rsid w:val="009A0DAA"/>
    <w:rsid w:val="009A0F71"/>
    <w:rsid w:val="009A0FBA"/>
    <w:rsid w:val="009A13EB"/>
    <w:rsid w:val="009A145E"/>
    <w:rsid w:val="009A153E"/>
    <w:rsid w:val="009A1591"/>
    <w:rsid w:val="009A1601"/>
    <w:rsid w:val="009A161F"/>
    <w:rsid w:val="009A1645"/>
    <w:rsid w:val="009A172F"/>
    <w:rsid w:val="009A1863"/>
    <w:rsid w:val="009A1C19"/>
    <w:rsid w:val="009A2033"/>
    <w:rsid w:val="009A2AC6"/>
    <w:rsid w:val="009A2AD5"/>
    <w:rsid w:val="009A2D5F"/>
    <w:rsid w:val="009A2EA8"/>
    <w:rsid w:val="009A2F9F"/>
    <w:rsid w:val="009A2FF4"/>
    <w:rsid w:val="009A2FF5"/>
    <w:rsid w:val="009A3131"/>
    <w:rsid w:val="009A3153"/>
    <w:rsid w:val="009A3265"/>
    <w:rsid w:val="009A32E5"/>
    <w:rsid w:val="009A3475"/>
    <w:rsid w:val="009A37DE"/>
    <w:rsid w:val="009A38F8"/>
    <w:rsid w:val="009A3B7E"/>
    <w:rsid w:val="009A3BB6"/>
    <w:rsid w:val="009A3D0E"/>
    <w:rsid w:val="009A3FC7"/>
    <w:rsid w:val="009A417A"/>
    <w:rsid w:val="009A41BF"/>
    <w:rsid w:val="009A42D8"/>
    <w:rsid w:val="009A4349"/>
    <w:rsid w:val="009A4363"/>
    <w:rsid w:val="009A45E0"/>
    <w:rsid w:val="009A462D"/>
    <w:rsid w:val="009A4750"/>
    <w:rsid w:val="009A4784"/>
    <w:rsid w:val="009A4D42"/>
    <w:rsid w:val="009A4EA7"/>
    <w:rsid w:val="009A4FAA"/>
    <w:rsid w:val="009A4FBF"/>
    <w:rsid w:val="009A51C0"/>
    <w:rsid w:val="009A5263"/>
    <w:rsid w:val="009A57D3"/>
    <w:rsid w:val="009A59D4"/>
    <w:rsid w:val="009A5BF3"/>
    <w:rsid w:val="009A5CA3"/>
    <w:rsid w:val="009A5CBA"/>
    <w:rsid w:val="009A5D3D"/>
    <w:rsid w:val="009A5D50"/>
    <w:rsid w:val="009A60F5"/>
    <w:rsid w:val="009A649F"/>
    <w:rsid w:val="009A69C5"/>
    <w:rsid w:val="009A69D2"/>
    <w:rsid w:val="009A6A25"/>
    <w:rsid w:val="009A6B94"/>
    <w:rsid w:val="009A6BAB"/>
    <w:rsid w:val="009A6BBA"/>
    <w:rsid w:val="009A6DAA"/>
    <w:rsid w:val="009A6EE4"/>
    <w:rsid w:val="009A7155"/>
    <w:rsid w:val="009A7417"/>
    <w:rsid w:val="009A7C44"/>
    <w:rsid w:val="009A7DD6"/>
    <w:rsid w:val="009A7EC7"/>
    <w:rsid w:val="009A7EE0"/>
    <w:rsid w:val="009A7F62"/>
    <w:rsid w:val="009B0251"/>
    <w:rsid w:val="009B0255"/>
    <w:rsid w:val="009B030E"/>
    <w:rsid w:val="009B04B3"/>
    <w:rsid w:val="009B09E5"/>
    <w:rsid w:val="009B0CC0"/>
    <w:rsid w:val="009B0D3C"/>
    <w:rsid w:val="009B0DB8"/>
    <w:rsid w:val="009B0F0F"/>
    <w:rsid w:val="009B0F54"/>
    <w:rsid w:val="009B110E"/>
    <w:rsid w:val="009B125B"/>
    <w:rsid w:val="009B1301"/>
    <w:rsid w:val="009B1460"/>
    <w:rsid w:val="009B147B"/>
    <w:rsid w:val="009B14A1"/>
    <w:rsid w:val="009B16C0"/>
    <w:rsid w:val="009B1F30"/>
    <w:rsid w:val="009B22FE"/>
    <w:rsid w:val="009B236F"/>
    <w:rsid w:val="009B2612"/>
    <w:rsid w:val="009B265B"/>
    <w:rsid w:val="009B26F0"/>
    <w:rsid w:val="009B2789"/>
    <w:rsid w:val="009B27B7"/>
    <w:rsid w:val="009B28D8"/>
    <w:rsid w:val="009B2B89"/>
    <w:rsid w:val="009B2F59"/>
    <w:rsid w:val="009B3539"/>
    <w:rsid w:val="009B371A"/>
    <w:rsid w:val="009B3A03"/>
    <w:rsid w:val="009B3AC2"/>
    <w:rsid w:val="009B3E19"/>
    <w:rsid w:val="009B3E2A"/>
    <w:rsid w:val="009B3E68"/>
    <w:rsid w:val="009B40AB"/>
    <w:rsid w:val="009B40CB"/>
    <w:rsid w:val="009B40E6"/>
    <w:rsid w:val="009B44F8"/>
    <w:rsid w:val="009B48CE"/>
    <w:rsid w:val="009B4B45"/>
    <w:rsid w:val="009B4DF4"/>
    <w:rsid w:val="009B50AC"/>
    <w:rsid w:val="009B50BD"/>
    <w:rsid w:val="009B50E3"/>
    <w:rsid w:val="009B50E8"/>
    <w:rsid w:val="009B5103"/>
    <w:rsid w:val="009B5197"/>
    <w:rsid w:val="009B5452"/>
    <w:rsid w:val="009B564E"/>
    <w:rsid w:val="009B56F7"/>
    <w:rsid w:val="009B5A88"/>
    <w:rsid w:val="009B5B8E"/>
    <w:rsid w:val="009B634A"/>
    <w:rsid w:val="009B63C9"/>
    <w:rsid w:val="009B6670"/>
    <w:rsid w:val="009B667C"/>
    <w:rsid w:val="009B6BAB"/>
    <w:rsid w:val="009B6CDD"/>
    <w:rsid w:val="009B6F15"/>
    <w:rsid w:val="009B6F68"/>
    <w:rsid w:val="009B7119"/>
    <w:rsid w:val="009B7473"/>
    <w:rsid w:val="009B773C"/>
    <w:rsid w:val="009B7766"/>
    <w:rsid w:val="009B7775"/>
    <w:rsid w:val="009B77AB"/>
    <w:rsid w:val="009B78FF"/>
    <w:rsid w:val="009B7E74"/>
    <w:rsid w:val="009B7E87"/>
    <w:rsid w:val="009B7EB8"/>
    <w:rsid w:val="009C0093"/>
    <w:rsid w:val="009C0131"/>
    <w:rsid w:val="009C0169"/>
    <w:rsid w:val="009C02A7"/>
    <w:rsid w:val="009C03D2"/>
    <w:rsid w:val="009C0688"/>
    <w:rsid w:val="009C07F3"/>
    <w:rsid w:val="009C085F"/>
    <w:rsid w:val="009C0B98"/>
    <w:rsid w:val="009C0BAB"/>
    <w:rsid w:val="009C0BCF"/>
    <w:rsid w:val="009C0C2C"/>
    <w:rsid w:val="009C0DE4"/>
    <w:rsid w:val="009C133F"/>
    <w:rsid w:val="009C1353"/>
    <w:rsid w:val="009C13C0"/>
    <w:rsid w:val="009C15F2"/>
    <w:rsid w:val="009C189F"/>
    <w:rsid w:val="009C1D82"/>
    <w:rsid w:val="009C1EE4"/>
    <w:rsid w:val="009C26DB"/>
    <w:rsid w:val="009C27EC"/>
    <w:rsid w:val="009C28D0"/>
    <w:rsid w:val="009C28D6"/>
    <w:rsid w:val="009C2C1A"/>
    <w:rsid w:val="009C2C75"/>
    <w:rsid w:val="009C2D44"/>
    <w:rsid w:val="009C302C"/>
    <w:rsid w:val="009C3065"/>
    <w:rsid w:val="009C30A2"/>
    <w:rsid w:val="009C333B"/>
    <w:rsid w:val="009C33E3"/>
    <w:rsid w:val="009C3421"/>
    <w:rsid w:val="009C36D2"/>
    <w:rsid w:val="009C39DB"/>
    <w:rsid w:val="009C3BDC"/>
    <w:rsid w:val="009C3DE6"/>
    <w:rsid w:val="009C3E0D"/>
    <w:rsid w:val="009C3E77"/>
    <w:rsid w:val="009C3EA7"/>
    <w:rsid w:val="009C3F5F"/>
    <w:rsid w:val="009C403E"/>
    <w:rsid w:val="009C41C2"/>
    <w:rsid w:val="009C43EA"/>
    <w:rsid w:val="009C4492"/>
    <w:rsid w:val="009C4520"/>
    <w:rsid w:val="009C468C"/>
    <w:rsid w:val="009C477A"/>
    <w:rsid w:val="009C4813"/>
    <w:rsid w:val="009C48FF"/>
    <w:rsid w:val="009C4B16"/>
    <w:rsid w:val="009C4B27"/>
    <w:rsid w:val="009C4B43"/>
    <w:rsid w:val="009C4F91"/>
    <w:rsid w:val="009C527B"/>
    <w:rsid w:val="009C5478"/>
    <w:rsid w:val="009C54F3"/>
    <w:rsid w:val="009C5768"/>
    <w:rsid w:val="009C5781"/>
    <w:rsid w:val="009C58DF"/>
    <w:rsid w:val="009C5A57"/>
    <w:rsid w:val="009C5CAC"/>
    <w:rsid w:val="009C5E3C"/>
    <w:rsid w:val="009C6247"/>
    <w:rsid w:val="009C62FB"/>
    <w:rsid w:val="009C65EA"/>
    <w:rsid w:val="009C6693"/>
    <w:rsid w:val="009C6F0A"/>
    <w:rsid w:val="009C6F84"/>
    <w:rsid w:val="009C746B"/>
    <w:rsid w:val="009C74D2"/>
    <w:rsid w:val="009C7604"/>
    <w:rsid w:val="009C7633"/>
    <w:rsid w:val="009C76E7"/>
    <w:rsid w:val="009C793A"/>
    <w:rsid w:val="009C7C32"/>
    <w:rsid w:val="009C7F57"/>
    <w:rsid w:val="009D007C"/>
    <w:rsid w:val="009D046D"/>
    <w:rsid w:val="009D0661"/>
    <w:rsid w:val="009D096D"/>
    <w:rsid w:val="009D0B72"/>
    <w:rsid w:val="009D0E9A"/>
    <w:rsid w:val="009D1023"/>
    <w:rsid w:val="009D10BF"/>
    <w:rsid w:val="009D112A"/>
    <w:rsid w:val="009D1214"/>
    <w:rsid w:val="009D176E"/>
    <w:rsid w:val="009D1771"/>
    <w:rsid w:val="009D1871"/>
    <w:rsid w:val="009D1AC0"/>
    <w:rsid w:val="009D1E31"/>
    <w:rsid w:val="009D1EB0"/>
    <w:rsid w:val="009D23C9"/>
    <w:rsid w:val="009D242B"/>
    <w:rsid w:val="009D2518"/>
    <w:rsid w:val="009D271E"/>
    <w:rsid w:val="009D2819"/>
    <w:rsid w:val="009D2C6F"/>
    <w:rsid w:val="009D2CB2"/>
    <w:rsid w:val="009D2D0F"/>
    <w:rsid w:val="009D2D23"/>
    <w:rsid w:val="009D2FAD"/>
    <w:rsid w:val="009D2FC0"/>
    <w:rsid w:val="009D3051"/>
    <w:rsid w:val="009D3117"/>
    <w:rsid w:val="009D31D3"/>
    <w:rsid w:val="009D37E4"/>
    <w:rsid w:val="009D39BE"/>
    <w:rsid w:val="009D3B0C"/>
    <w:rsid w:val="009D3F0D"/>
    <w:rsid w:val="009D406D"/>
    <w:rsid w:val="009D43F6"/>
    <w:rsid w:val="009D4420"/>
    <w:rsid w:val="009D453C"/>
    <w:rsid w:val="009D454F"/>
    <w:rsid w:val="009D483A"/>
    <w:rsid w:val="009D4968"/>
    <w:rsid w:val="009D4B81"/>
    <w:rsid w:val="009D4CA4"/>
    <w:rsid w:val="009D4EBD"/>
    <w:rsid w:val="009D4EC5"/>
    <w:rsid w:val="009D4ECA"/>
    <w:rsid w:val="009D4F24"/>
    <w:rsid w:val="009D4FE9"/>
    <w:rsid w:val="009D4FF0"/>
    <w:rsid w:val="009D50A9"/>
    <w:rsid w:val="009D50BC"/>
    <w:rsid w:val="009D50D2"/>
    <w:rsid w:val="009D5200"/>
    <w:rsid w:val="009D536E"/>
    <w:rsid w:val="009D574B"/>
    <w:rsid w:val="009D5BE3"/>
    <w:rsid w:val="009D5E2B"/>
    <w:rsid w:val="009D5FA1"/>
    <w:rsid w:val="009D6006"/>
    <w:rsid w:val="009D6024"/>
    <w:rsid w:val="009D61A4"/>
    <w:rsid w:val="009D6494"/>
    <w:rsid w:val="009D64AB"/>
    <w:rsid w:val="009D65BA"/>
    <w:rsid w:val="009D665B"/>
    <w:rsid w:val="009D682E"/>
    <w:rsid w:val="009D6897"/>
    <w:rsid w:val="009D6915"/>
    <w:rsid w:val="009D69B5"/>
    <w:rsid w:val="009D6BE6"/>
    <w:rsid w:val="009D6EB3"/>
    <w:rsid w:val="009D703C"/>
    <w:rsid w:val="009D70E0"/>
    <w:rsid w:val="009D718F"/>
    <w:rsid w:val="009D7200"/>
    <w:rsid w:val="009D759C"/>
    <w:rsid w:val="009D7987"/>
    <w:rsid w:val="009D79EF"/>
    <w:rsid w:val="009D7B23"/>
    <w:rsid w:val="009D7B62"/>
    <w:rsid w:val="009D7B89"/>
    <w:rsid w:val="009D7C12"/>
    <w:rsid w:val="009D7C86"/>
    <w:rsid w:val="009D7E56"/>
    <w:rsid w:val="009D7F86"/>
    <w:rsid w:val="009DEDF2"/>
    <w:rsid w:val="009E0035"/>
    <w:rsid w:val="009E0047"/>
    <w:rsid w:val="009E00BC"/>
    <w:rsid w:val="009E023C"/>
    <w:rsid w:val="009E03B2"/>
    <w:rsid w:val="009E044A"/>
    <w:rsid w:val="009E068F"/>
    <w:rsid w:val="009E08D8"/>
    <w:rsid w:val="009E0957"/>
    <w:rsid w:val="009E0B69"/>
    <w:rsid w:val="009E0D0F"/>
    <w:rsid w:val="009E0E55"/>
    <w:rsid w:val="009E0E9A"/>
    <w:rsid w:val="009E0F10"/>
    <w:rsid w:val="009E100D"/>
    <w:rsid w:val="009E11DD"/>
    <w:rsid w:val="009E1377"/>
    <w:rsid w:val="009E143A"/>
    <w:rsid w:val="009E14E0"/>
    <w:rsid w:val="009E1513"/>
    <w:rsid w:val="009E1523"/>
    <w:rsid w:val="009E1BB6"/>
    <w:rsid w:val="009E1DA7"/>
    <w:rsid w:val="009E1DE9"/>
    <w:rsid w:val="009E1EBD"/>
    <w:rsid w:val="009E23B3"/>
    <w:rsid w:val="009E2678"/>
    <w:rsid w:val="009E26AF"/>
    <w:rsid w:val="009E27A7"/>
    <w:rsid w:val="009E27D1"/>
    <w:rsid w:val="009E283D"/>
    <w:rsid w:val="009E2BD7"/>
    <w:rsid w:val="009E2C07"/>
    <w:rsid w:val="009E2C8D"/>
    <w:rsid w:val="009E2CB9"/>
    <w:rsid w:val="009E2D26"/>
    <w:rsid w:val="009E2D67"/>
    <w:rsid w:val="009E3364"/>
    <w:rsid w:val="009E34AB"/>
    <w:rsid w:val="009E35DB"/>
    <w:rsid w:val="009E3605"/>
    <w:rsid w:val="009E3759"/>
    <w:rsid w:val="009E376C"/>
    <w:rsid w:val="009E3B14"/>
    <w:rsid w:val="009E3B48"/>
    <w:rsid w:val="009E4131"/>
    <w:rsid w:val="009E45C8"/>
    <w:rsid w:val="009E45EC"/>
    <w:rsid w:val="009E4699"/>
    <w:rsid w:val="009E47A3"/>
    <w:rsid w:val="009E47D0"/>
    <w:rsid w:val="009E4961"/>
    <w:rsid w:val="009E4A9D"/>
    <w:rsid w:val="009E4AA3"/>
    <w:rsid w:val="009E4CA2"/>
    <w:rsid w:val="009E5022"/>
    <w:rsid w:val="009E503F"/>
    <w:rsid w:val="009E52EB"/>
    <w:rsid w:val="009E5355"/>
    <w:rsid w:val="009E5466"/>
    <w:rsid w:val="009E54DE"/>
    <w:rsid w:val="009E5598"/>
    <w:rsid w:val="009E5892"/>
    <w:rsid w:val="009E5A33"/>
    <w:rsid w:val="009E5A3D"/>
    <w:rsid w:val="009E5AB6"/>
    <w:rsid w:val="009E5D77"/>
    <w:rsid w:val="009E5FC2"/>
    <w:rsid w:val="009E60BB"/>
    <w:rsid w:val="009E62C5"/>
    <w:rsid w:val="009E6372"/>
    <w:rsid w:val="009E66BC"/>
    <w:rsid w:val="009E68B4"/>
    <w:rsid w:val="009E6C59"/>
    <w:rsid w:val="009E6E45"/>
    <w:rsid w:val="009E6F45"/>
    <w:rsid w:val="009E700A"/>
    <w:rsid w:val="009E7056"/>
    <w:rsid w:val="009E75E6"/>
    <w:rsid w:val="009E76C4"/>
    <w:rsid w:val="009E786B"/>
    <w:rsid w:val="009E79A2"/>
    <w:rsid w:val="009E7AE2"/>
    <w:rsid w:val="009E7B38"/>
    <w:rsid w:val="009E7E38"/>
    <w:rsid w:val="009F0079"/>
    <w:rsid w:val="009F01CA"/>
    <w:rsid w:val="009F08B3"/>
    <w:rsid w:val="009F08F3"/>
    <w:rsid w:val="009F09A0"/>
    <w:rsid w:val="009F0AB9"/>
    <w:rsid w:val="009F0AFE"/>
    <w:rsid w:val="009F0FD8"/>
    <w:rsid w:val="009F152E"/>
    <w:rsid w:val="009F179F"/>
    <w:rsid w:val="009F17E9"/>
    <w:rsid w:val="009F1F88"/>
    <w:rsid w:val="009F1FC6"/>
    <w:rsid w:val="009F210E"/>
    <w:rsid w:val="009F22E7"/>
    <w:rsid w:val="009F24D9"/>
    <w:rsid w:val="009F24E8"/>
    <w:rsid w:val="009F2523"/>
    <w:rsid w:val="009F2737"/>
    <w:rsid w:val="009F28A8"/>
    <w:rsid w:val="009F295C"/>
    <w:rsid w:val="009F2AA8"/>
    <w:rsid w:val="009F2BD7"/>
    <w:rsid w:val="009F2CDB"/>
    <w:rsid w:val="009F306E"/>
    <w:rsid w:val="009F3277"/>
    <w:rsid w:val="009F3359"/>
    <w:rsid w:val="009F33AA"/>
    <w:rsid w:val="009F3443"/>
    <w:rsid w:val="009F344F"/>
    <w:rsid w:val="009F35ED"/>
    <w:rsid w:val="009F360E"/>
    <w:rsid w:val="009F39E8"/>
    <w:rsid w:val="009F3B5F"/>
    <w:rsid w:val="009F3C4B"/>
    <w:rsid w:val="009F3E7A"/>
    <w:rsid w:val="009F4403"/>
    <w:rsid w:val="009F45D0"/>
    <w:rsid w:val="009F471C"/>
    <w:rsid w:val="009F47CE"/>
    <w:rsid w:val="009F49C0"/>
    <w:rsid w:val="009F49EF"/>
    <w:rsid w:val="009F4DF8"/>
    <w:rsid w:val="009F502B"/>
    <w:rsid w:val="009F58FF"/>
    <w:rsid w:val="009F60D6"/>
    <w:rsid w:val="009F61C6"/>
    <w:rsid w:val="009F6236"/>
    <w:rsid w:val="009F6683"/>
    <w:rsid w:val="009F6756"/>
    <w:rsid w:val="009F68F8"/>
    <w:rsid w:val="009F6C33"/>
    <w:rsid w:val="009F6C8A"/>
    <w:rsid w:val="009F71F0"/>
    <w:rsid w:val="009F7611"/>
    <w:rsid w:val="009F788C"/>
    <w:rsid w:val="009F78EA"/>
    <w:rsid w:val="009F7B38"/>
    <w:rsid w:val="009F7BF5"/>
    <w:rsid w:val="009F7C16"/>
    <w:rsid w:val="009F7DA2"/>
    <w:rsid w:val="00A00110"/>
    <w:rsid w:val="00A00302"/>
    <w:rsid w:val="00A005D0"/>
    <w:rsid w:val="00A00767"/>
    <w:rsid w:val="00A00879"/>
    <w:rsid w:val="00A009B2"/>
    <w:rsid w:val="00A00D08"/>
    <w:rsid w:val="00A00F48"/>
    <w:rsid w:val="00A0161E"/>
    <w:rsid w:val="00A01BDE"/>
    <w:rsid w:val="00A01DEB"/>
    <w:rsid w:val="00A01F01"/>
    <w:rsid w:val="00A02188"/>
    <w:rsid w:val="00A0218E"/>
    <w:rsid w:val="00A0219F"/>
    <w:rsid w:val="00A025F1"/>
    <w:rsid w:val="00A02612"/>
    <w:rsid w:val="00A026B7"/>
    <w:rsid w:val="00A0271A"/>
    <w:rsid w:val="00A02A86"/>
    <w:rsid w:val="00A02D12"/>
    <w:rsid w:val="00A031D8"/>
    <w:rsid w:val="00A03264"/>
    <w:rsid w:val="00A03396"/>
    <w:rsid w:val="00A03613"/>
    <w:rsid w:val="00A036E7"/>
    <w:rsid w:val="00A03779"/>
    <w:rsid w:val="00A038F3"/>
    <w:rsid w:val="00A03A8F"/>
    <w:rsid w:val="00A03ED0"/>
    <w:rsid w:val="00A0402B"/>
    <w:rsid w:val="00A04088"/>
    <w:rsid w:val="00A041B2"/>
    <w:rsid w:val="00A0430E"/>
    <w:rsid w:val="00A0445B"/>
    <w:rsid w:val="00A046F4"/>
    <w:rsid w:val="00A048A8"/>
    <w:rsid w:val="00A0490C"/>
    <w:rsid w:val="00A049E8"/>
    <w:rsid w:val="00A04ADC"/>
    <w:rsid w:val="00A04B9D"/>
    <w:rsid w:val="00A04C01"/>
    <w:rsid w:val="00A04C23"/>
    <w:rsid w:val="00A04F49"/>
    <w:rsid w:val="00A051BD"/>
    <w:rsid w:val="00A053C5"/>
    <w:rsid w:val="00A058D9"/>
    <w:rsid w:val="00A05BB1"/>
    <w:rsid w:val="00A05F61"/>
    <w:rsid w:val="00A06107"/>
    <w:rsid w:val="00A0616D"/>
    <w:rsid w:val="00A0642D"/>
    <w:rsid w:val="00A0650E"/>
    <w:rsid w:val="00A06A17"/>
    <w:rsid w:val="00A06A97"/>
    <w:rsid w:val="00A06B4B"/>
    <w:rsid w:val="00A06C22"/>
    <w:rsid w:val="00A06CF5"/>
    <w:rsid w:val="00A0721B"/>
    <w:rsid w:val="00A073C5"/>
    <w:rsid w:val="00A075B4"/>
    <w:rsid w:val="00A076A0"/>
    <w:rsid w:val="00A078C9"/>
    <w:rsid w:val="00A07970"/>
    <w:rsid w:val="00A07B3E"/>
    <w:rsid w:val="00A07EEC"/>
    <w:rsid w:val="00A07EF8"/>
    <w:rsid w:val="00A07F29"/>
    <w:rsid w:val="00A1003D"/>
    <w:rsid w:val="00A100AF"/>
    <w:rsid w:val="00A1017A"/>
    <w:rsid w:val="00A1052A"/>
    <w:rsid w:val="00A10A6F"/>
    <w:rsid w:val="00A10AAC"/>
    <w:rsid w:val="00A10ABD"/>
    <w:rsid w:val="00A10B56"/>
    <w:rsid w:val="00A10CAA"/>
    <w:rsid w:val="00A10D0E"/>
    <w:rsid w:val="00A10D39"/>
    <w:rsid w:val="00A10E3D"/>
    <w:rsid w:val="00A115CB"/>
    <w:rsid w:val="00A119C1"/>
    <w:rsid w:val="00A11AC8"/>
    <w:rsid w:val="00A11D07"/>
    <w:rsid w:val="00A11D3A"/>
    <w:rsid w:val="00A1224F"/>
    <w:rsid w:val="00A12802"/>
    <w:rsid w:val="00A128B5"/>
    <w:rsid w:val="00A12A07"/>
    <w:rsid w:val="00A12A7A"/>
    <w:rsid w:val="00A12AF5"/>
    <w:rsid w:val="00A12B3F"/>
    <w:rsid w:val="00A12F6E"/>
    <w:rsid w:val="00A12FE5"/>
    <w:rsid w:val="00A130EB"/>
    <w:rsid w:val="00A13189"/>
    <w:rsid w:val="00A131C6"/>
    <w:rsid w:val="00A134E9"/>
    <w:rsid w:val="00A134EB"/>
    <w:rsid w:val="00A1356F"/>
    <w:rsid w:val="00A13581"/>
    <w:rsid w:val="00A135EF"/>
    <w:rsid w:val="00A136D6"/>
    <w:rsid w:val="00A13ABF"/>
    <w:rsid w:val="00A13B0A"/>
    <w:rsid w:val="00A13C1F"/>
    <w:rsid w:val="00A13C24"/>
    <w:rsid w:val="00A13D47"/>
    <w:rsid w:val="00A13E54"/>
    <w:rsid w:val="00A140E6"/>
    <w:rsid w:val="00A14363"/>
    <w:rsid w:val="00A14543"/>
    <w:rsid w:val="00A14B66"/>
    <w:rsid w:val="00A14CD1"/>
    <w:rsid w:val="00A14CE2"/>
    <w:rsid w:val="00A14D94"/>
    <w:rsid w:val="00A14DB5"/>
    <w:rsid w:val="00A14E36"/>
    <w:rsid w:val="00A14F9E"/>
    <w:rsid w:val="00A151BE"/>
    <w:rsid w:val="00A1520E"/>
    <w:rsid w:val="00A1524D"/>
    <w:rsid w:val="00A152A9"/>
    <w:rsid w:val="00A155A3"/>
    <w:rsid w:val="00A1560C"/>
    <w:rsid w:val="00A157F6"/>
    <w:rsid w:val="00A15A68"/>
    <w:rsid w:val="00A15B64"/>
    <w:rsid w:val="00A15B93"/>
    <w:rsid w:val="00A15CB7"/>
    <w:rsid w:val="00A15EBD"/>
    <w:rsid w:val="00A15EDA"/>
    <w:rsid w:val="00A16073"/>
    <w:rsid w:val="00A16086"/>
    <w:rsid w:val="00A163D8"/>
    <w:rsid w:val="00A16453"/>
    <w:rsid w:val="00A166DD"/>
    <w:rsid w:val="00A168AD"/>
    <w:rsid w:val="00A169F5"/>
    <w:rsid w:val="00A16A61"/>
    <w:rsid w:val="00A16AC6"/>
    <w:rsid w:val="00A16DCE"/>
    <w:rsid w:val="00A17303"/>
    <w:rsid w:val="00A17BDC"/>
    <w:rsid w:val="00A17DBF"/>
    <w:rsid w:val="00A17E76"/>
    <w:rsid w:val="00A17F4E"/>
    <w:rsid w:val="00A17F63"/>
    <w:rsid w:val="00A2049C"/>
    <w:rsid w:val="00A20641"/>
    <w:rsid w:val="00A20851"/>
    <w:rsid w:val="00A2094E"/>
    <w:rsid w:val="00A209FA"/>
    <w:rsid w:val="00A20B7B"/>
    <w:rsid w:val="00A2108A"/>
    <w:rsid w:val="00A211FB"/>
    <w:rsid w:val="00A2137A"/>
    <w:rsid w:val="00A21448"/>
    <w:rsid w:val="00A2158F"/>
    <w:rsid w:val="00A2159B"/>
    <w:rsid w:val="00A2159F"/>
    <w:rsid w:val="00A215FA"/>
    <w:rsid w:val="00A2193B"/>
    <w:rsid w:val="00A219F9"/>
    <w:rsid w:val="00A21A4F"/>
    <w:rsid w:val="00A21E75"/>
    <w:rsid w:val="00A22140"/>
    <w:rsid w:val="00A22208"/>
    <w:rsid w:val="00A22335"/>
    <w:rsid w:val="00A22737"/>
    <w:rsid w:val="00A22901"/>
    <w:rsid w:val="00A22B20"/>
    <w:rsid w:val="00A23369"/>
    <w:rsid w:val="00A2351A"/>
    <w:rsid w:val="00A23569"/>
    <w:rsid w:val="00A2382C"/>
    <w:rsid w:val="00A23894"/>
    <w:rsid w:val="00A23BE7"/>
    <w:rsid w:val="00A23F4F"/>
    <w:rsid w:val="00A240EA"/>
    <w:rsid w:val="00A24206"/>
    <w:rsid w:val="00A244BE"/>
    <w:rsid w:val="00A24669"/>
    <w:rsid w:val="00A24ABB"/>
    <w:rsid w:val="00A24AF9"/>
    <w:rsid w:val="00A24BE3"/>
    <w:rsid w:val="00A24C97"/>
    <w:rsid w:val="00A24CA0"/>
    <w:rsid w:val="00A24DCD"/>
    <w:rsid w:val="00A24F78"/>
    <w:rsid w:val="00A250FF"/>
    <w:rsid w:val="00A25155"/>
    <w:rsid w:val="00A25188"/>
    <w:rsid w:val="00A2519D"/>
    <w:rsid w:val="00A25206"/>
    <w:rsid w:val="00A25381"/>
    <w:rsid w:val="00A253B4"/>
    <w:rsid w:val="00A255DD"/>
    <w:rsid w:val="00A25A0C"/>
    <w:rsid w:val="00A25B78"/>
    <w:rsid w:val="00A25C43"/>
    <w:rsid w:val="00A25D4C"/>
    <w:rsid w:val="00A2603D"/>
    <w:rsid w:val="00A264A9"/>
    <w:rsid w:val="00A26521"/>
    <w:rsid w:val="00A26552"/>
    <w:rsid w:val="00A26727"/>
    <w:rsid w:val="00A26763"/>
    <w:rsid w:val="00A26783"/>
    <w:rsid w:val="00A2690F"/>
    <w:rsid w:val="00A26928"/>
    <w:rsid w:val="00A2694E"/>
    <w:rsid w:val="00A26956"/>
    <w:rsid w:val="00A26A54"/>
    <w:rsid w:val="00A26B79"/>
    <w:rsid w:val="00A26C69"/>
    <w:rsid w:val="00A26D01"/>
    <w:rsid w:val="00A26DBC"/>
    <w:rsid w:val="00A26DCF"/>
    <w:rsid w:val="00A270E0"/>
    <w:rsid w:val="00A271B8"/>
    <w:rsid w:val="00A27785"/>
    <w:rsid w:val="00A27B15"/>
    <w:rsid w:val="00A27E35"/>
    <w:rsid w:val="00A27F31"/>
    <w:rsid w:val="00A27F7C"/>
    <w:rsid w:val="00A30017"/>
    <w:rsid w:val="00A300E0"/>
    <w:rsid w:val="00A30187"/>
    <w:rsid w:val="00A302AD"/>
    <w:rsid w:val="00A3073D"/>
    <w:rsid w:val="00A307FD"/>
    <w:rsid w:val="00A30886"/>
    <w:rsid w:val="00A30947"/>
    <w:rsid w:val="00A30ABD"/>
    <w:rsid w:val="00A30EF7"/>
    <w:rsid w:val="00A30F5A"/>
    <w:rsid w:val="00A31097"/>
    <w:rsid w:val="00A312AB"/>
    <w:rsid w:val="00A313BD"/>
    <w:rsid w:val="00A317E4"/>
    <w:rsid w:val="00A31C43"/>
    <w:rsid w:val="00A320FC"/>
    <w:rsid w:val="00A32156"/>
    <w:rsid w:val="00A3259D"/>
    <w:rsid w:val="00A32915"/>
    <w:rsid w:val="00A32AA1"/>
    <w:rsid w:val="00A33113"/>
    <w:rsid w:val="00A331C8"/>
    <w:rsid w:val="00A336D2"/>
    <w:rsid w:val="00A33772"/>
    <w:rsid w:val="00A33D39"/>
    <w:rsid w:val="00A33D77"/>
    <w:rsid w:val="00A33DC5"/>
    <w:rsid w:val="00A341CD"/>
    <w:rsid w:val="00A34216"/>
    <w:rsid w:val="00A3421D"/>
    <w:rsid w:val="00A3448A"/>
    <w:rsid w:val="00A34751"/>
    <w:rsid w:val="00A349D3"/>
    <w:rsid w:val="00A34A41"/>
    <w:rsid w:val="00A34A5D"/>
    <w:rsid w:val="00A34B46"/>
    <w:rsid w:val="00A34E9C"/>
    <w:rsid w:val="00A34EB9"/>
    <w:rsid w:val="00A34F3E"/>
    <w:rsid w:val="00A34F61"/>
    <w:rsid w:val="00A34F6A"/>
    <w:rsid w:val="00A34F99"/>
    <w:rsid w:val="00A351B5"/>
    <w:rsid w:val="00A3520B"/>
    <w:rsid w:val="00A35235"/>
    <w:rsid w:val="00A352EB"/>
    <w:rsid w:val="00A35462"/>
    <w:rsid w:val="00A355C5"/>
    <w:rsid w:val="00A359E4"/>
    <w:rsid w:val="00A35A9C"/>
    <w:rsid w:val="00A35B31"/>
    <w:rsid w:val="00A361C8"/>
    <w:rsid w:val="00A36297"/>
    <w:rsid w:val="00A362D9"/>
    <w:rsid w:val="00A36368"/>
    <w:rsid w:val="00A3638F"/>
    <w:rsid w:val="00A3685D"/>
    <w:rsid w:val="00A36A7B"/>
    <w:rsid w:val="00A36D49"/>
    <w:rsid w:val="00A36D7F"/>
    <w:rsid w:val="00A36DD6"/>
    <w:rsid w:val="00A36DE3"/>
    <w:rsid w:val="00A36E5A"/>
    <w:rsid w:val="00A36FC5"/>
    <w:rsid w:val="00A371E7"/>
    <w:rsid w:val="00A373AA"/>
    <w:rsid w:val="00A373D3"/>
    <w:rsid w:val="00A376FA"/>
    <w:rsid w:val="00A37C46"/>
    <w:rsid w:val="00A37DBB"/>
    <w:rsid w:val="00A37EE7"/>
    <w:rsid w:val="00A37FE2"/>
    <w:rsid w:val="00A400F8"/>
    <w:rsid w:val="00A4028A"/>
    <w:rsid w:val="00A4031D"/>
    <w:rsid w:val="00A40C90"/>
    <w:rsid w:val="00A40CB1"/>
    <w:rsid w:val="00A40CB3"/>
    <w:rsid w:val="00A40D37"/>
    <w:rsid w:val="00A40DEA"/>
    <w:rsid w:val="00A41270"/>
    <w:rsid w:val="00A413AC"/>
    <w:rsid w:val="00A4173D"/>
    <w:rsid w:val="00A4187F"/>
    <w:rsid w:val="00A4190B"/>
    <w:rsid w:val="00A419AC"/>
    <w:rsid w:val="00A419CF"/>
    <w:rsid w:val="00A41E09"/>
    <w:rsid w:val="00A41E2B"/>
    <w:rsid w:val="00A41FC6"/>
    <w:rsid w:val="00A4248E"/>
    <w:rsid w:val="00A425E2"/>
    <w:rsid w:val="00A425FB"/>
    <w:rsid w:val="00A42718"/>
    <w:rsid w:val="00A42A36"/>
    <w:rsid w:val="00A42B6C"/>
    <w:rsid w:val="00A42D4E"/>
    <w:rsid w:val="00A42E8D"/>
    <w:rsid w:val="00A42F7E"/>
    <w:rsid w:val="00A42FB2"/>
    <w:rsid w:val="00A434C1"/>
    <w:rsid w:val="00A435AF"/>
    <w:rsid w:val="00A43609"/>
    <w:rsid w:val="00A43611"/>
    <w:rsid w:val="00A43668"/>
    <w:rsid w:val="00A438AF"/>
    <w:rsid w:val="00A439B0"/>
    <w:rsid w:val="00A43A13"/>
    <w:rsid w:val="00A43C60"/>
    <w:rsid w:val="00A43CB3"/>
    <w:rsid w:val="00A44143"/>
    <w:rsid w:val="00A44154"/>
    <w:rsid w:val="00A44158"/>
    <w:rsid w:val="00A44424"/>
    <w:rsid w:val="00A4449F"/>
    <w:rsid w:val="00A4468D"/>
    <w:rsid w:val="00A4494E"/>
    <w:rsid w:val="00A44B78"/>
    <w:rsid w:val="00A44BAB"/>
    <w:rsid w:val="00A44EF8"/>
    <w:rsid w:val="00A45090"/>
    <w:rsid w:val="00A453A3"/>
    <w:rsid w:val="00A457F8"/>
    <w:rsid w:val="00A45898"/>
    <w:rsid w:val="00A45B74"/>
    <w:rsid w:val="00A45DF9"/>
    <w:rsid w:val="00A45E8A"/>
    <w:rsid w:val="00A46374"/>
    <w:rsid w:val="00A46658"/>
    <w:rsid w:val="00A466F9"/>
    <w:rsid w:val="00A4686D"/>
    <w:rsid w:val="00A468DE"/>
    <w:rsid w:val="00A46992"/>
    <w:rsid w:val="00A469DB"/>
    <w:rsid w:val="00A46A1A"/>
    <w:rsid w:val="00A46F37"/>
    <w:rsid w:val="00A471A9"/>
    <w:rsid w:val="00A471DB"/>
    <w:rsid w:val="00A47388"/>
    <w:rsid w:val="00A473E0"/>
    <w:rsid w:val="00A476E6"/>
    <w:rsid w:val="00A478D1"/>
    <w:rsid w:val="00A47917"/>
    <w:rsid w:val="00A47AE2"/>
    <w:rsid w:val="00A47CC2"/>
    <w:rsid w:val="00A47D4E"/>
    <w:rsid w:val="00A47DEF"/>
    <w:rsid w:val="00A50245"/>
    <w:rsid w:val="00A50265"/>
    <w:rsid w:val="00A50A6D"/>
    <w:rsid w:val="00A514DB"/>
    <w:rsid w:val="00A5163A"/>
    <w:rsid w:val="00A51A7A"/>
    <w:rsid w:val="00A51BFF"/>
    <w:rsid w:val="00A51D6C"/>
    <w:rsid w:val="00A51DDD"/>
    <w:rsid w:val="00A520BE"/>
    <w:rsid w:val="00A52181"/>
    <w:rsid w:val="00A521BC"/>
    <w:rsid w:val="00A5222F"/>
    <w:rsid w:val="00A5242F"/>
    <w:rsid w:val="00A52509"/>
    <w:rsid w:val="00A52669"/>
    <w:rsid w:val="00A52752"/>
    <w:rsid w:val="00A5293B"/>
    <w:rsid w:val="00A529DE"/>
    <w:rsid w:val="00A52AAE"/>
    <w:rsid w:val="00A52AF3"/>
    <w:rsid w:val="00A52C1A"/>
    <w:rsid w:val="00A52E1D"/>
    <w:rsid w:val="00A52FAD"/>
    <w:rsid w:val="00A5320E"/>
    <w:rsid w:val="00A5329F"/>
    <w:rsid w:val="00A532AA"/>
    <w:rsid w:val="00A532E1"/>
    <w:rsid w:val="00A5335D"/>
    <w:rsid w:val="00A533F7"/>
    <w:rsid w:val="00A5357E"/>
    <w:rsid w:val="00A539A5"/>
    <w:rsid w:val="00A53C5D"/>
    <w:rsid w:val="00A53DC2"/>
    <w:rsid w:val="00A53FB5"/>
    <w:rsid w:val="00A5420F"/>
    <w:rsid w:val="00A543C2"/>
    <w:rsid w:val="00A5470A"/>
    <w:rsid w:val="00A54753"/>
    <w:rsid w:val="00A5488E"/>
    <w:rsid w:val="00A549EF"/>
    <w:rsid w:val="00A54AD1"/>
    <w:rsid w:val="00A54C4B"/>
    <w:rsid w:val="00A54D74"/>
    <w:rsid w:val="00A54E28"/>
    <w:rsid w:val="00A5508F"/>
    <w:rsid w:val="00A551A1"/>
    <w:rsid w:val="00A551FB"/>
    <w:rsid w:val="00A555DF"/>
    <w:rsid w:val="00A55804"/>
    <w:rsid w:val="00A5582B"/>
    <w:rsid w:val="00A55929"/>
    <w:rsid w:val="00A559BA"/>
    <w:rsid w:val="00A559D8"/>
    <w:rsid w:val="00A55CA1"/>
    <w:rsid w:val="00A56015"/>
    <w:rsid w:val="00A5603B"/>
    <w:rsid w:val="00A560B1"/>
    <w:rsid w:val="00A56169"/>
    <w:rsid w:val="00A565FE"/>
    <w:rsid w:val="00A566AE"/>
    <w:rsid w:val="00A56810"/>
    <w:rsid w:val="00A568D0"/>
    <w:rsid w:val="00A569C6"/>
    <w:rsid w:val="00A56EEE"/>
    <w:rsid w:val="00A56F4C"/>
    <w:rsid w:val="00A5709D"/>
    <w:rsid w:val="00A57435"/>
    <w:rsid w:val="00A57801"/>
    <w:rsid w:val="00A57921"/>
    <w:rsid w:val="00A57968"/>
    <w:rsid w:val="00A600C8"/>
    <w:rsid w:val="00A60148"/>
    <w:rsid w:val="00A601C6"/>
    <w:rsid w:val="00A6097A"/>
    <w:rsid w:val="00A60AAD"/>
    <w:rsid w:val="00A60DB8"/>
    <w:rsid w:val="00A60E5B"/>
    <w:rsid w:val="00A60F1D"/>
    <w:rsid w:val="00A60F49"/>
    <w:rsid w:val="00A61245"/>
    <w:rsid w:val="00A612C8"/>
    <w:rsid w:val="00A61444"/>
    <w:rsid w:val="00A61499"/>
    <w:rsid w:val="00A6183D"/>
    <w:rsid w:val="00A6189E"/>
    <w:rsid w:val="00A618A9"/>
    <w:rsid w:val="00A619AD"/>
    <w:rsid w:val="00A61C6E"/>
    <w:rsid w:val="00A61CC7"/>
    <w:rsid w:val="00A61DDC"/>
    <w:rsid w:val="00A61DFF"/>
    <w:rsid w:val="00A61FFF"/>
    <w:rsid w:val="00A6213B"/>
    <w:rsid w:val="00A62656"/>
    <w:rsid w:val="00A62870"/>
    <w:rsid w:val="00A62A77"/>
    <w:rsid w:val="00A62DEF"/>
    <w:rsid w:val="00A631C3"/>
    <w:rsid w:val="00A63483"/>
    <w:rsid w:val="00A63A8D"/>
    <w:rsid w:val="00A63D3F"/>
    <w:rsid w:val="00A63D84"/>
    <w:rsid w:val="00A640DA"/>
    <w:rsid w:val="00A6412E"/>
    <w:rsid w:val="00A64208"/>
    <w:rsid w:val="00A64305"/>
    <w:rsid w:val="00A643B0"/>
    <w:rsid w:val="00A644F5"/>
    <w:rsid w:val="00A64789"/>
    <w:rsid w:val="00A64A5B"/>
    <w:rsid w:val="00A64F3F"/>
    <w:rsid w:val="00A65219"/>
    <w:rsid w:val="00A6539C"/>
    <w:rsid w:val="00A65508"/>
    <w:rsid w:val="00A657D7"/>
    <w:rsid w:val="00A6589A"/>
    <w:rsid w:val="00A65ABA"/>
    <w:rsid w:val="00A65C97"/>
    <w:rsid w:val="00A6603C"/>
    <w:rsid w:val="00A660AC"/>
    <w:rsid w:val="00A6620F"/>
    <w:rsid w:val="00A664FA"/>
    <w:rsid w:val="00A6684B"/>
    <w:rsid w:val="00A66A1C"/>
    <w:rsid w:val="00A66BC7"/>
    <w:rsid w:val="00A670D6"/>
    <w:rsid w:val="00A67121"/>
    <w:rsid w:val="00A6716C"/>
    <w:rsid w:val="00A671B9"/>
    <w:rsid w:val="00A67302"/>
    <w:rsid w:val="00A67637"/>
    <w:rsid w:val="00A67A44"/>
    <w:rsid w:val="00A67A81"/>
    <w:rsid w:val="00A67CD3"/>
    <w:rsid w:val="00A67E6C"/>
    <w:rsid w:val="00A700E9"/>
    <w:rsid w:val="00A70231"/>
    <w:rsid w:val="00A7046F"/>
    <w:rsid w:val="00A70708"/>
    <w:rsid w:val="00A7083E"/>
    <w:rsid w:val="00A709B7"/>
    <w:rsid w:val="00A70A8F"/>
    <w:rsid w:val="00A70C26"/>
    <w:rsid w:val="00A70C50"/>
    <w:rsid w:val="00A70D70"/>
    <w:rsid w:val="00A70E08"/>
    <w:rsid w:val="00A7105C"/>
    <w:rsid w:val="00A711B2"/>
    <w:rsid w:val="00A7155F"/>
    <w:rsid w:val="00A7163D"/>
    <w:rsid w:val="00A7172A"/>
    <w:rsid w:val="00A7199E"/>
    <w:rsid w:val="00A71AB6"/>
    <w:rsid w:val="00A71B99"/>
    <w:rsid w:val="00A71D1F"/>
    <w:rsid w:val="00A71FC8"/>
    <w:rsid w:val="00A720BC"/>
    <w:rsid w:val="00A721B0"/>
    <w:rsid w:val="00A724E4"/>
    <w:rsid w:val="00A72545"/>
    <w:rsid w:val="00A72800"/>
    <w:rsid w:val="00A72899"/>
    <w:rsid w:val="00A72A74"/>
    <w:rsid w:val="00A72CC8"/>
    <w:rsid w:val="00A72CD7"/>
    <w:rsid w:val="00A72E08"/>
    <w:rsid w:val="00A72EA1"/>
    <w:rsid w:val="00A72F0C"/>
    <w:rsid w:val="00A72F21"/>
    <w:rsid w:val="00A7311C"/>
    <w:rsid w:val="00A73142"/>
    <w:rsid w:val="00A731A8"/>
    <w:rsid w:val="00A7336F"/>
    <w:rsid w:val="00A7349C"/>
    <w:rsid w:val="00A73793"/>
    <w:rsid w:val="00A738DF"/>
    <w:rsid w:val="00A738F5"/>
    <w:rsid w:val="00A739D0"/>
    <w:rsid w:val="00A739F3"/>
    <w:rsid w:val="00A73A1E"/>
    <w:rsid w:val="00A73A21"/>
    <w:rsid w:val="00A73D44"/>
    <w:rsid w:val="00A73E19"/>
    <w:rsid w:val="00A73FF8"/>
    <w:rsid w:val="00A741D1"/>
    <w:rsid w:val="00A743DD"/>
    <w:rsid w:val="00A744D7"/>
    <w:rsid w:val="00A74788"/>
    <w:rsid w:val="00A748D4"/>
    <w:rsid w:val="00A74946"/>
    <w:rsid w:val="00A74BB9"/>
    <w:rsid w:val="00A74CA4"/>
    <w:rsid w:val="00A7541A"/>
    <w:rsid w:val="00A75842"/>
    <w:rsid w:val="00A75AE9"/>
    <w:rsid w:val="00A75C56"/>
    <w:rsid w:val="00A75C7F"/>
    <w:rsid w:val="00A75CF0"/>
    <w:rsid w:val="00A75D7F"/>
    <w:rsid w:val="00A75D87"/>
    <w:rsid w:val="00A75F80"/>
    <w:rsid w:val="00A761C7"/>
    <w:rsid w:val="00A761D4"/>
    <w:rsid w:val="00A76607"/>
    <w:rsid w:val="00A7667C"/>
    <w:rsid w:val="00A76703"/>
    <w:rsid w:val="00A7670B"/>
    <w:rsid w:val="00A7672F"/>
    <w:rsid w:val="00A76834"/>
    <w:rsid w:val="00A76ADB"/>
    <w:rsid w:val="00A76EA9"/>
    <w:rsid w:val="00A76F08"/>
    <w:rsid w:val="00A77096"/>
    <w:rsid w:val="00A77268"/>
    <w:rsid w:val="00A77A44"/>
    <w:rsid w:val="00A77EC4"/>
    <w:rsid w:val="00A80115"/>
    <w:rsid w:val="00A8021F"/>
    <w:rsid w:val="00A8022A"/>
    <w:rsid w:val="00A8029F"/>
    <w:rsid w:val="00A808AE"/>
    <w:rsid w:val="00A809D5"/>
    <w:rsid w:val="00A80A11"/>
    <w:rsid w:val="00A80EE4"/>
    <w:rsid w:val="00A80F2E"/>
    <w:rsid w:val="00A8126B"/>
    <w:rsid w:val="00A8139E"/>
    <w:rsid w:val="00A81566"/>
    <w:rsid w:val="00A8174D"/>
    <w:rsid w:val="00A8183B"/>
    <w:rsid w:val="00A8187E"/>
    <w:rsid w:val="00A819A0"/>
    <w:rsid w:val="00A81D60"/>
    <w:rsid w:val="00A81ED5"/>
    <w:rsid w:val="00A81FC7"/>
    <w:rsid w:val="00A820F1"/>
    <w:rsid w:val="00A822E2"/>
    <w:rsid w:val="00A82535"/>
    <w:rsid w:val="00A82602"/>
    <w:rsid w:val="00A826DC"/>
    <w:rsid w:val="00A82B3B"/>
    <w:rsid w:val="00A82C7E"/>
    <w:rsid w:val="00A82E22"/>
    <w:rsid w:val="00A8324E"/>
    <w:rsid w:val="00A838F0"/>
    <w:rsid w:val="00A83904"/>
    <w:rsid w:val="00A83925"/>
    <w:rsid w:val="00A8397F"/>
    <w:rsid w:val="00A83991"/>
    <w:rsid w:val="00A83B2A"/>
    <w:rsid w:val="00A83C75"/>
    <w:rsid w:val="00A83D49"/>
    <w:rsid w:val="00A83D8B"/>
    <w:rsid w:val="00A83E3F"/>
    <w:rsid w:val="00A8409C"/>
    <w:rsid w:val="00A844FA"/>
    <w:rsid w:val="00A84A03"/>
    <w:rsid w:val="00A84D10"/>
    <w:rsid w:val="00A84D1E"/>
    <w:rsid w:val="00A84D32"/>
    <w:rsid w:val="00A85E4F"/>
    <w:rsid w:val="00A85EBE"/>
    <w:rsid w:val="00A860C0"/>
    <w:rsid w:val="00A86337"/>
    <w:rsid w:val="00A86605"/>
    <w:rsid w:val="00A86869"/>
    <w:rsid w:val="00A86C2F"/>
    <w:rsid w:val="00A86E0C"/>
    <w:rsid w:val="00A86E18"/>
    <w:rsid w:val="00A87168"/>
    <w:rsid w:val="00A87281"/>
    <w:rsid w:val="00A8735F"/>
    <w:rsid w:val="00A8738B"/>
    <w:rsid w:val="00A873C5"/>
    <w:rsid w:val="00A8771B"/>
    <w:rsid w:val="00A877EC"/>
    <w:rsid w:val="00A878D4"/>
    <w:rsid w:val="00A87DF6"/>
    <w:rsid w:val="00A87E1E"/>
    <w:rsid w:val="00A87E81"/>
    <w:rsid w:val="00A87EA0"/>
    <w:rsid w:val="00A90197"/>
    <w:rsid w:val="00A902CB"/>
    <w:rsid w:val="00A904D1"/>
    <w:rsid w:val="00A908B9"/>
    <w:rsid w:val="00A90CF6"/>
    <w:rsid w:val="00A90F71"/>
    <w:rsid w:val="00A91067"/>
    <w:rsid w:val="00A910AD"/>
    <w:rsid w:val="00A913B2"/>
    <w:rsid w:val="00A9152E"/>
    <w:rsid w:val="00A915E9"/>
    <w:rsid w:val="00A9163A"/>
    <w:rsid w:val="00A91B31"/>
    <w:rsid w:val="00A91D66"/>
    <w:rsid w:val="00A91DEE"/>
    <w:rsid w:val="00A91E87"/>
    <w:rsid w:val="00A92565"/>
    <w:rsid w:val="00A9267D"/>
    <w:rsid w:val="00A926D4"/>
    <w:rsid w:val="00A92773"/>
    <w:rsid w:val="00A92879"/>
    <w:rsid w:val="00A9295D"/>
    <w:rsid w:val="00A92A2B"/>
    <w:rsid w:val="00A92D79"/>
    <w:rsid w:val="00A92E97"/>
    <w:rsid w:val="00A93031"/>
    <w:rsid w:val="00A9314F"/>
    <w:rsid w:val="00A93343"/>
    <w:rsid w:val="00A93483"/>
    <w:rsid w:val="00A93594"/>
    <w:rsid w:val="00A9382F"/>
    <w:rsid w:val="00A939D8"/>
    <w:rsid w:val="00A93A59"/>
    <w:rsid w:val="00A93AE5"/>
    <w:rsid w:val="00A93B8F"/>
    <w:rsid w:val="00A93C6C"/>
    <w:rsid w:val="00A93E3E"/>
    <w:rsid w:val="00A93EC0"/>
    <w:rsid w:val="00A940C4"/>
    <w:rsid w:val="00A940D2"/>
    <w:rsid w:val="00A94277"/>
    <w:rsid w:val="00A9442A"/>
    <w:rsid w:val="00A944BC"/>
    <w:rsid w:val="00A944EF"/>
    <w:rsid w:val="00A944FF"/>
    <w:rsid w:val="00A94793"/>
    <w:rsid w:val="00A9490A"/>
    <w:rsid w:val="00A94D46"/>
    <w:rsid w:val="00A95128"/>
    <w:rsid w:val="00A9539E"/>
    <w:rsid w:val="00A95455"/>
    <w:rsid w:val="00A954C0"/>
    <w:rsid w:val="00A9557D"/>
    <w:rsid w:val="00A95627"/>
    <w:rsid w:val="00A956C6"/>
    <w:rsid w:val="00A957C0"/>
    <w:rsid w:val="00A95864"/>
    <w:rsid w:val="00A959CE"/>
    <w:rsid w:val="00A95B7D"/>
    <w:rsid w:val="00A95CEA"/>
    <w:rsid w:val="00A9660F"/>
    <w:rsid w:val="00A96694"/>
    <w:rsid w:val="00A967C5"/>
    <w:rsid w:val="00A96908"/>
    <w:rsid w:val="00A96B82"/>
    <w:rsid w:val="00A96DFF"/>
    <w:rsid w:val="00A97088"/>
    <w:rsid w:val="00A97208"/>
    <w:rsid w:val="00A9720F"/>
    <w:rsid w:val="00A97394"/>
    <w:rsid w:val="00A976AA"/>
    <w:rsid w:val="00A97992"/>
    <w:rsid w:val="00A97A87"/>
    <w:rsid w:val="00A97FCD"/>
    <w:rsid w:val="00AA016F"/>
    <w:rsid w:val="00AA03AC"/>
    <w:rsid w:val="00AA03F1"/>
    <w:rsid w:val="00AA066B"/>
    <w:rsid w:val="00AA06AD"/>
    <w:rsid w:val="00AA08D2"/>
    <w:rsid w:val="00AA0D2D"/>
    <w:rsid w:val="00AA128E"/>
    <w:rsid w:val="00AA12F4"/>
    <w:rsid w:val="00AA1777"/>
    <w:rsid w:val="00AA1B0D"/>
    <w:rsid w:val="00AA1B90"/>
    <w:rsid w:val="00AA1C75"/>
    <w:rsid w:val="00AA1C83"/>
    <w:rsid w:val="00AA1D2C"/>
    <w:rsid w:val="00AA1DDC"/>
    <w:rsid w:val="00AA1ED6"/>
    <w:rsid w:val="00AA20F1"/>
    <w:rsid w:val="00AA2267"/>
    <w:rsid w:val="00AA23A0"/>
    <w:rsid w:val="00AA23AF"/>
    <w:rsid w:val="00AA23F6"/>
    <w:rsid w:val="00AA2894"/>
    <w:rsid w:val="00AA293B"/>
    <w:rsid w:val="00AA298F"/>
    <w:rsid w:val="00AA2A24"/>
    <w:rsid w:val="00AA2BB3"/>
    <w:rsid w:val="00AA30B3"/>
    <w:rsid w:val="00AA37E8"/>
    <w:rsid w:val="00AA3A50"/>
    <w:rsid w:val="00AA3C32"/>
    <w:rsid w:val="00AA3C82"/>
    <w:rsid w:val="00AA3CFA"/>
    <w:rsid w:val="00AA3D9A"/>
    <w:rsid w:val="00AA3E84"/>
    <w:rsid w:val="00AA3E89"/>
    <w:rsid w:val="00AA429D"/>
    <w:rsid w:val="00AA437E"/>
    <w:rsid w:val="00AA4497"/>
    <w:rsid w:val="00AA466C"/>
    <w:rsid w:val="00AA4954"/>
    <w:rsid w:val="00AA4A94"/>
    <w:rsid w:val="00AA4C1C"/>
    <w:rsid w:val="00AA4C65"/>
    <w:rsid w:val="00AA4ED9"/>
    <w:rsid w:val="00AA4F3E"/>
    <w:rsid w:val="00AA5076"/>
    <w:rsid w:val="00AA51D6"/>
    <w:rsid w:val="00AA52CD"/>
    <w:rsid w:val="00AA5578"/>
    <w:rsid w:val="00AA5707"/>
    <w:rsid w:val="00AA5E4E"/>
    <w:rsid w:val="00AA5ECB"/>
    <w:rsid w:val="00AA5F75"/>
    <w:rsid w:val="00AA627B"/>
    <w:rsid w:val="00AA644E"/>
    <w:rsid w:val="00AA647A"/>
    <w:rsid w:val="00AA67A4"/>
    <w:rsid w:val="00AA6859"/>
    <w:rsid w:val="00AA6CAC"/>
    <w:rsid w:val="00AA6F59"/>
    <w:rsid w:val="00AA7352"/>
    <w:rsid w:val="00AA75D5"/>
    <w:rsid w:val="00AA760F"/>
    <w:rsid w:val="00AA7749"/>
    <w:rsid w:val="00AA7768"/>
    <w:rsid w:val="00AA7806"/>
    <w:rsid w:val="00AA7849"/>
    <w:rsid w:val="00AA7ACE"/>
    <w:rsid w:val="00AA7CFB"/>
    <w:rsid w:val="00AA7E95"/>
    <w:rsid w:val="00AB00B3"/>
    <w:rsid w:val="00AB0379"/>
    <w:rsid w:val="00AB046A"/>
    <w:rsid w:val="00AB04CA"/>
    <w:rsid w:val="00AB06F4"/>
    <w:rsid w:val="00AB0867"/>
    <w:rsid w:val="00AB09EC"/>
    <w:rsid w:val="00AB0A86"/>
    <w:rsid w:val="00AB0BC8"/>
    <w:rsid w:val="00AB0DCF"/>
    <w:rsid w:val="00AB11CA"/>
    <w:rsid w:val="00AB124E"/>
    <w:rsid w:val="00AB1322"/>
    <w:rsid w:val="00AB14D9"/>
    <w:rsid w:val="00AB1A0C"/>
    <w:rsid w:val="00AB1B15"/>
    <w:rsid w:val="00AB1B2C"/>
    <w:rsid w:val="00AB1B32"/>
    <w:rsid w:val="00AB2156"/>
    <w:rsid w:val="00AB2221"/>
    <w:rsid w:val="00AB247B"/>
    <w:rsid w:val="00AB267D"/>
    <w:rsid w:val="00AB28B2"/>
    <w:rsid w:val="00AB2947"/>
    <w:rsid w:val="00AB2D0A"/>
    <w:rsid w:val="00AB2E2D"/>
    <w:rsid w:val="00AB2EB6"/>
    <w:rsid w:val="00AB318E"/>
    <w:rsid w:val="00AB32D2"/>
    <w:rsid w:val="00AB33C1"/>
    <w:rsid w:val="00AB3986"/>
    <w:rsid w:val="00AB39D4"/>
    <w:rsid w:val="00AB3AB7"/>
    <w:rsid w:val="00AB3B66"/>
    <w:rsid w:val="00AB3D3A"/>
    <w:rsid w:val="00AB3FDE"/>
    <w:rsid w:val="00AB406A"/>
    <w:rsid w:val="00AB41A1"/>
    <w:rsid w:val="00AB431D"/>
    <w:rsid w:val="00AB472E"/>
    <w:rsid w:val="00AB489D"/>
    <w:rsid w:val="00AB4AB8"/>
    <w:rsid w:val="00AB4B65"/>
    <w:rsid w:val="00AB50C0"/>
    <w:rsid w:val="00AB5294"/>
    <w:rsid w:val="00AB533F"/>
    <w:rsid w:val="00AB5340"/>
    <w:rsid w:val="00AB53D0"/>
    <w:rsid w:val="00AB55BA"/>
    <w:rsid w:val="00AB563D"/>
    <w:rsid w:val="00AB56AC"/>
    <w:rsid w:val="00AB594E"/>
    <w:rsid w:val="00AB5952"/>
    <w:rsid w:val="00AB5A3C"/>
    <w:rsid w:val="00AB5AA6"/>
    <w:rsid w:val="00AB5C37"/>
    <w:rsid w:val="00AB5EA2"/>
    <w:rsid w:val="00AB5FC0"/>
    <w:rsid w:val="00AB618B"/>
    <w:rsid w:val="00AB63AE"/>
    <w:rsid w:val="00AB655E"/>
    <w:rsid w:val="00AB69D9"/>
    <w:rsid w:val="00AB6D76"/>
    <w:rsid w:val="00AB6D8C"/>
    <w:rsid w:val="00AB6FA0"/>
    <w:rsid w:val="00AB701F"/>
    <w:rsid w:val="00AB70DE"/>
    <w:rsid w:val="00AB71D1"/>
    <w:rsid w:val="00AB7209"/>
    <w:rsid w:val="00AB7303"/>
    <w:rsid w:val="00AB7444"/>
    <w:rsid w:val="00AB78FF"/>
    <w:rsid w:val="00AB7DD4"/>
    <w:rsid w:val="00AB7E92"/>
    <w:rsid w:val="00AC007F"/>
    <w:rsid w:val="00AC0225"/>
    <w:rsid w:val="00AC03E0"/>
    <w:rsid w:val="00AC04E5"/>
    <w:rsid w:val="00AC05F8"/>
    <w:rsid w:val="00AC0616"/>
    <w:rsid w:val="00AC0772"/>
    <w:rsid w:val="00AC079D"/>
    <w:rsid w:val="00AC0E19"/>
    <w:rsid w:val="00AC0E37"/>
    <w:rsid w:val="00AC0EF4"/>
    <w:rsid w:val="00AC0F07"/>
    <w:rsid w:val="00AC1134"/>
    <w:rsid w:val="00AC11C3"/>
    <w:rsid w:val="00AC139A"/>
    <w:rsid w:val="00AC154B"/>
    <w:rsid w:val="00AC15BF"/>
    <w:rsid w:val="00AC1835"/>
    <w:rsid w:val="00AC19E5"/>
    <w:rsid w:val="00AC1A72"/>
    <w:rsid w:val="00AC1AEA"/>
    <w:rsid w:val="00AC1B2A"/>
    <w:rsid w:val="00AC1D7F"/>
    <w:rsid w:val="00AC1DA6"/>
    <w:rsid w:val="00AC25FC"/>
    <w:rsid w:val="00AC2742"/>
    <w:rsid w:val="00AC294C"/>
    <w:rsid w:val="00AC2B61"/>
    <w:rsid w:val="00AC2E40"/>
    <w:rsid w:val="00AC2ECD"/>
    <w:rsid w:val="00AC3037"/>
    <w:rsid w:val="00AC3067"/>
    <w:rsid w:val="00AC3119"/>
    <w:rsid w:val="00AC31AA"/>
    <w:rsid w:val="00AC35BE"/>
    <w:rsid w:val="00AC3696"/>
    <w:rsid w:val="00AC36EC"/>
    <w:rsid w:val="00AC3F2B"/>
    <w:rsid w:val="00AC3FB4"/>
    <w:rsid w:val="00AC3FD0"/>
    <w:rsid w:val="00AC4359"/>
    <w:rsid w:val="00AC445A"/>
    <w:rsid w:val="00AC47A7"/>
    <w:rsid w:val="00AC49FB"/>
    <w:rsid w:val="00AC4B5D"/>
    <w:rsid w:val="00AC5041"/>
    <w:rsid w:val="00AC515D"/>
    <w:rsid w:val="00AC51E4"/>
    <w:rsid w:val="00AC524F"/>
    <w:rsid w:val="00AC5306"/>
    <w:rsid w:val="00AC5470"/>
    <w:rsid w:val="00AC54B8"/>
    <w:rsid w:val="00AC5697"/>
    <w:rsid w:val="00AC5898"/>
    <w:rsid w:val="00AC5A10"/>
    <w:rsid w:val="00AC5B2C"/>
    <w:rsid w:val="00AC5ED2"/>
    <w:rsid w:val="00AC5FF9"/>
    <w:rsid w:val="00AC61C5"/>
    <w:rsid w:val="00AC6714"/>
    <w:rsid w:val="00AC69D4"/>
    <w:rsid w:val="00AC6BA2"/>
    <w:rsid w:val="00AC6DFE"/>
    <w:rsid w:val="00AC706A"/>
    <w:rsid w:val="00AC7162"/>
    <w:rsid w:val="00AC741F"/>
    <w:rsid w:val="00AC7589"/>
    <w:rsid w:val="00AC7632"/>
    <w:rsid w:val="00AC794A"/>
    <w:rsid w:val="00AC7AF6"/>
    <w:rsid w:val="00AC7B36"/>
    <w:rsid w:val="00AC7BD9"/>
    <w:rsid w:val="00AC7E9E"/>
    <w:rsid w:val="00AC7EB8"/>
    <w:rsid w:val="00AC7F97"/>
    <w:rsid w:val="00AC7FD1"/>
    <w:rsid w:val="00AC7FE3"/>
    <w:rsid w:val="00AD011B"/>
    <w:rsid w:val="00AD037B"/>
    <w:rsid w:val="00AD038C"/>
    <w:rsid w:val="00AD040C"/>
    <w:rsid w:val="00AD044A"/>
    <w:rsid w:val="00AD0673"/>
    <w:rsid w:val="00AD08D7"/>
    <w:rsid w:val="00AD0AA3"/>
    <w:rsid w:val="00AD0B68"/>
    <w:rsid w:val="00AD0B6E"/>
    <w:rsid w:val="00AD0C17"/>
    <w:rsid w:val="00AD1389"/>
    <w:rsid w:val="00AD1642"/>
    <w:rsid w:val="00AD171E"/>
    <w:rsid w:val="00AD17E8"/>
    <w:rsid w:val="00AD1830"/>
    <w:rsid w:val="00AD1F08"/>
    <w:rsid w:val="00AD233B"/>
    <w:rsid w:val="00AD2444"/>
    <w:rsid w:val="00AD25FE"/>
    <w:rsid w:val="00AD28FF"/>
    <w:rsid w:val="00AD2B7B"/>
    <w:rsid w:val="00AD2BC7"/>
    <w:rsid w:val="00AD2D93"/>
    <w:rsid w:val="00AD2ED0"/>
    <w:rsid w:val="00AD303D"/>
    <w:rsid w:val="00AD3239"/>
    <w:rsid w:val="00AD33E3"/>
    <w:rsid w:val="00AD397E"/>
    <w:rsid w:val="00AD3F94"/>
    <w:rsid w:val="00AD44E5"/>
    <w:rsid w:val="00AD4600"/>
    <w:rsid w:val="00AD4727"/>
    <w:rsid w:val="00AD47BC"/>
    <w:rsid w:val="00AD4A5A"/>
    <w:rsid w:val="00AD4ABC"/>
    <w:rsid w:val="00AD4CD4"/>
    <w:rsid w:val="00AD4E01"/>
    <w:rsid w:val="00AD4E6D"/>
    <w:rsid w:val="00AD4F13"/>
    <w:rsid w:val="00AD513E"/>
    <w:rsid w:val="00AD52C2"/>
    <w:rsid w:val="00AD561E"/>
    <w:rsid w:val="00AD5652"/>
    <w:rsid w:val="00AD56C0"/>
    <w:rsid w:val="00AD56E2"/>
    <w:rsid w:val="00AD57B7"/>
    <w:rsid w:val="00AD580A"/>
    <w:rsid w:val="00AD586A"/>
    <w:rsid w:val="00AD59C6"/>
    <w:rsid w:val="00AD59E4"/>
    <w:rsid w:val="00AD5B7A"/>
    <w:rsid w:val="00AD5D39"/>
    <w:rsid w:val="00AD5E40"/>
    <w:rsid w:val="00AD5FA6"/>
    <w:rsid w:val="00AD5FBA"/>
    <w:rsid w:val="00AD6258"/>
    <w:rsid w:val="00AD630B"/>
    <w:rsid w:val="00AD6378"/>
    <w:rsid w:val="00AD658C"/>
    <w:rsid w:val="00AD663D"/>
    <w:rsid w:val="00AD66FD"/>
    <w:rsid w:val="00AD67B3"/>
    <w:rsid w:val="00AD6D72"/>
    <w:rsid w:val="00AD6E0B"/>
    <w:rsid w:val="00AD6E1E"/>
    <w:rsid w:val="00AD6F0F"/>
    <w:rsid w:val="00AD71D9"/>
    <w:rsid w:val="00AD746A"/>
    <w:rsid w:val="00AD74B6"/>
    <w:rsid w:val="00AD7858"/>
    <w:rsid w:val="00AD78D8"/>
    <w:rsid w:val="00AD79C4"/>
    <w:rsid w:val="00AD7A78"/>
    <w:rsid w:val="00AD7B06"/>
    <w:rsid w:val="00AD7B78"/>
    <w:rsid w:val="00AD7E0A"/>
    <w:rsid w:val="00AD7F42"/>
    <w:rsid w:val="00AE0323"/>
    <w:rsid w:val="00AE0393"/>
    <w:rsid w:val="00AE09A3"/>
    <w:rsid w:val="00AE09D1"/>
    <w:rsid w:val="00AE0BA5"/>
    <w:rsid w:val="00AE0BDA"/>
    <w:rsid w:val="00AE0E72"/>
    <w:rsid w:val="00AE1158"/>
    <w:rsid w:val="00AE12B4"/>
    <w:rsid w:val="00AE12FB"/>
    <w:rsid w:val="00AE13B6"/>
    <w:rsid w:val="00AE13E8"/>
    <w:rsid w:val="00AE1501"/>
    <w:rsid w:val="00AE1A94"/>
    <w:rsid w:val="00AE1FB6"/>
    <w:rsid w:val="00AE20CB"/>
    <w:rsid w:val="00AE21EA"/>
    <w:rsid w:val="00AE22C4"/>
    <w:rsid w:val="00AE22E5"/>
    <w:rsid w:val="00AE2403"/>
    <w:rsid w:val="00AE25C5"/>
    <w:rsid w:val="00AE2605"/>
    <w:rsid w:val="00AE2761"/>
    <w:rsid w:val="00AE27AC"/>
    <w:rsid w:val="00AE29CF"/>
    <w:rsid w:val="00AE2A45"/>
    <w:rsid w:val="00AE2D02"/>
    <w:rsid w:val="00AE2DF6"/>
    <w:rsid w:val="00AE3135"/>
    <w:rsid w:val="00AE3299"/>
    <w:rsid w:val="00AE3434"/>
    <w:rsid w:val="00AE361F"/>
    <w:rsid w:val="00AE36FF"/>
    <w:rsid w:val="00AE3877"/>
    <w:rsid w:val="00AE38BC"/>
    <w:rsid w:val="00AE3A6C"/>
    <w:rsid w:val="00AE40E0"/>
    <w:rsid w:val="00AE432C"/>
    <w:rsid w:val="00AE45DD"/>
    <w:rsid w:val="00AE49A8"/>
    <w:rsid w:val="00AE49AF"/>
    <w:rsid w:val="00AE4DBA"/>
    <w:rsid w:val="00AE4EFE"/>
    <w:rsid w:val="00AE4F07"/>
    <w:rsid w:val="00AE5136"/>
    <w:rsid w:val="00AE5A5A"/>
    <w:rsid w:val="00AE5F6B"/>
    <w:rsid w:val="00AE5FF6"/>
    <w:rsid w:val="00AE6114"/>
    <w:rsid w:val="00AE617C"/>
    <w:rsid w:val="00AE6366"/>
    <w:rsid w:val="00AE63B0"/>
    <w:rsid w:val="00AE63E3"/>
    <w:rsid w:val="00AE653C"/>
    <w:rsid w:val="00AE660A"/>
    <w:rsid w:val="00AE662A"/>
    <w:rsid w:val="00AE6740"/>
    <w:rsid w:val="00AE691B"/>
    <w:rsid w:val="00AE6A1F"/>
    <w:rsid w:val="00AE6A2C"/>
    <w:rsid w:val="00AE6A8B"/>
    <w:rsid w:val="00AE6B4F"/>
    <w:rsid w:val="00AE6C47"/>
    <w:rsid w:val="00AE6CC0"/>
    <w:rsid w:val="00AE6D03"/>
    <w:rsid w:val="00AE6E31"/>
    <w:rsid w:val="00AE6E85"/>
    <w:rsid w:val="00AE7043"/>
    <w:rsid w:val="00AE73A2"/>
    <w:rsid w:val="00AE73A4"/>
    <w:rsid w:val="00AE73E0"/>
    <w:rsid w:val="00AE73E2"/>
    <w:rsid w:val="00AE743F"/>
    <w:rsid w:val="00AE748A"/>
    <w:rsid w:val="00AE7A16"/>
    <w:rsid w:val="00AE7A2F"/>
    <w:rsid w:val="00AE7ABF"/>
    <w:rsid w:val="00AE7B75"/>
    <w:rsid w:val="00AE7CD8"/>
    <w:rsid w:val="00AE7D89"/>
    <w:rsid w:val="00AE7E58"/>
    <w:rsid w:val="00AF007B"/>
    <w:rsid w:val="00AF0266"/>
    <w:rsid w:val="00AF02C8"/>
    <w:rsid w:val="00AF05BB"/>
    <w:rsid w:val="00AF0737"/>
    <w:rsid w:val="00AF081D"/>
    <w:rsid w:val="00AF0AD8"/>
    <w:rsid w:val="00AF0C4C"/>
    <w:rsid w:val="00AF0F9A"/>
    <w:rsid w:val="00AF108D"/>
    <w:rsid w:val="00AF1110"/>
    <w:rsid w:val="00AF1165"/>
    <w:rsid w:val="00AF136D"/>
    <w:rsid w:val="00AF17A0"/>
    <w:rsid w:val="00AF187F"/>
    <w:rsid w:val="00AF1937"/>
    <w:rsid w:val="00AF1A79"/>
    <w:rsid w:val="00AF1C5D"/>
    <w:rsid w:val="00AF1EF1"/>
    <w:rsid w:val="00AF1F6E"/>
    <w:rsid w:val="00AF222B"/>
    <w:rsid w:val="00AF2307"/>
    <w:rsid w:val="00AF2637"/>
    <w:rsid w:val="00AF2684"/>
    <w:rsid w:val="00AF272D"/>
    <w:rsid w:val="00AF2801"/>
    <w:rsid w:val="00AF293F"/>
    <w:rsid w:val="00AF2A2C"/>
    <w:rsid w:val="00AF2D73"/>
    <w:rsid w:val="00AF2DC1"/>
    <w:rsid w:val="00AF2F33"/>
    <w:rsid w:val="00AF3274"/>
    <w:rsid w:val="00AF3341"/>
    <w:rsid w:val="00AF375C"/>
    <w:rsid w:val="00AF386F"/>
    <w:rsid w:val="00AF3938"/>
    <w:rsid w:val="00AF3A72"/>
    <w:rsid w:val="00AF3AC5"/>
    <w:rsid w:val="00AF3B83"/>
    <w:rsid w:val="00AF3BB4"/>
    <w:rsid w:val="00AF3DB2"/>
    <w:rsid w:val="00AF3E90"/>
    <w:rsid w:val="00AF40A9"/>
    <w:rsid w:val="00AF40FA"/>
    <w:rsid w:val="00AF417A"/>
    <w:rsid w:val="00AF4265"/>
    <w:rsid w:val="00AF42D7"/>
    <w:rsid w:val="00AF46FD"/>
    <w:rsid w:val="00AF47CA"/>
    <w:rsid w:val="00AF486A"/>
    <w:rsid w:val="00AF4933"/>
    <w:rsid w:val="00AF499A"/>
    <w:rsid w:val="00AF4B3E"/>
    <w:rsid w:val="00AF4BB5"/>
    <w:rsid w:val="00AF4D2E"/>
    <w:rsid w:val="00AF4D71"/>
    <w:rsid w:val="00AF4D79"/>
    <w:rsid w:val="00AF4DAB"/>
    <w:rsid w:val="00AF54A2"/>
    <w:rsid w:val="00AF5975"/>
    <w:rsid w:val="00AF5D6E"/>
    <w:rsid w:val="00AF5FD3"/>
    <w:rsid w:val="00AF6083"/>
    <w:rsid w:val="00AF618E"/>
    <w:rsid w:val="00AF6896"/>
    <w:rsid w:val="00AF68A5"/>
    <w:rsid w:val="00AF69C1"/>
    <w:rsid w:val="00AF6A24"/>
    <w:rsid w:val="00AF6C5F"/>
    <w:rsid w:val="00AF6E4C"/>
    <w:rsid w:val="00AF6E5F"/>
    <w:rsid w:val="00AF6EF1"/>
    <w:rsid w:val="00AF70BF"/>
    <w:rsid w:val="00AF73A6"/>
    <w:rsid w:val="00AF73C7"/>
    <w:rsid w:val="00AF740D"/>
    <w:rsid w:val="00AF746A"/>
    <w:rsid w:val="00AF76A5"/>
    <w:rsid w:val="00AF7717"/>
    <w:rsid w:val="00AF773F"/>
    <w:rsid w:val="00AF784C"/>
    <w:rsid w:val="00AF7C51"/>
    <w:rsid w:val="00AF7D09"/>
    <w:rsid w:val="00AF7D53"/>
    <w:rsid w:val="00AF7D84"/>
    <w:rsid w:val="00AF7D92"/>
    <w:rsid w:val="00B00470"/>
    <w:rsid w:val="00B005D3"/>
    <w:rsid w:val="00B006FE"/>
    <w:rsid w:val="00B007CB"/>
    <w:rsid w:val="00B00827"/>
    <w:rsid w:val="00B009A2"/>
    <w:rsid w:val="00B00ECE"/>
    <w:rsid w:val="00B00FAF"/>
    <w:rsid w:val="00B0102F"/>
    <w:rsid w:val="00B01080"/>
    <w:rsid w:val="00B01173"/>
    <w:rsid w:val="00B012AE"/>
    <w:rsid w:val="00B01536"/>
    <w:rsid w:val="00B0170B"/>
    <w:rsid w:val="00B0183C"/>
    <w:rsid w:val="00B01843"/>
    <w:rsid w:val="00B01A75"/>
    <w:rsid w:val="00B01D10"/>
    <w:rsid w:val="00B01D3D"/>
    <w:rsid w:val="00B02446"/>
    <w:rsid w:val="00B024DF"/>
    <w:rsid w:val="00B02545"/>
    <w:rsid w:val="00B026B0"/>
    <w:rsid w:val="00B0281B"/>
    <w:rsid w:val="00B02AA9"/>
    <w:rsid w:val="00B02B4C"/>
    <w:rsid w:val="00B02FA3"/>
    <w:rsid w:val="00B02FDF"/>
    <w:rsid w:val="00B032BC"/>
    <w:rsid w:val="00B03513"/>
    <w:rsid w:val="00B03641"/>
    <w:rsid w:val="00B036D5"/>
    <w:rsid w:val="00B036E3"/>
    <w:rsid w:val="00B038AB"/>
    <w:rsid w:val="00B0390D"/>
    <w:rsid w:val="00B039EC"/>
    <w:rsid w:val="00B04154"/>
    <w:rsid w:val="00B04283"/>
    <w:rsid w:val="00B04412"/>
    <w:rsid w:val="00B0455B"/>
    <w:rsid w:val="00B04587"/>
    <w:rsid w:val="00B0464A"/>
    <w:rsid w:val="00B04A43"/>
    <w:rsid w:val="00B04BC3"/>
    <w:rsid w:val="00B04C08"/>
    <w:rsid w:val="00B04EEC"/>
    <w:rsid w:val="00B04FE7"/>
    <w:rsid w:val="00B05084"/>
    <w:rsid w:val="00B05148"/>
    <w:rsid w:val="00B05197"/>
    <w:rsid w:val="00B054ED"/>
    <w:rsid w:val="00B05629"/>
    <w:rsid w:val="00B0583E"/>
    <w:rsid w:val="00B05A0D"/>
    <w:rsid w:val="00B05A4A"/>
    <w:rsid w:val="00B05B0F"/>
    <w:rsid w:val="00B05CC2"/>
    <w:rsid w:val="00B05F4A"/>
    <w:rsid w:val="00B06171"/>
    <w:rsid w:val="00B064D0"/>
    <w:rsid w:val="00B065E1"/>
    <w:rsid w:val="00B069A5"/>
    <w:rsid w:val="00B07256"/>
    <w:rsid w:val="00B073C1"/>
    <w:rsid w:val="00B077AF"/>
    <w:rsid w:val="00B079A9"/>
    <w:rsid w:val="00B07B01"/>
    <w:rsid w:val="00B07C0D"/>
    <w:rsid w:val="00B07EC4"/>
    <w:rsid w:val="00B07F7B"/>
    <w:rsid w:val="00B10358"/>
    <w:rsid w:val="00B10378"/>
    <w:rsid w:val="00B106B7"/>
    <w:rsid w:val="00B1091B"/>
    <w:rsid w:val="00B10C2B"/>
    <w:rsid w:val="00B10E50"/>
    <w:rsid w:val="00B110BC"/>
    <w:rsid w:val="00B114E9"/>
    <w:rsid w:val="00B11514"/>
    <w:rsid w:val="00B116F5"/>
    <w:rsid w:val="00B11A59"/>
    <w:rsid w:val="00B11AFE"/>
    <w:rsid w:val="00B11B25"/>
    <w:rsid w:val="00B11F71"/>
    <w:rsid w:val="00B12153"/>
    <w:rsid w:val="00B122AC"/>
    <w:rsid w:val="00B12333"/>
    <w:rsid w:val="00B1239E"/>
    <w:rsid w:val="00B12662"/>
    <w:rsid w:val="00B126B9"/>
    <w:rsid w:val="00B127ED"/>
    <w:rsid w:val="00B128B9"/>
    <w:rsid w:val="00B12C48"/>
    <w:rsid w:val="00B12E13"/>
    <w:rsid w:val="00B130C6"/>
    <w:rsid w:val="00B13239"/>
    <w:rsid w:val="00B13330"/>
    <w:rsid w:val="00B1353C"/>
    <w:rsid w:val="00B136DB"/>
    <w:rsid w:val="00B1372A"/>
    <w:rsid w:val="00B137CB"/>
    <w:rsid w:val="00B139D7"/>
    <w:rsid w:val="00B13B19"/>
    <w:rsid w:val="00B13BF3"/>
    <w:rsid w:val="00B13BF5"/>
    <w:rsid w:val="00B13C34"/>
    <w:rsid w:val="00B143A2"/>
    <w:rsid w:val="00B144DB"/>
    <w:rsid w:val="00B14759"/>
    <w:rsid w:val="00B14960"/>
    <w:rsid w:val="00B149A3"/>
    <w:rsid w:val="00B14E17"/>
    <w:rsid w:val="00B1516F"/>
    <w:rsid w:val="00B1554E"/>
    <w:rsid w:val="00B156BE"/>
    <w:rsid w:val="00B157F9"/>
    <w:rsid w:val="00B158A5"/>
    <w:rsid w:val="00B15A1A"/>
    <w:rsid w:val="00B15A6F"/>
    <w:rsid w:val="00B15CC0"/>
    <w:rsid w:val="00B15D76"/>
    <w:rsid w:val="00B16130"/>
    <w:rsid w:val="00B161E8"/>
    <w:rsid w:val="00B16386"/>
    <w:rsid w:val="00B165D0"/>
    <w:rsid w:val="00B16818"/>
    <w:rsid w:val="00B16EB4"/>
    <w:rsid w:val="00B170CB"/>
    <w:rsid w:val="00B170CF"/>
    <w:rsid w:val="00B17100"/>
    <w:rsid w:val="00B17B88"/>
    <w:rsid w:val="00B17B8D"/>
    <w:rsid w:val="00B17C2C"/>
    <w:rsid w:val="00B200E1"/>
    <w:rsid w:val="00B20224"/>
    <w:rsid w:val="00B20256"/>
    <w:rsid w:val="00B20279"/>
    <w:rsid w:val="00B20341"/>
    <w:rsid w:val="00B2039D"/>
    <w:rsid w:val="00B204CF"/>
    <w:rsid w:val="00B2064D"/>
    <w:rsid w:val="00B20782"/>
    <w:rsid w:val="00B2092D"/>
    <w:rsid w:val="00B20B88"/>
    <w:rsid w:val="00B20C8A"/>
    <w:rsid w:val="00B20CE5"/>
    <w:rsid w:val="00B20D09"/>
    <w:rsid w:val="00B214A4"/>
    <w:rsid w:val="00B2151A"/>
    <w:rsid w:val="00B21578"/>
    <w:rsid w:val="00B21878"/>
    <w:rsid w:val="00B21A87"/>
    <w:rsid w:val="00B21C5A"/>
    <w:rsid w:val="00B223FE"/>
    <w:rsid w:val="00B2242C"/>
    <w:rsid w:val="00B226D6"/>
    <w:rsid w:val="00B22801"/>
    <w:rsid w:val="00B22924"/>
    <w:rsid w:val="00B229D6"/>
    <w:rsid w:val="00B22AE0"/>
    <w:rsid w:val="00B22BDE"/>
    <w:rsid w:val="00B22CF9"/>
    <w:rsid w:val="00B23068"/>
    <w:rsid w:val="00B232A2"/>
    <w:rsid w:val="00B232C3"/>
    <w:rsid w:val="00B2330A"/>
    <w:rsid w:val="00B2331D"/>
    <w:rsid w:val="00B23488"/>
    <w:rsid w:val="00B235B3"/>
    <w:rsid w:val="00B235D8"/>
    <w:rsid w:val="00B23834"/>
    <w:rsid w:val="00B23B28"/>
    <w:rsid w:val="00B23D99"/>
    <w:rsid w:val="00B23E81"/>
    <w:rsid w:val="00B2430C"/>
    <w:rsid w:val="00B24382"/>
    <w:rsid w:val="00B2465F"/>
    <w:rsid w:val="00B2472E"/>
    <w:rsid w:val="00B247BF"/>
    <w:rsid w:val="00B24AFA"/>
    <w:rsid w:val="00B24DBE"/>
    <w:rsid w:val="00B24F0A"/>
    <w:rsid w:val="00B250EE"/>
    <w:rsid w:val="00B258FF"/>
    <w:rsid w:val="00B259CA"/>
    <w:rsid w:val="00B259E3"/>
    <w:rsid w:val="00B260BE"/>
    <w:rsid w:val="00B26446"/>
    <w:rsid w:val="00B264E9"/>
    <w:rsid w:val="00B26D6A"/>
    <w:rsid w:val="00B26E4C"/>
    <w:rsid w:val="00B26E66"/>
    <w:rsid w:val="00B27259"/>
    <w:rsid w:val="00B274A4"/>
    <w:rsid w:val="00B2759F"/>
    <w:rsid w:val="00B27607"/>
    <w:rsid w:val="00B2763F"/>
    <w:rsid w:val="00B27739"/>
    <w:rsid w:val="00B27AAC"/>
    <w:rsid w:val="00B27F97"/>
    <w:rsid w:val="00B27FD7"/>
    <w:rsid w:val="00B30074"/>
    <w:rsid w:val="00B30079"/>
    <w:rsid w:val="00B30150"/>
    <w:rsid w:val="00B305C6"/>
    <w:rsid w:val="00B30618"/>
    <w:rsid w:val="00B3079B"/>
    <w:rsid w:val="00B30929"/>
    <w:rsid w:val="00B3095F"/>
    <w:rsid w:val="00B30A29"/>
    <w:rsid w:val="00B30B80"/>
    <w:rsid w:val="00B30EC4"/>
    <w:rsid w:val="00B30F20"/>
    <w:rsid w:val="00B30F60"/>
    <w:rsid w:val="00B312F8"/>
    <w:rsid w:val="00B31461"/>
    <w:rsid w:val="00B314CF"/>
    <w:rsid w:val="00B31673"/>
    <w:rsid w:val="00B31712"/>
    <w:rsid w:val="00B317E3"/>
    <w:rsid w:val="00B3186E"/>
    <w:rsid w:val="00B31C29"/>
    <w:rsid w:val="00B322BF"/>
    <w:rsid w:val="00B326C8"/>
    <w:rsid w:val="00B32793"/>
    <w:rsid w:val="00B329F7"/>
    <w:rsid w:val="00B329FB"/>
    <w:rsid w:val="00B329FE"/>
    <w:rsid w:val="00B32DC9"/>
    <w:rsid w:val="00B32E1C"/>
    <w:rsid w:val="00B32FBB"/>
    <w:rsid w:val="00B330D6"/>
    <w:rsid w:val="00B33297"/>
    <w:rsid w:val="00B337BA"/>
    <w:rsid w:val="00B339CA"/>
    <w:rsid w:val="00B33BBA"/>
    <w:rsid w:val="00B33BF3"/>
    <w:rsid w:val="00B33D37"/>
    <w:rsid w:val="00B33DB5"/>
    <w:rsid w:val="00B347FF"/>
    <w:rsid w:val="00B34828"/>
    <w:rsid w:val="00B34A46"/>
    <w:rsid w:val="00B34E0D"/>
    <w:rsid w:val="00B3512D"/>
    <w:rsid w:val="00B35296"/>
    <w:rsid w:val="00B355E5"/>
    <w:rsid w:val="00B35710"/>
    <w:rsid w:val="00B3578A"/>
    <w:rsid w:val="00B35E94"/>
    <w:rsid w:val="00B36072"/>
    <w:rsid w:val="00B36208"/>
    <w:rsid w:val="00B363C6"/>
    <w:rsid w:val="00B36783"/>
    <w:rsid w:val="00B368F7"/>
    <w:rsid w:val="00B36FD8"/>
    <w:rsid w:val="00B37001"/>
    <w:rsid w:val="00B37043"/>
    <w:rsid w:val="00B37074"/>
    <w:rsid w:val="00B37228"/>
    <w:rsid w:val="00B372AA"/>
    <w:rsid w:val="00B37353"/>
    <w:rsid w:val="00B37424"/>
    <w:rsid w:val="00B3742E"/>
    <w:rsid w:val="00B378BE"/>
    <w:rsid w:val="00B37B47"/>
    <w:rsid w:val="00B37B83"/>
    <w:rsid w:val="00B37D3E"/>
    <w:rsid w:val="00B37EC7"/>
    <w:rsid w:val="00B37F24"/>
    <w:rsid w:val="00B40360"/>
    <w:rsid w:val="00B403AB"/>
    <w:rsid w:val="00B40445"/>
    <w:rsid w:val="00B405C9"/>
    <w:rsid w:val="00B405FA"/>
    <w:rsid w:val="00B407FA"/>
    <w:rsid w:val="00B409C0"/>
    <w:rsid w:val="00B409E0"/>
    <w:rsid w:val="00B40ABC"/>
    <w:rsid w:val="00B40AEC"/>
    <w:rsid w:val="00B40B5B"/>
    <w:rsid w:val="00B40CF5"/>
    <w:rsid w:val="00B40D77"/>
    <w:rsid w:val="00B40FCD"/>
    <w:rsid w:val="00B41073"/>
    <w:rsid w:val="00B410B5"/>
    <w:rsid w:val="00B415AC"/>
    <w:rsid w:val="00B4161E"/>
    <w:rsid w:val="00B4183B"/>
    <w:rsid w:val="00B41888"/>
    <w:rsid w:val="00B419C4"/>
    <w:rsid w:val="00B41ABE"/>
    <w:rsid w:val="00B41B46"/>
    <w:rsid w:val="00B41F61"/>
    <w:rsid w:val="00B41FA8"/>
    <w:rsid w:val="00B42355"/>
    <w:rsid w:val="00B42576"/>
    <w:rsid w:val="00B425F4"/>
    <w:rsid w:val="00B42639"/>
    <w:rsid w:val="00B42D2E"/>
    <w:rsid w:val="00B42E54"/>
    <w:rsid w:val="00B42EA5"/>
    <w:rsid w:val="00B4309F"/>
    <w:rsid w:val="00B4330D"/>
    <w:rsid w:val="00B433CF"/>
    <w:rsid w:val="00B43498"/>
    <w:rsid w:val="00B436CC"/>
    <w:rsid w:val="00B43858"/>
    <w:rsid w:val="00B438E8"/>
    <w:rsid w:val="00B43A42"/>
    <w:rsid w:val="00B43DF7"/>
    <w:rsid w:val="00B43EF4"/>
    <w:rsid w:val="00B44209"/>
    <w:rsid w:val="00B4422F"/>
    <w:rsid w:val="00B444BF"/>
    <w:rsid w:val="00B44683"/>
    <w:rsid w:val="00B44800"/>
    <w:rsid w:val="00B448E4"/>
    <w:rsid w:val="00B44D8B"/>
    <w:rsid w:val="00B44D9A"/>
    <w:rsid w:val="00B451BD"/>
    <w:rsid w:val="00B452C1"/>
    <w:rsid w:val="00B4577D"/>
    <w:rsid w:val="00B459E0"/>
    <w:rsid w:val="00B45A52"/>
    <w:rsid w:val="00B45B9A"/>
    <w:rsid w:val="00B45D5E"/>
    <w:rsid w:val="00B45DFC"/>
    <w:rsid w:val="00B45EA6"/>
    <w:rsid w:val="00B45EB4"/>
    <w:rsid w:val="00B46175"/>
    <w:rsid w:val="00B461A6"/>
    <w:rsid w:val="00B4668F"/>
    <w:rsid w:val="00B466CE"/>
    <w:rsid w:val="00B4685A"/>
    <w:rsid w:val="00B47477"/>
    <w:rsid w:val="00B47513"/>
    <w:rsid w:val="00B47571"/>
    <w:rsid w:val="00B479C0"/>
    <w:rsid w:val="00B47BF3"/>
    <w:rsid w:val="00B47C7F"/>
    <w:rsid w:val="00B47DE2"/>
    <w:rsid w:val="00B47DE6"/>
    <w:rsid w:val="00B47F96"/>
    <w:rsid w:val="00B500CA"/>
    <w:rsid w:val="00B501AF"/>
    <w:rsid w:val="00B5028D"/>
    <w:rsid w:val="00B502C4"/>
    <w:rsid w:val="00B509A8"/>
    <w:rsid w:val="00B509C2"/>
    <w:rsid w:val="00B50D02"/>
    <w:rsid w:val="00B50EE7"/>
    <w:rsid w:val="00B50F85"/>
    <w:rsid w:val="00B50F96"/>
    <w:rsid w:val="00B5120B"/>
    <w:rsid w:val="00B514EC"/>
    <w:rsid w:val="00B51AA4"/>
    <w:rsid w:val="00B51C4D"/>
    <w:rsid w:val="00B51CC8"/>
    <w:rsid w:val="00B523F4"/>
    <w:rsid w:val="00B52739"/>
    <w:rsid w:val="00B52889"/>
    <w:rsid w:val="00B52AD9"/>
    <w:rsid w:val="00B52B57"/>
    <w:rsid w:val="00B52B7A"/>
    <w:rsid w:val="00B52C41"/>
    <w:rsid w:val="00B52D0E"/>
    <w:rsid w:val="00B52DFC"/>
    <w:rsid w:val="00B52F36"/>
    <w:rsid w:val="00B53168"/>
    <w:rsid w:val="00B53220"/>
    <w:rsid w:val="00B53222"/>
    <w:rsid w:val="00B53651"/>
    <w:rsid w:val="00B53706"/>
    <w:rsid w:val="00B537D6"/>
    <w:rsid w:val="00B537F8"/>
    <w:rsid w:val="00B538A1"/>
    <w:rsid w:val="00B5393B"/>
    <w:rsid w:val="00B53B18"/>
    <w:rsid w:val="00B53CFF"/>
    <w:rsid w:val="00B53D14"/>
    <w:rsid w:val="00B53D98"/>
    <w:rsid w:val="00B53F1F"/>
    <w:rsid w:val="00B54024"/>
    <w:rsid w:val="00B540CE"/>
    <w:rsid w:val="00B54260"/>
    <w:rsid w:val="00B543FA"/>
    <w:rsid w:val="00B54521"/>
    <w:rsid w:val="00B545F4"/>
    <w:rsid w:val="00B54653"/>
    <w:rsid w:val="00B54704"/>
    <w:rsid w:val="00B548B7"/>
    <w:rsid w:val="00B549E8"/>
    <w:rsid w:val="00B54AD1"/>
    <w:rsid w:val="00B54BDF"/>
    <w:rsid w:val="00B54C71"/>
    <w:rsid w:val="00B54CE8"/>
    <w:rsid w:val="00B54D93"/>
    <w:rsid w:val="00B54DC8"/>
    <w:rsid w:val="00B55200"/>
    <w:rsid w:val="00B552ED"/>
    <w:rsid w:val="00B55464"/>
    <w:rsid w:val="00B5549D"/>
    <w:rsid w:val="00B55515"/>
    <w:rsid w:val="00B5556C"/>
    <w:rsid w:val="00B55628"/>
    <w:rsid w:val="00B55819"/>
    <w:rsid w:val="00B55DB8"/>
    <w:rsid w:val="00B56769"/>
    <w:rsid w:val="00B567E0"/>
    <w:rsid w:val="00B5694E"/>
    <w:rsid w:val="00B56D88"/>
    <w:rsid w:val="00B56EAC"/>
    <w:rsid w:val="00B57031"/>
    <w:rsid w:val="00B57169"/>
    <w:rsid w:val="00B57405"/>
    <w:rsid w:val="00B5745C"/>
    <w:rsid w:val="00B575C8"/>
    <w:rsid w:val="00B578D5"/>
    <w:rsid w:val="00B579A5"/>
    <w:rsid w:val="00B57B0D"/>
    <w:rsid w:val="00B57BD2"/>
    <w:rsid w:val="00B57CE3"/>
    <w:rsid w:val="00B57D00"/>
    <w:rsid w:val="00B57D41"/>
    <w:rsid w:val="00B6037A"/>
    <w:rsid w:val="00B6045E"/>
    <w:rsid w:val="00B60A08"/>
    <w:rsid w:val="00B60A7D"/>
    <w:rsid w:val="00B60A83"/>
    <w:rsid w:val="00B60C1F"/>
    <w:rsid w:val="00B60D8D"/>
    <w:rsid w:val="00B61068"/>
    <w:rsid w:val="00B611BB"/>
    <w:rsid w:val="00B612FD"/>
    <w:rsid w:val="00B61419"/>
    <w:rsid w:val="00B6194D"/>
    <w:rsid w:val="00B61AB2"/>
    <w:rsid w:val="00B61BBB"/>
    <w:rsid w:val="00B61D1F"/>
    <w:rsid w:val="00B61FA2"/>
    <w:rsid w:val="00B622D6"/>
    <w:rsid w:val="00B6240B"/>
    <w:rsid w:val="00B62693"/>
    <w:rsid w:val="00B627B3"/>
    <w:rsid w:val="00B62A39"/>
    <w:rsid w:val="00B62B8A"/>
    <w:rsid w:val="00B62E2A"/>
    <w:rsid w:val="00B6334B"/>
    <w:rsid w:val="00B633D9"/>
    <w:rsid w:val="00B639D2"/>
    <w:rsid w:val="00B63A84"/>
    <w:rsid w:val="00B63FCE"/>
    <w:rsid w:val="00B640B6"/>
    <w:rsid w:val="00B64176"/>
    <w:rsid w:val="00B641A0"/>
    <w:rsid w:val="00B642BB"/>
    <w:rsid w:val="00B64496"/>
    <w:rsid w:val="00B646B2"/>
    <w:rsid w:val="00B64807"/>
    <w:rsid w:val="00B648A3"/>
    <w:rsid w:val="00B649C6"/>
    <w:rsid w:val="00B651B2"/>
    <w:rsid w:val="00B6548D"/>
    <w:rsid w:val="00B65564"/>
    <w:rsid w:val="00B65BE1"/>
    <w:rsid w:val="00B65C52"/>
    <w:rsid w:val="00B65C57"/>
    <w:rsid w:val="00B65DC6"/>
    <w:rsid w:val="00B661CA"/>
    <w:rsid w:val="00B66207"/>
    <w:rsid w:val="00B664C7"/>
    <w:rsid w:val="00B66760"/>
    <w:rsid w:val="00B668B3"/>
    <w:rsid w:val="00B66976"/>
    <w:rsid w:val="00B669C2"/>
    <w:rsid w:val="00B66BBD"/>
    <w:rsid w:val="00B66C4E"/>
    <w:rsid w:val="00B66E3F"/>
    <w:rsid w:val="00B66EA0"/>
    <w:rsid w:val="00B66FA5"/>
    <w:rsid w:val="00B66FC2"/>
    <w:rsid w:val="00B67199"/>
    <w:rsid w:val="00B6728D"/>
    <w:rsid w:val="00B67407"/>
    <w:rsid w:val="00B6759E"/>
    <w:rsid w:val="00B6764A"/>
    <w:rsid w:val="00B676D4"/>
    <w:rsid w:val="00B67929"/>
    <w:rsid w:val="00B67AD5"/>
    <w:rsid w:val="00B67C8F"/>
    <w:rsid w:val="00B67D53"/>
    <w:rsid w:val="00B70009"/>
    <w:rsid w:val="00B70875"/>
    <w:rsid w:val="00B70DAA"/>
    <w:rsid w:val="00B70F23"/>
    <w:rsid w:val="00B70F9C"/>
    <w:rsid w:val="00B7115C"/>
    <w:rsid w:val="00B71184"/>
    <w:rsid w:val="00B71186"/>
    <w:rsid w:val="00B713BA"/>
    <w:rsid w:val="00B713F7"/>
    <w:rsid w:val="00B71424"/>
    <w:rsid w:val="00B715E9"/>
    <w:rsid w:val="00B7176F"/>
    <w:rsid w:val="00B71BFC"/>
    <w:rsid w:val="00B71D04"/>
    <w:rsid w:val="00B71D87"/>
    <w:rsid w:val="00B71E6A"/>
    <w:rsid w:val="00B71F66"/>
    <w:rsid w:val="00B724D9"/>
    <w:rsid w:val="00B7255D"/>
    <w:rsid w:val="00B725B7"/>
    <w:rsid w:val="00B7265C"/>
    <w:rsid w:val="00B72869"/>
    <w:rsid w:val="00B72B4C"/>
    <w:rsid w:val="00B72B4D"/>
    <w:rsid w:val="00B72B63"/>
    <w:rsid w:val="00B72C53"/>
    <w:rsid w:val="00B72FA4"/>
    <w:rsid w:val="00B732AA"/>
    <w:rsid w:val="00B732DE"/>
    <w:rsid w:val="00B7331E"/>
    <w:rsid w:val="00B733A4"/>
    <w:rsid w:val="00B735B6"/>
    <w:rsid w:val="00B7378A"/>
    <w:rsid w:val="00B73874"/>
    <w:rsid w:val="00B7391E"/>
    <w:rsid w:val="00B739DA"/>
    <w:rsid w:val="00B739F6"/>
    <w:rsid w:val="00B73B5B"/>
    <w:rsid w:val="00B73B76"/>
    <w:rsid w:val="00B73BDE"/>
    <w:rsid w:val="00B73C94"/>
    <w:rsid w:val="00B73D96"/>
    <w:rsid w:val="00B73DCD"/>
    <w:rsid w:val="00B7424A"/>
    <w:rsid w:val="00B742A5"/>
    <w:rsid w:val="00B742E2"/>
    <w:rsid w:val="00B74365"/>
    <w:rsid w:val="00B74498"/>
    <w:rsid w:val="00B7483C"/>
    <w:rsid w:val="00B749FB"/>
    <w:rsid w:val="00B74AA2"/>
    <w:rsid w:val="00B74C77"/>
    <w:rsid w:val="00B74DA9"/>
    <w:rsid w:val="00B74EC2"/>
    <w:rsid w:val="00B7512B"/>
    <w:rsid w:val="00B75356"/>
    <w:rsid w:val="00B754F4"/>
    <w:rsid w:val="00B75728"/>
    <w:rsid w:val="00B759B7"/>
    <w:rsid w:val="00B75EE5"/>
    <w:rsid w:val="00B75F40"/>
    <w:rsid w:val="00B7616A"/>
    <w:rsid w:val="00B761C1"/>
    <w:rsid w:val="00B7621E"/>
    <w:rsid w:val="00B763D6"/>
    <w:rsid w:val="00B7642B"/>
    <w:rsid w:val="00B76765"/>
    <w:rsid w:val="00B767B7"/>
    <w:rsid w:val="00B76A92"/>
    <w:rsid w:val="00B76BD3"/>
    <w:rsid w:val="00B76D84"/>
    <w:rsid w:val="00B76DE7"/>
    <w:rsid w:val="00B76E00"/>
    <w:rsid w:val="00B76E30"/>
    <w:rsid w:val="00B76EFB"/>
    <w:rsid w:val="00B7715B"/>
    <w:rsid w:val="00B77181"/>
    <w:rsid w:val="00B77189"/>
    <w:rsid w:val="00B77315"/>
    <w:rsid w:val="00B7735A"/>
    <w:rsid w:val="00B774AD"/>
    <w:rsid w:val="00B77619"/>
    <w:rsid w:val="00B77699"/>
    <w:rsid w:val="00B7772E"/>
    <w:rsid w:val="00B778E8"/>
    <w:rsid w:val="00B77A69"/>
    <w:rsid w:val="00B77CE8"/>
    <w:rsid w:val="00B77ECC"/>
    <w:rsid w:val="00B77F2C"/>
    <w:rsid w:val="00B80229"/>
    <w:rsid w:val="00B80337"/>
    <w:rsid w:val="00B80563"/>
    <w:rsid w:val="00B808F0"/>
    <w:rsid w:val="00B80B06"/>
    <w:rsid w:val="00B8101D"/>
    <w:rsid w:val="00B811F8"/>
    <w:rsid w:val="00B815B4"/>
    <w:rsid w:val="00B815EE"/>
    <w:rsid w:val="00B8161E"/>
    <w:rsid w:val="00B81A6C"/>
    <w:rsid w:val="00B81D59"/>
    <w:rsid w:val="00B820AA"/>
    <w:rsid w:val="00B82295"/>
    <w:rsid w:val="00B822F0"/>
    <w:rsid w:val="00B825DD"/>
    <w:rsid w:val="00B82778"/>
    <w:rsid w:val="00B8292A"/>
    <w:rsid w:val="00B829E2"/>
    <w:rsid w:val="00B82A96"/>
    <w:rsid w:val="00B82ABA"/>
    <w:rsid w:val="00B82BF3"/>
    <w:rsid w:val="00B82DEB"/>
    <w:rsid w:val="00B82E7C"/>
    <w:rsid w:val="00B83035"/>
    <w:rsid w:val="00B8318A"/>
    <w:rsid w:val="00B8366F"/>
    <w:rsid w:val="00B8384C"/>
    <w:rsid w:val="00B83870"/>
    <w:rsid w:val="00B83973"/>
    <w:rsid w:val="00B83AE6"/>
    <w:rsid w:val="00B840C4"/>
    <w:rsid w:val="00B84335"/>
    <w:rsid w:val="00B84356"/>
    <w:rsid w:val="00B84419"/>
    <w:rsid w:val="00B8453B"/>
    <w:rsid w:val="00B847A3"/>
    <w:rsid w:val="00B848E7"/>
    <w:rsid w:val="00B84A84"/>
    <w:rsid w:val="00B84BE3"/>
    <w:rsid w:val="00B84BEC"/>
    <w:rsid w:val="00B84C2B"/>
    <w:rsid w:val="00B84C74"/>
    <w:rsid w:val="00B84E3A"/>
    <w:rsid w:val="00B84F30"/>
    <w:rsid w:val="00B84F6F"/>
    <w:rsid w:val="00B85128"/>
    <w:rsid w:val="00B8524B"/>
    <w:rsid w:val="00B8552B"/>
    <w:rsid w:val="00B85731"/>
    <w:rsid w:val="00B858A3"/>
    <w:rsid w:val="00B858C6"/>
    <w:rsid w:val="00B85B4D"/>
    <w:rsid w:val="00B85DE5"/>
    <w:rsid w:val="00B85E7D"/>
    <w:rsid w:val="00B8603A"/>
    <w:rsid w:val="00B862A8"/>
    <w:rsid w:val="00B864D1"/>
    <w:rsid w:val="00B864DD"/>
    <w:rsid w:val="00B86849"/>
    <w:rsid w:val="00B86962"/>
    <w:rsid w:val="00B86B03"/>
    <w:rsid w:val="00B86B80"/>
    <w:rsid w:val="00B86BB9"/>
    <w:rsid w:val="00B86E1E"/>
    <w:rsid w:val="00B86E5C"/>
    <w:rsid w:val="00B86EA6"/>
    <w:rsid w:val="00B870A6"/>
    <w:rsid w:val="00B8754E"/>
    <w:rsid w:val="00B8769D"/>
    <w:rsid w:val="00B8790D"/>
    <w:rsid w:val="00B879FA"/>
    <w:rsid w:val="00B87A03"/>
    <w:rsid w:val="00B87D90"/>
    <w:rsid w:val="00B90132"/>
    <w:rsid w:val="00B90593"/>
    <w:rsid w:val="00B90D13"/>
    <w:rsid w:val="00B90D31"/>
    <w:rsid w:val="00B90F73"/>
    <w:rsid w:val="00B91295"/>
    <w:rsid w:val="00B91340"/>
    <w:rsid w:val="00B91531"/>
    <w:rsid w:val="00B91577"/>
    <w:rsid w:val="00B9178B"/>
    <w:rsid w:val="00B91A05"/>
    <w:rsid w:val="00B91A15"/>
    <w:rsid w:val="00B91C72"/>
    <w:rsid w:val="00B91E0F"/>
    <w:rsid w:val="00B91FF6"/>
    <w:rsid w:val="00B92072"/>
    <w:rsid w:val="00B92299"/>
    <w:rsid w:val="00B92A5C"/>
    <w:rsid w:val="00B92A8B"/>
    <w:rsid w:val="00B92FFC"/>
    <w:rsid w:val="00B930D7"/>
    <w:rsid w:val="00B931BC"/>
    <w:rsid w:val="00B93280"/>
    <w:rsid w:val="00B933F6"/>
    <w:rsid w:val="00B93699"/>
    <w:rsid w:val="00B9369C"/>
    <w:rsid w:val="00B93773"/>
    <w:rsid w:val="00B9397E"/>
    <w:rsid w:val="00B939EC"/>
    <w:rsid w:val="00B93B59"/>
    <w:rsid w:val="00B93BB0"/>
    <w:rsid w:val="00B93F4A"/>
    <w:rsid w:val="00B93F6B"/>
    <w:rsid w:val="00B9406A"/>
    <w:rsid w:val="00B9412D"/>
    <w:rsid w:val="00B94150"/>
    <w:rsid w:val="00B944E9"/>
    <w:rsid w:val="00B94614"/>
    <w:rsid w:val="00B9475D"/>
    <w:rsid w:val="00B94A41"/>
    <w:rsid w:val="00B94B09"/>
    <w:rsid w:val="00B94DE6"/>
    <w:rsid w:val="00B94EB8"/>
    <w:rsid w:val="00B94F18"/>
    <w:rsid w:val="00B95011"/>
    <w:rsid w:val="00B950BF"/>
    <w:rsid w:val="00B9535C"/>
    <w:rsid w:val="00B95610"/>
    <w:rsid w:val="00B956E2"/>
    <w:rsid w:val="00B95828"/>
    <w:rsid w:val="00B95C2D"/>
    <w:rsid w:val="00B95D6F"/>
    <w:rsid w:val="00B96717"/>
    <w:rsid w:val="00B9673E"/>
    <w:rsid w:val="00B96802"/>
    <w:rsid w:val="00B96899"/>
    <w:rsid w:val="00B96BF6"/>
    <w:rsid w:val="00B96C15"/>
    <w:rsid w:val="00B96D72"/>
    <w:rsid w:val="00B96DF0"/>
    <w:rsid w:val="00B96E55"/>
    <w:rsid w:val="00B97083"/>
    <w:rsid w:val="00B975B0"/>
    <w:rsid w:val="00B97645"/>
    <w:rsid w:val="00B976CE"/>
    <w:rsid w:val="00B97832"/>
    <w:rsid w:val="00B978D1"/>
    <w:rsid w:val="00B97B22"/>
    <w:rsid w:val="00B97B63"/>
    <w:rsid w:val="00B97CDA"/>
    <w:rsid w:val="00B97D9E"/>
    <w:rsid w:val="00B97E16"/>
    <w:rsid w:val="00BA00BB"/>
    <w:rsid w:val="00BA0143"/>
    <w:rsid w:val="00BA038B"/>
    <w:rsid w:val="00BA047E"/>
    <w:rsid w:val="00BA0790"/>
    <w:rsid w:val="00BA08D8"/>
    <w:rsid w:val="00BA0AA7"/>
    <w:rsid w:val="00BA0B85"/>
    <w:rsid w:val="00BA0D63"/>
    <w:rsid w:val="00BA0E24"/>
    <w:rsid w:val="00BA0F94"/>
    <w:rsid w:val="00BA10C9"/>
    <w:rsid w:val="00BA11DA"/>
    <w:rsid w:val="00BA12CE"/>
    <w:rsid w:val="00BA14DC"/>
    <w:rsid w:val="00BA1505"/>
    <w:rsid w:val="00BA1506"/>
    <w:rsid w:val="00BA169B"/>
    <w:rsid w:val="00BA1C73"/>
    <w:rsid w:val="00BA1D70"/>
    <w:rsid w:val="00BA1DB3"/>
    <w:rsid w:val="00BA1EE0"/>
    <w:rsid w:val="00BA2280"/>
    <w:rsid w:val="00BA246E"/>
    <w:rsid w:val="00BA26A3"/>
    <w:rsid w:val="00BA27B6"/>
    <w:rsid w:val="00BA2940"/>
    <w:rsid w:val="00BA29AE"/>
    <w:rsid w:val="00BA2A08"/>
    <w:rsid w:val="00BA2AAE"/>
    <w:rsid w:val="00BA2E17"/>
    <w:rsid w:val="00BA2E49"/>
    <w:rsid w:val="00BA3012"/>
    <w:rsid w:val="00BA306B"/>
    <w:rsid w:val="00BA31A3"/>
    <w:rsid w:val="00BA324E"/>
    <w:rsid w:val="00BA34F4"/>
    <w:rsid w:val="00BA354B"/>
    <w:rsid w:val="00BA35FE"/>
    <w:rsid w:val="00BA37EE"/>
    <w:rsid w:val="00BA3C80"/>
    <w:rsid w:val="00BA3CDE"/>
    <w:rsid w:val="00BA3D0A"/>
    <w:rsid w:val="00BA3E75"/>
    <w:rsid w:val="00BA3E94"/>
    <w:rsid w:val="00BA413C"/>
    <w:rsid w:val="00BA4306"/>
    <w:rsid w:val="00BA45D7"/>
    <w:rsid w:val="00BA4857"/>
    <w:rsid w:val="00BA48B3"/>
    <w:rsid w:val="00BA4B18"/>
    <w:rsid w:val="00BA4C1B"/>
    <w:rsid w:val="00BA4DD6"/>
    <w:rsid w:val="00BA4EB0"/>
    <w:rsid w:val="00BA4EB3"/>
    <w:rsid w:val="00BA5032"/>
    <w:rsid w:val="00BA533A"/>
    <w:rsid w:val="00BA56D2"/>
    <w:rsid w:val="00BA56DF"/>
    <w:rsid w:val="00BA57CB"/>
    <w:rsid w:val="00BA5805"/>
    <w:rsid w:val="00BA5829"/>
    <w:rsid w:val="00BA595D"/>
    <w:rsid w:val="00BA5AC1"/>
    <w:rsid w:val="00BA5B19"/>
    <w:rsid w:val="00BA5D16"/>
    <w:rsid w:val="00BA5FC7"/>
    <w:rsid w:val="00BA6290"/>
    <w:rsid w:val="00BA6829"/>
    <w:rsid w:val="00BA68F8"/>
    <w:rsid w:val="00BA6909"/>
    <w:rsid w:val="00BA6A08"/>
    <w:rsid w:val="00BA6A10"/>
    <w:rsid w:val="00BA6ADA"/>
    <w:rsid w:val="00BA6B06"/>
    <w:rsid w:val="00BA6B50"/>
    <w:rsid w:val="00BA6B63"/>
    <w:rsid w:val="00BA6E85"/>
    <w:rsid w:val="00BA6ED2"/>
    <w:rsid w:val="00BA6F13"/>
    <w:rsid w:val="00BA712A"/>
    <w:rsid w:val="00BA716F"/>
    <w:rsid w:val="00BA71B5"/>
    <w:rsid w:val="00BA755E"/>
    <w:rsid w:val="00BA765D"/>
    <w:rsid w:val="00BA769E"/>
    <w:rsid w:val="00BA76E0"/>
    <w:rsid w:val="00BA7700"/>
    <w:rsid w:val="00BA7F14"/>
    <w:rsid w:val="00BB0069"/>
    <w:rsid w:val="00BB0114"/>
    <w:rsid w:val="00BB024D"/>
    <w:rsid w:val="00BB0299"/>
    <w:rsid w:val="00BB09B3"/>
    <w:rsid w:val="00BB0C58"/>
    <w:rsid w:val="00BB0C5D"/>
    <w:rsid w:val="00BB0CE8"/>
    <w:rsid w:val="00BB0D90"/>
    <w:rsid w:val="00BB0DFB"/>
    <w:rsid w:val="00BB0FCA"/>
    <w:rsid w:val="00BB1032"/>
    <w:rsid w:val="00BB1251"/>
    <w:rsid w:val="00BB12A9"/>
    <w:rsid w:val="00BB13DB"/>
    <w:rsid w:val="00BB1746"/>
    <w:rsid w:val="00BB17B1"/>
    <w:rsid w:val="00BB1A32"/>
    <w:rsid w:val="00BB1BDF"/>
    <w:rsid w:val="00BB1E41"/>
    <w:rsid w:val="00BB1EBE"/>
    <w:rsid w:val="00BB2241"/>
    <w:rsid w:val="00BB24BA"/>
    <w:rsid w:val="00BB24E3"/>
    <w:rsid w:val="00BB26B5"/>
    <w:rsid w:val="00BB28B3"/>
    <w:rsid w:val="00BB2968"/>
    <w:rsid w:val="00BB2A25"/>
    <w:rsid w:val="00BB2A95"/>
    <w:rsid w:val="00BB2AB1"/>
    <w:rsid w:val="00BB2AE9"/>
    <w:rsid w:val="00BB2BFF"/>
    <w:rsid w:val="00BB2C7A"/>
    <w:rsid w:val="00BB2D13"/>
    <w:rsid w:val="00BB2DBB"/>
    <w:rsid w:val="00BB2E1D"/>
    <w:rsid w:val="00BB2EEE"/>
    <w:rsid w:val="00BB2F3F"/>
    <w:rsid w:val="00BB2FF7"/>
    <w:rsid w:val="00BB3171"/>
    <w:rsid w:val="00BB31BF"/>
    <w:rsid w:val="00BB31FF"/>
    <w:rsid w:val="00BB3247"/>
    <w:rsid w:val="00BB396B"/>
    <w:rsid w:val="00BB3A1C"/>
    <w:rsid w:val="00BB3CD9"/>
    <w:rsid w:val="00BB40AA"/>
    <w:rsid w:val="00BB40BD"/>
    <w:rsid w:val="00BB463F"/>
    <w:rsid w:val="00BB48A5"/>
    <w:rsid w:val="00BB4970"/>
    <w:rsid w:val="00BB4C4C"/>
    <w:rsid w:val="00BB50E8"/>
    <w:rsid w:val="00BB51E9"/>
    <w:rsid w:val="00BB54E5"/>
    <w:rsid w:val="00BB557C"/>
    <w:rsid w:val="00BB58AC"/>
    <w:rsid w:val="00BB59D1"/>
    <w:rsid w:val="00BB5A2F"/>
    <w:rsid w:val="00BB5AF6"/>
    <w:rsid w:val="00BB5B0F"/>
    <w:rsid w:val="00BB5E34"/>
    <w:rsid w:val="00BB6045"/>
    <w:rsid w:val="00BB613A"/>
    <w:rsid w:val="00BB64A5"/>
    <w:rsid w:val="00BB6512"/>
    <w:rsid w:val="00BB6D05"/>
    <w:rsid w:val="00BB6D0F"/>
    <w:rsid w:val="00BB6DFD"/>
    <w:rsid w:val="00BB6EAD"/>
    <w:rsid w:val="00BB72D8"/>
    <w:rsid w:val="00BB7304"/>
    <w:rsid w:val="00BB7587"/>
    <w:rsid w:val="00BB764B"/>
    <w:rsid w:val="00BB76DD"/>
    <w:rsid w:val="00BB7CCF"/>
    <w:rsid w:val="00BB7F72"/>
    <w:rsid w:val="00BB7F85"/>
    <w:rsid w:val="00BB7F88"/>
    <w:rsid w:val="00BC0507"/>
    <w:rsid w:val="00BC0509"/>
    <w:rsid w:val="00BC06AB"/>
    <w:rsid w:val="00BC074C"/>
    <w:rsid w:val="00BC07C7"/>
    <w:rsid w:val="00BC0AEB"/>
    <w:rsid w:val="00BC0DC2"/>
    <w:rsid w:val="00BC0DD3"/>
    <w:rsid w:val="00BC0F03"/>
    <w:rsid w:val="00BC0FDC"/>
    <w:rsid w:val="00BC12D8"/>
    <w:rsid w:val="00BC12E9"/>
    <w:rsid w:val="00BC14CD"/>
    <w:rsid w:val="00BC1696"/>
    <w:rsid w:val="00BC17FE"/>
    <w:rsid w:val="00BC18F0"/>
    <w:rsid w:val="00BC1B8D"/>
    <w:rsid w:val="00BC1BA0"/>
    <w:rsid w:val="00BC1D4A"/>
    <w:rsid w:val="00BC1E06"/>
    <w:rsid w:val="00BC25BB"/>
    <w:rsid w:val="00BC25E4"/>
    <w:rsid w:val="00BC27D7"/>
    <w:rsid w:val="00BC2888"/>
    <w:rsid w:val="00BC2C29"/>
    <w:rsid w:val="00BC3053"/>
    <w:rsid w:val="00BC306F"/>
    <w:rsid w:val="00BC33BF"/>
    <w:rsid w:val="00BC33DF"/>
    <w:rsid w:val="00BC33F9"/>
    <w:rsid w:val="00BC34D1"/>
    <w:rsid w:val="00BC34F3"/>
    <w:rsid w:val="00BC35C8"/>
    <w:rsid w:val="00BC380D"/>
    <w:rsid w:val="00BC3A8D"/>
    <w:rsid w:val="00BC3F10"/>
    <w:rsid w:val="00BC409E"/>
    <w:rsid w:val="00BC4387"/>
    <w:rsid w:val="00BC4785"/>
    <w:rsid w:val="00BC4B84"/>
    <w:rsid w:val="00BC4C77"/>
    <w:rsid w:val="00BC4D2E"/>
    <w:rsid w:val="00BC4F90"/>
    <w:rsid w:val="00BC5355"/>
    <w:rsid w:val="00BC569D"/>
    <w:rsid w:val="00BC57F6"/>
    <w:rsid w:val="00BC5868"/>
    <w:rsid w:val="00BC5CA2"/>
    <w:rsid w:val="00BC5D6E"/>
    <w:rsid w:val="00BC5DE5"/>
    <w:rsid w:val="00BC5EF7"/>
    <w:rsid w:val="00BC6783"/>
    <w:rsid w:val="00BC689A"/>
    <w:rsid w:val="00BC69BD"/>
    <w:rsid w:val="00BC69F3"/>
    <w:rsid w:val="00BC6A36"/>
    <w:rsid w:val="00BC6A3B"/>
    <w:rsid w:val="00BC6AA3"/>
    <w:rsid w:val="00BC6AF5"/>
    <w:rsid w:val="00BC6BD4"/>
    <w:rsid w:val="00BC6D1D"/>
    <w:rsid w:val="00BC6FE5"/>
    <w:rsid w:val="00BC77D8"/>
    <w:rsid w:val="00BC78EA"/>
    <w:rsid w:val="00BC7A1B"/>
    <w:rsid w:val="00BC7A82"/>
    <w:rsid w:val="00BC7E87"/>
    <w:rsid w:val="00BC7FF9"/>
    <w:rsid w:val="00BD0267"/>
    <w:rsid w:val="00BD042D"/>
    <w:rsid w:val="00BD0586"/>
    <w:rsid w:val="00BD09C3"/>
    <w:rsid w:val="00BD0AFF"/>
    <w:rsid w:val="00BD0BD0"/>
    <w:rsid w:val="00BD1321"/>
    <w:rsid w:val="00BD13B0"/>
    <w:rsid w:val="00BD13DD"/>
    <w:rsid w:val="00BD147F"/>
    <w:rsid w:val="00BD1529"/>
    <w:rsid w:val="00BD1775"/>
    <w:rsid w:val="00BD17AF"/>
    <w:rsid w:val="00BD18B7"/>
    <w:rsid w:val="00BD1CA6"/>
    <w:rsid w:val="00BD1EF0"/>
    <w:rsid w:val="00BD1F26"/>
    <w:rsid w:val="00BD20C1"/>
    <w:rsid w:val="00BD2177"/>
    <w:rsid w:val="00BD2268"/>
    <w:rsid w:val="00BD237E"/>
    <w:rsid w:val="00BD23D6"/>
    <w:rsid w:val="00BD2491"/>
    <w:rsid w:val="00BD25F7"/>
    <w:rsid w:val="00BD277C"/>
    <w:rsid w:val="00BD2955"/>
    <w:rsid w:val="00BD2B1F"/>
    <w:rsid w:val="00BD2B60"/>
    <w:rsid w:val="00BD2C53"/>
    <w:rsid w:val="00BD2CA8"/>
    <w:rsid w:val="00BD3342"/>
    <w:rsid w:val="00BD33D2"/>
    <w:rsid w:val="00BD38C6"/>
    <w:rsid w:val="00BD3D68"/>
    <w:rsid w:val="00BD3D8A"/>
    <w:rsid w:val="00BD3DAC"/>
    <w:rsid w:val="00BD439E"/>
    <w:rsid w:val="00BD4473"/>
    <w:rsid w:val="00BD4577"/>
    <w:rsid w:val="00BD45EF"/>
    <w:rsid w:val="00BD48AC"/>
    <w:rsid w:val="00BD4BF0"/>
    <w:rsid w:val="00BD4D92"/>
    <w:rsid w:val="00BD5223"/>
    <w:rsid w:val="00BD54F1"/>
    <w:rsid w:val="00BD5F1A"/>
    <w:rsid w:val="00BD5F1B"/>
    <w:rsid w:val="00BD5F8C"/>
    <w:rsid w:val="00BD5FF1"/>
    <w:rsid w:val="00BD614C"/>
    <w:rsid w:val="00BD625D"/>
    <w:rsid w:val="00BD659C"/>
    <w:rsid w:val="00BD6627"/>
    <w:rsid w:val="00BD66B8"/>
    <w:rsid w:val="00BD6748"/>
    <w:rsid w:val="00BD6F5E"/>
    <w:rsid w:val="00BD717D"/>
    <w:rsid w:val="00BD71F9"/>
    <w:rsid w:val="00BD72D9"/>
    <w:rsid w:val="00BD745D"/>
    <w:rsid w:val="00BD7519"/>
    <w:rsid w:val="00BD763C"/>
    <w:rsid w:val="00BD795D"/>
    <w:rsid w:val="00BD7B03"/>
    <w:rsid w:val="00BD7D20"/>
    <w:rsid w:val="00BD7DF1"/>
    <w:rsid w:val="00BD7E11"/>
    <w:rsid w:val="00BD7EC6"/>
    <w:rsid w:val="00BE0173"/>
    <w:rsid w:val="00BE0174"/>
    <w:rsid w:val="00BE02A1"/>
    <w:rsid w:val="00BE035D"/>
    <w:rsid w:val="00BE09C6"/>
    <w:rsid w:val="00BE0A6F"/>
    <w:rsid w:val="00BE0BCA"/>
    <w:rsid w:val="00BE0CB5"/>
    <w:rsid w:val="00BE0CE5"/>
    <w:rsid w:val="00BE0DA5"/>
    <w:rsid w:val="00BE1112"/>
    <w:rsid w:val="00BE11AC"/>
    <w:rsid w:val="00BE1234"/>
    <w:rsid w:val="00BE1775"/>
    <w:rsid w:val="00BE19C8"/>
    <w:rsid w:val="00BE1AD9"/>
    <w:rsid w:val="00BE1C4C"/>
    <w:rsid w:val="00BE1CAF"/>
    <w:rsid w:val="00BE1D23"/>
    <w:rsid w:val="00BE1D7E"/>
    <w:rsid w:val="00BE1D83"/>
    <w:rsid w:val="00BE1EEE"/>
    <w:rsid w:val="00BE20DB"/>
    <w:rsid w:val="00BE2679"/>
    <w:rsid w:val="00BE26EE"/>
    <w:rsid w:val="00BE2724"/>
    <w:rsid w:val="00BE27DA"/>
    <w:rsid w:val="00BE27E7"/>
    <w:rsid w:val="00BE292A"/>
    <w:rsid w:val="00BE2BE0"/>
    <w:rsid w:val="00BE2CA0"/>
    <w:rsid w:val="00BE2CB9"/>
    <w:rsid w:val="00BE2FA6"/>
    <w:rsid w:val="00BE333F"/>
    <w:rsid w:val="00BE371C"/>
    <w:rsid w:val="00BE388D"/>
    <w:rsid w:val="00BE3ADA"/>
    <w:rsid w:val="00BE3AEB"/>
    <w:rsid w:val="00BE3C7A"/>
    <w:rsid w:val="00BE3C7C"/>
    <w:rsid w:val="00BE4103"/>
    <w:rsid w:val="00BE4224"/>
    <w:rsid w:val="00BE435C"/>
    <w:rsid w:val="00BE4373"/>
    <w:rsid w:val="00BE43F2"/>
    <w:rsid w:val="00BE446D"/>
    <w:rsid w:val="00BE451A"/>
    <w:rsid w:val="00BE4775"/>
    <w:rsid w:val="00BE4777"/>
    <w:rsid w:val="00BE4C4A"/>
    <w:rsid w:val="00BE4D7D"/>
    <w:rsid w:val="00BE4E1D"/>
    <w:rsid w:val="00BE51BB"/>
    <w:rsid w:val="00BE538A"/>
    <w:rsid w:val="00BE5414"/>
    <w:rsid w:val="00BE5990"/>
    <w:rsid w:val="00BE59EC"/>
    <w:rsid w:val="00BE5A64"/>
    <w:rsid w:val="00BE626D"/>
    <w:rsid w:val="00BE63DD"/>
    <w:rsid w:val="00BE6483"/>
    <w:rsid w:val="00BE666C"/>
    <w:rsid w:val="00BE6822"/>
    <w:rsid w:val="00BE6848"/>
    <w:rsid w:val="00BE6A36"/>
    <w:rsid w:val="00BE6DFF"/>
    <w:rsid w:val="00BE6E70"/>
    <w:rsid w:val="00BE7227"/>
    <w:rsid w:val="00BE724E"/>
    <w:rsid w:val="00BE7271"/>
    <w:rsid w:val="00BE7289"/>
    <w:rsid w:val="00BE72E4"/>
    <w:rsid w:val="00BE7406"/>
    <w:rsid w:val="00BE74FE"/>
    <w:rsid w:val="00BE751B"/>
    <w:rsid w:val="00BE7603"/>
    <w:rsid w:val="00BE76F1"/>
    <w:rsid w:val="00BE7787"/>
    <w:rsid w:val="00BE7CB6"/>
    <w:rsid w:val="00BE7D07"/>
    <w:rsid w:val="00BF0329"/>
    <w:rsid w:val="00BF03BA"/>
    <w:rsid w:val="00BF041A"/>
    <w:rsid w:val="00BF0590"/>
    <w:rsid w:val="00BF07CD"/>
    <w:rsid w:val="00BF0916"/>
    <w:rsid w:val="00BF0A26"/>
    <w:rsid w:val="00BF0AB1"/>
    <w:rsid w:val="00BF0D7F"/>
    <w:rsid w:val="00BF0F2B"/>
    <w:rsid w:val="00BF12BA"/>
    <w:rsid w:val="00BF14E9"/>
    <w:rsid w:val="00BF1566"/>
    <w:rsid w:val="00BF1664"/>
    <w:rsid w:val="00BF1930"/>
    <w:rsid w:val="00BF1C2E"/>
    <w:rsid w:val="00BF1DEE"/>
    <w:rsid w:val="00BF20BA"/>
    <w:rsid w:val="00BF21D0"/>
    <w:rsid w:val="00BF28DC"/>
    <w:rsid w:val="00BF292C"/>
    <w:rsid w:val="00BF2947"/>
    <w:rsid w:val="00BF2B76"/>
    <w:rsid w:val="00BF2F73"/>
    <w:rsid w:val="00BF30F3"/>
    <w:rsid w:val="00BF3279"/>
    <w:rsid w:val="00BF32A7"/>
    <w:rsid w:val="00BF33B0"/>
    <w:rsid w:val="00BF33C2"/>
    <w:rsid w:val="00BF345C"/>
    <w:rsid w:val="00BF357F"/>
    <w:rsid w:val="00BF3609"/>
    <w:rsid w:val="00BF3795"/>
    <w:rsid w:val="00BF38A8"/>
    <w:rsid w:val="00BF3A50"/>
    <w:rsid w:val="00BF3ACC"/>
    <w:rsid w:val="00BF3BCF"/>
    <w:rsid w:val="00BF3D0F"/>
    <w:rsid w:val="00BF3E54"/>
    <w:rsid w:val="00BF4088"/>
    <w:rsid w:val="00BF41B8"/>
    <w:rsid w:val="00BF446D"/>
    <w:rsid w:val="00BF4758"/>
    <w:rsid w:val="00BF485B"/>
    <w:rsid w:val="00BF4B2D"/>
    <w:rsid w:val="00BF4D71"/>
    <w:rsid w:val="00BF4F29"/>
    <w:rsid w:val="00BF500F"/>
    <w:rsid w:val="00BF510E"/>
    <w:rsid w:val="00BF52A6"/>
    <w:rsid w:val="00BF53F4"/>
    <w:rsid w:val="00BF5648"/>
    <w:rsid w:val="00BF5A2E"/>
    <w:rsid w:val="00BF5A8F"/>
    <w:rsid w:val="00BF5D87"/>
    <w:rsid w:val="00BF5DC3"/>
    <w:rsid w:val="00BF5ED5"/>
    <w:rsid w:val="00BF6160"/>
    <w:rsid w:val="00BF61E2"/>
    <w:rsid w:val="00BF64E3"/>
    <w:rsid w:val="00BF68FF"/>
    <w:rsid w:val="00BF692A"/>
    <w:rsid w:val="00BF6C19"/>
    <w:rsid w:val="00BF6FE9"/>
    <w:rsid w:val="00BF71F9"/>
    <w:rsid w:val="00BF7316"/>
    <w:rsid w:val="00BF736B"/>
    <w:rsid w:val="00BF74C7"/>
    <w:rsid w:val="00BF755B"/>
    <w:rsid w:val="00BF75D6"/>
    <w:rsid w:val="00BF7A74"/>
    <w:rsid w:val="00BF7BB0"/>
    <w:rsid w:val="00BF7D6A"/>
    <w:rsid w:val="00BF7E5C"/>
    <w:rsid w:val="00C00112"/>
    <w:rsid w:val="00C00339"/>
    <w:rsid w:val="00C0046D"/>
    <w:rsid w:val="00C00A07"/>
    <w:rsid w:val="00C00F0D"/>
    <w:rsid w:val="00C00F61"/>
    <w:rsid w:val="00C00FB6"/>
    <w:rsid w:val="00C0101C"/>
    <w:rsid w:val="00C01279"/>
    <w:rsid w:val="00C015E3"/>
    <w:rsid w:val="00C015F1"/>
    <w:rsid w:val="00C01862"/>
    <w:rsid w:val="00C01881"/>
    <w:rsid w:val="00C01D88"/>
    <w:rsid w:val="00C01F33"/>
    <w:rsid w:val="00C0218B"/>
    <w:rsid w:val="00C02391"/>
    <w:rsid w:val="00C02C9A"/>
    <w:rsid w:val="00C02CC6"/>
    <w:rsid w:val="00C03636"/>
    <w:rsid w:val="00C03715"/>
    <w:rsid w:val="00C03A5C"/>
    <w:rsid w:val="00C03AEE"/>
    <w:rsid w:val="00C03BA0"/>
    <w:rsid w:val="00C040F7"/>
    <w:rsid w:val="00C0416E"/>
    <w:rsid w:val="00C04301"/>
    <w:rsid w:val="00C043BD"/>
    <w:rsid w:val="00C0447D"/>
    <w:rsid w:val="00C044AB"/>
    <w:rsid w:val="00C044C5"/>
    <w:rsid w:val="00C04614"/>
    <w:rsid w:val="00C04955"/>
    <w:rsid w:val="00C04B0E"/>
    <w:rsid w:val="00C04B21"/>
    <w:rsid w:val="00C04C50"/>
    <w:rsid w:val="00C04D61"/>
    <w:rsid w:val="00C04E35"/>
    <w:rsid w:val="00C051D2"/>
    <w:rsid w:val="00C054AF"/>
    <w:rsid w:val="00C056B3"/>
    <w:rsid w:val="00C05706"/>
    <w:rsid w:val="00C058B2"/>
    <w:rsid w:val="00C05AB2"/>
    <w:rsid w:val="00C05B68"/>
    <w:rsid w:val="00C05BAC"/>
    <w:rsid w:val="00C05D3F"/>
    <w:rsid w:val="00C05D96"/>
    <w:rsid w:val="00C05EA7"/>
    <w:rsid w:val="00C05ED4"/>
    <w:rsid w:val="00C06208"/>
    <w:rsid w:val="00C06266"/>
    <w:rsid w:val="00C065B2"/>
    <w:rsid w:val="00C06802"/>
    <w:rsid w:val="00C06819"/>
    <w:rsid w:val="00C06C54"/>
    <w:rsid w:val="00C06CED"/>
    <w:rsid w:val="00C07193"/>
    <w:rsid w:val="00C071B0"/>
    <w:rsid w:val="00C071DE"/>
    <w:rsid w:val="00C07377"/>
    <w:rsid w:val="00C07BF6"/>
    <w:rsid w:val="00C10124"/>
    <w:rsid w:val="00C10131"/>
    <w:rsid w:val="00C102AB"/>
    <w:rsid w:val="00C103BB"/>
    <w:rsid w:val="00C103D6"/>
    <w:rsid w:val="00C10438"/>
    <w:rsid w:val="00C10478"/>
    <w:rsid w:val="00C10675"/>
    <w:rsid w:val="00C10778"/>
    <w:rsid w:val="00C10920"/>
    <w:rsid w:val="00C10ACF"/>
    <w:rsid w:val="00C10B40"/>
    <w:rsid w:val="00C10CAE"/>
    <w:rsid w:val="00C10E97"/>
    <w:rsid w:val="00C1105D"/>
    <w:rsid w:val="00C113A6"/>
    <w:rsid w:val="00C115A3"/>
    <w:rsid w:val="00C115CA"/>
    <w:rsid w:val="00C11665"/>
    <w:rsid w:val="00C11786"/>
    <w:rsid w:val="00C118AA"/>
    <w:rsid w:val="00C118C2"/>
    <w:rsid w:val="00C119A4"/>
    <w:rsid w:val="00C11BB3"/>
    <w:rsid w:val="00C11CEA"/>
    <w:rsid w:val="00C11DDA"/>
    <w:rsid w:val="00C11FCB"/>
    <w:rsid w:val="00C1200D"/>
    <w:rsid w:val="00C12107"/>
    <w:rsid w:val="00C12527"/>
    <w:rsid w:val="00C12559"/>
    <w:rsid w:val="00C12667"/>
    <w:rsid w:val="00C126BA"/>
    <w:rsid w:val="00C12781"/>
    <w:rsid w:val="00C12AFC"/>
    <w:rsid w:val="00C12BBC"/>
    <w:rsid w:val="00C12C8F"/>
    <w:rsid w:val="00C12FC6"/>
    <w:rsid w:val="00C130A3"/>
    <w:rsid w:val="00C13395"/>
    <w:rsid w:val="00C133C8"/>
    <w:rsid w:val="00C134C3"/>
    <w:rsid w:val="00C1353B"/>
    <w:rsid w:val="00C136F6"/>
    <w:rsid w:val="00C13741"/>
    <w:rsid w:val="00C13C74"/>
    <w:rsid w:val="00C14112"/>
    <w:rsid w:val="00C1412B"/>
    <w:rsid w:val="00C1436B"/>
    <w:rsid w:val="00C143C0"/>
    <w:rsid w:val="00C145AE"/>
    <w:rsid w:val="00C14760"/>
    <w:rsid w:val="00C1499A"/>
    <w:rsid w:val="00C14C20"/>
    <w:rsid w:val="00C14D4B"/>
    <w:rsid w:val="00C14FF8"/>
    <w:rsid w:val="00C15040"/>
    <w:rsid w:val="00C1506F"/>
    <w:rsid w:val="00C15105"/>
    <w:rsid w:val="00C151CC"/>
    <w:rsid w:val="00C1528F"/>
    <w:rsid w:val="00C154A0"/>
    <w:rsid w:val="00C154BB"/>
    <w:rsid w:val="00C157EE"/>
    <w:rsid w:val="00C15AD9"/>
    <w:rsid w:val="00C15B15"/>
    <w:rsid w:val="00C15CDA"/>
    <w:rsid w:val="00C15CE0"/>
    <w:rsid w:val="00C15E98"/>
    <w:rsid w:val="00C161E6"/>
    <w:rsid w:val="00C16494"/>
    <w:rsid w:val="00C16A82"/>
    <w:rsid w:val="00C16CED"/>
    <w:rsid w:val="00C16D80"/>
    <w:rsid w:val="00C16E2B"/>
    <w:rsid w:val="00C16F64"/>
    <w:rsid w:val="00C17103"/>
    <w:rsid w:val="00C17197"/>
    <w:rsid w:val="00C172E2"/>
    <w:rsid w:val="00C174D1"/>
    <w:rsid w:val="00C17616"/>
    <w:rsid w:val="00C17765"/>
    <w:rsid w:val="00C17895"/>
    <w:rsid w:val="00C1789F"/>
    <w:rsid w:val="00C17D81"/>
    <w:rsid w:val="00C17DD2"/>
    <w:rsid w:val="00C17EF1"/>
    <w:rsid w:val="00C2003F"/>
    <w:rsid w:val="00C20067"/>
    <w:rsid w:val="00C20262"/>
    <w:rsid w:val="00C202E1"/>
    <w:rsid w:val="00C20446"/>
    <w:rsid w:val="00C2045F"/>
    <w:rsid w:val="00C205C9"/>
    <w:rsid w:val="00C20835"/>
    <w:rsid w:val="00C2087B"/>
    <w:rsid w:val="00C2099B"/>
    <w:rsid w:val="00C20A21"/>
    <w:rsid w:val="00C20ABD"/>
    <w:rsid w:val="00C20B07"/>
    <w:rsid w:val="00C20B7B"/>
    <w:rsid w:val="00C20CEC"/>
    <w:rsid w:val="00C20F3A"/>
    <w:rsid w:val="00C20FEE"/>
    <w:rsid w:val="00C21266"/>
    <w:rsid w:val="00C2139D"/>
    <w:rsid w:val="00C2159C"/>
    <w:rsid w:val="00C21720"/>
    <w:rsid w:val="00C2182D"/>
    <w:rsid w:val="00C21BD9"/>
    <w:rsid w:val="00C21F12"/>
    <w:rsid w:val="00C21FBA"/>
    <w:rsid w:val="00C220B3"/>
    <w:rsid w:val="00C222F4"/>
    <w:rsid w:val="00C2245D"/>
    <w:rsid w:val="00C22471"/>
    <w:rsid w:val="00C22663"/>
    <w:rsid w:val="00C22724"/>
    <w:rsid w:val="00C227BA"/>
    <w:rsid w:val="00C22A65"/>
    <w:rsid w:val="00C22E40"/>
    <w:rsid w:val="00C2307D"/>
    <w:rsid w:val="00C23084"/>
    <w:rsid w:val="00C234B1"/>
    <w:rsid w:val="00C2361E"/>
    <w:rsid w:val="00C23649"/>
    <w:rsid w:val="00C23670"/>
    <w:rsid w:val="00C2370A"/>
    <w:rsid w:val="00C2379A"/>
    <w:rsid w:val="00C23874"/>
    <w:rsid w:val="00C23A1C"/>
    <w:rsid w:val="00C23CD5"/>
    <w:rsid w:val="00C24047"/>
    <w:rsid w:val="00C24081"/>
    <w:rsid w:val="00C24119"/>
    <w:rsid w:val="00C2420F"/>
    <w:rsid w:val="00C242CD"/>
    <w:rsid w:val="00C243D6"/>
    <w:rsid w:val="00C244D7"/>
    <w:rsid w:val="00C24520"/>
    <w:rsid w:val="00C2462B"/>
    <w:rsid w:val="00C2465E"/>
    <w:rsid w:val="00C249F6"/>
    <w:rsid w:val="00C24AFC"/>
    <w:rsid w:val="00C24D22"/>
    <w:rsid w:val="00C24F91"/>
    <w:rsid w:val="00C2502A"/>
    <w:rsid w:val="00C2505C"/>
    <w:rsid w:val="00C25067"/>
    <w:rsid w:val="00C25157"/>
    <w:rsid w:val="00C2515A"/>
    <w:rsid w:val="00C25543"/>
    <w:rsid w:val="00C25640"/>
    <w:rsid w:val="00C256A2"/>
    <w:rsid w:val="00C2574B"/>
    <w:rsid w:val="00C25916"/>
    <w:rsid w:val="00C25BBA"/>
    <w:rsid w:val="00C25C21"/>
    <w:rsid w:val="00C25D40"/>
    <w:rsid w:val="00C25FB4"/>
    <w:rsid w:val="00C2608C"/>
    <w:rsid w:val="00C2610B"/>
    <w:rsid w:val="00C262B0"/>
    <w:rsid w:val="00C2694E"/>
    <w:rsid w:val="00C26CC7"/>
    <w:rsid w:val="00C26D7D"/>
    <w:rsid w:val="00C26DED"/>
    <w:rsid w:val="00C2710A"/>
    <w:rsid w:val="00C275CD"/>
    <w:rsid w:val="00C27846"/>
    <w:rsid w:val="00C27863"/>
    <w:rsid w:val="00C27902"/>
    <w:rsid w:val="00C279B5"/>
    <w:rsid w:val="00C27B6F"/>
    <w:rsid w:val="00C27C19"/>
    <w:rsid w:val="00C27C45"/>
    <w:rsid w:val="00C30129"/>
    <w:rsid w:val="00C3015D"/>
    <w:rsid w:val="00C30469"/>
    <w:rsid w:val="00C304FE"/>
    <w:rsid w:val="00C3071E"/>
    <w:rsid w:val="00C307F5"/>
    <w:rsid w:val="00C3086B"/>
    <w:rsid w:val="00C308BB"/>
    <w:rsid w:val="00C30971"/>
    <w:rsid w:val="00C309E5"/>
    <w:rsid w:val="00C30AC5"/>
    <w:rsid w:val="00C30CEA"/>
    <w:rsid w:val="00C30E7B"/>
    <w:rsid w:val="00C315F4"/>
    <w:rsid w:val="00C31605"/>
    <w:rsid w:val="00C31AA5"/>
    <w:rsid w:val="00C31BE5"/>
    <w:rsid w:val="00C31D9D"/>
    <w:rsid w:val="00C31E26"/>
    <w:rsid w:val="00C31ED5"/>
    <w:rsid w:val="00C3217D"/>
    <w:rsid w:val="00C32489"/>
    <w:rsid w:val="00C3258C"/>
    <w:rsid w:val="00C326BB"/>
    <w:rsid w:val="00C32AB6"/>
    <w:rsid w:val="00C32C62"/>
    <w:rsid w:val="00C32EF2"/>
    <w:rsid w:val="00C32FAD"/>
    <w:rsid w:val="00C330A3"/>
    <w:rsid w:val="00C33243"/>
    <w:rsid w:val="00C3326B"/>
    <w:rsid w:val="00C3326C"/>
    <w:rsid w:val="00C3365B"/>
    <w:rsid w:val="00C339D9"/>
    <w:rsid w:val="00C33DCC"/>
    <w:rsid w:val="00C33DF2"/>
    <w:rsid w:val="00C33F52"/>
    <w:rsid w:val="00C3402E"/>
    <w:rsid w:val="00C34034"/>
    <w:rsid w:val="00C34279"/>
    <w:rsid w:val="00C34A09"/>
    <w:rsid w:val="00C34A64"/>
    <w:rsid w:val="00C34C0D"/>
    <w:rsid w:val="00C34FB1"/>
    <w:rsid w:val="00C350C2"/>
    <w:rsid w:val="00C356E1"/>
    <w:rsid w:val="00C356EF"/>
    <w:rsid w:val="00C35A7C"/>
    <w:rsid w:val="00C35C02"/>
    <w:rsid w:val="00C35F79"/>
    <w:rsid w:val="00C36183"/>
    <w:rsid w:val="00C3624D"/>
    <w:rsid w:val="00C36298"/>
    <w:rsid w:val="00C36644"/>
    <w:rsid w:val="00C36683"/>
    <w:rsid w:val="00C367F2"/>
    <w:rsid w:val="00C36917"/>
    <w:rsid w:val="00C36AC7"/>
    <w:rsid w:val="00C36FB1"/>
    <w:rsid w:val="00C3719D"/>
    <w:rsid w:val="00C37239"/>
    <w:rsid w:val="00C37417"/>
    <w:rsid w:val="00C37667"/>
    <w:rsid w:val="00C37754"/>
    <w:rsid w:val="00C3778D"/>
    <w:rsid w:val="00C378B2"/>
    <w:rsid w:val="00C37A2F"/>
    <w:rsid w:val="00C37A82"/>
    <w:rsid w:val="00C37AD8"/>
    <w:rsid w:val="00C37B9C"/>
    <w:rsid w:val="00C37CB2"/>
    <w:rsid w:val="00C37E27"/>
    <w:rsid w:val="00C37F30"/>
    <w:rsid w:val="00C4004B"/>
    <w:rsid w:val="00C40052"/>
    <w:rsid w:val="00C40171"/>
    <w:rsid w:val="00C403EF"/>
    <w:rsid w:val="00C406CE"/>
    <w:rsid w:val="00C4074D"/>
    <w:rsid w:val="00C40A94"/>
    <w:rsid w:val="00C40B4D"/>
    <w:rsid w:val="00C40D72"/>
    <w:rsid w:val="00C40D97"/>
    <w:rsid w:val="00C411A7"/>
    <w:rsid w:val="00C412F7"/>
    <w:rsid w:val="00C41536"/>
    <w:rsid w:val="00C415E3"/>
    <w:rsid w:val="00C41705"/>
    <w:rsid w:val="00C41738"/>
    <w:rsid w:val="00C41D28"/>
    <w:rsid w:val="00C41EDE"/>
    <w:rsid w:val="00C41FA7"/>
    <w:rsid w:val="00C421DF"/>
    <w:rsid w:val="00C42C9D"/>
    <w:rsid w:val="00C42E00"/>
    <w:rsid w:val="00C43139"/>
    <w:rsid w:val="00C4329F"/>
    <w:rsid w:val="00C4348B"/>
    <w:rsid w:val="00C435CE"/>
    <w:rsid w:val="00C4369A"/>
    <w:rsid w:val="00C436E6"/>
    <w:rsid w:val="00C43ACD"/>
    <w:rsid w:val="00C43BC1"/>
    <w:rsid w:val="00C43D82"/>
    <w:rsid w:val="00C4402F"/>
    <w:rsid w:val="00C4462F"/>
    <w:rsid w:val="00C447D8"/>
    <w:rsid w:val="00C44A17"/>
    <w:rsid w:val="00C44A83"/>
    <w:rsid w:val="00C44BC7"/>
    <w:rsid w:val="00C44BCA"/>
    <w:rsid w:val="00C44D87"/>
    <w:rsid w:val="00C44E0B"/>
    <w:rsid w:val="00C44EAA"/>
    <w:rsid w:val="00C44F12"/>
    <w:rsid w:val="00C44FAE"/>
    <w:rsid w:val="00C45058"/>
    <w:rsid w:val="00C451EA"/>
    <w:rsid w:val="00C45307"/>
    <w:rsid w:val="00C45351"/>
    <w:rsid w:val="00C45548"/>
    <w:rsid w:val="00C45829"/>
    <w:rsid w:val="00C459E2"/>
    <w:rsid w:val="00C45B6C"/>
    <w:rsid w:val="00C45CAE"/>
    <w:rsid w:val="00C45EAA"/>
    <w:rsid w:val="00C45FA9"/>
    <w:rsid w:val="00C4624B"/>
    <w:rsid w:val="00C46616"/>
    <w:rsid w:val="00C46934"/>
    <w:rsid w:val="00C46938"/>
    <w:rsid w:val="00C46A95"/>
    <w:rsid w:val="00C46B11"/>
    <w:rsid w:val="00C46C7C"/>
    <w:rsid w:val="00C46F2D"/>
    <w:rsid w:val="00C470A6"/>
    <w:rsid w:val="00C470AC"/>
    <w:rsid w:val="00C47315"/>
    <w:rsid w:val="00C4731F"/>
    <w:rsid w:val="00C473A5"/>
    <w:rsid w:val="00C47670"/>
    <w:rsid w:val="00C4769B"/>
    <w:rsid w:val="00C4798D"/>
    <w:rsid w:val="00C47D0C"/>
    <w:rsid w:val="00C47D7B"/>
    <w:rsid w:val="00C47EFF"/>
    <w:rsid w:val="00C50512"/>
    <w:rsid w:val="00C505FF"/>
    <w:rsid w:val="00C50B44"/>
    <w:rsid w:val="00C51340"/>
    <w:rsid w:val="00C51553"/>
    <w:rsid w:val="00C51BC9"/>
    <w:rsid w:val="00C51D7D"/>
    <w:rsid w:val="00C51EE8"/>
    <w:rsid w:val="00C51F04"/>
    <w:rsid w:val="00C520CC"/>
    <w:rsid w:val="00C52217"/>
    <w:rsid w:val="00C524F1"/>
    <w:rsid w:val="00C527EA"/>
    <w:rsid w:val="00C52A30"/>
    <w:rsid w:val="00C52BF0"/>
    <w:rsid w:val="00C52C7D"/>
    <w:rsid w:val="00C52C83"/>
    <w:rsid w:val="00C52CAD"/>
    <w:rsid w:val="00C52CFB"/>
    <w:rsid w:val="00C52FEF"/>
    <w:rsid w:val="00C531D7"/>
    <w:rsid w:val="00C53252"/>
    <w:rsid w:val="00C532AF"/>
    <w:rsid w:val="00C532BF"/>
    <w:rsid w:val="00C532F2"/>
    <w:rsid w:val="00C535AD"/>
    <w:rsid w:val="00C535D6"/>
    <w:rsid w:val="00C53643"/>
    <w:rsid w:val="00C53652"/>
    <w:rsid w:val="00C53665"/>
    <w:rsid w:val="00C536D4"/>
    <w:rsid w:val="00C53A45"/>
    <w:rsid w:val="00C53B19"/>
    <w:rsid w:val="00C53B32"/>
    <w:rsid w:val="00C53BB4"/>
    <w:rsid w:val="00C53C9B"/>
    <w:rsid w:val="00C53E1C"/>
    <w:rsid w:val="00C53EC9"/>
    <w:rsid w:val="00C5432E"/>
    <w:rsid w:val="00C54385"/>
    <w:rsid w:val="00C54894"/>
    <w:rsid w:val="00C5491F"/>
    <w:rsid w:val="00C54995"/>
    <w:rsid w:val="00C54D41"/>
    <w:rsid w:val="00C54F54"/>
    <w:rsid w:val="00C5548E"/>
    <w:rsid w:val="00C557D6"/>
    <w:rsid w:val="00C55895"/>
    <w:rsid w:val="00C559DF"/>
    <w:rsid w:val="00C55BBD"/>
    <w:rsid w:val="00C55DBE"/>
    <w:rsid w:val="00C56164"/>
    <w:rsid w:val="00C56325"/>
    <w:rsid w:val="00C5645D"/>
    <w:rsid w:val="00C568C2"/>
    <w:rsid w:val="00C56DE5"/>
    <w:rsid w:val="00C56F12"/>
    <w:rsid w:val="00C57149"/>
    <w:rsid w:val="00C57306"/>
    <w:rsid w:val="00C574B7"/>
    <w:rsid w:val="00C577D7"/>
    <w:rsid w:val="00C57A36"/>
    <w:rsid w:val="00C57BF9"/>
    <w:rsid w:val="00C57E76"/>
    <w:rsid w:val="00C60061"/>
    <w:rsid w:val="00C6032F"/>
    <w:rsid w:val="00C60767"/>
    <w:rsid w:val="00C60783"/>
    <w:rsid w:val="00C60BA5"/>
    <w:rsid w:val="00C60DBD"/>
    <w:rsid w:val="00C60DE7"/>
    <w:rsid w:val="00C60DF4"/>
    <w:rsid w:val="00C60E2E"/>
    <w:rsid w:val="00C60FBA"/>
    <w:rsid w:val="00C61341"/>
    <w:rsid w:val="00C6142F"/>
    <w:rsid w:val="00C619AE"/>
    <w:rsid w:val="00C61B45"/>
    <w:rsid w:val="00C61C8C"/>
    <w:rsid w:val="00C61C94"/>
    <w:rsid w:val="00C6208F"/>
    <w:rsid w:val="00C62153"/>
    <w:rsid w:val="00C622C7"/>
    <w:rsid w:val="00C62337"/>
    <w:rsid w:val="00C624CF"/>
    <w:rsid w:val="00C624D8"/>
    <w:rsid w:val="00C62568"/>
    <w:rsid w:val="00C625B6"/>
    <w:rsid w:val="00C626D0"/>
    <w:rsid w:val="00C627E5"/>
    <w:rsid w:val="00C628F8"/>
    <w:rsid w:val="00C62977"/>
    <w:rsid w:val="00C629AC"/>
    <w:rsid w:val="00C62A31"/>
    <w:rsid w:val="00C62AAD"/>
    <w:rsid w:val="00C62C42"/>
    <w:rsid w:val="00C62EDF"/>
    <w:rsid w:val="00C62F13"/>
    <w:rsid w:val="00C631D1"/>
    <w:rsid w:val="00C631D4"/>
    <w:rsid w:val="00C631FB"/>
    <w:rsid w:val="00C6351F"/>
    <w:rsid w:val="00C63580"/>
    <w:rsid w:val="00C635B3"/>
    <w:rsid w:val="00C63ADF"/>
    <w:rsid w:val="00C63AEF"/>
    <w:rsid w:val="00C64145"/>
    <w:rsid w:val="00C64672"/>
    <w:rsid w:val="00C6488D"/>
    <w:rsid w:val="00C648D4"/>
    <w:rsid w:val="00C648E9"/>
    <w:rsid w:val="00C64934"/>
    <w:rsid w:val="00C64949"/>
    <w:rsid w:val="00C64AD1"/>
    <w:rsid w:val="00C64AEE"/>
    <w:rsid w:val="00C64C8B"/>
    <w:rsid w:val="00C64F8F"/>
    <w:rsid w:val="00C65067"/>
    <w:rsid w:val="00C652EA"/>
    <w:rsid w:val="00C654B6"/>
    <w:rsid w:val="00C65596"/>
    <w:rsid w:val="00C6566C"/>
    <w:rsid w:val="00C657CE"/>
    <w:rsid w:val="00C657E0"/>
    <w:rsid w:val="00C6580F"/>
    <w:rsid w:val="00C65CD0"/>
    <w:rsid w:val="00C65D17"/>
    <w:rsid w:val="00C65E82"/>
    <w:rsid w:val="00C66435"/>
    <w:rsid w:val="00C66517"/>
    <w:rsid w:val="00C66BBD"/>
    <w:rsid w:val="00C66C38"/>
    <w:rsid w:val="00C66D15"/>
    <w:rsid w:val="00C66D3C"/>
    <w:rsid w:val="00C66E1E"/>
    <w:rsid w:val="00C670F9"/>
    <w:rsid w:val="00C671DF"/>
    <w:rsid w:val="00C6789F"/>
    <w:rsid w:val="00C67ADA"/>
    <w:rsid w:val="00C67B3A"/>
    <w:rsid w:val="00C67BC7"/>
    <w:rsid w:val="00C67BD4"/>
    <w:rsid w:val="00C67BF3"/>
    <w:rsid w:val="00C67DA7"/>
    <w:rsid w:val="00C67F9B"/>
    <w:rsid w:val="00C700DF"/>
    <w:rsid w:val="00C70125"/>
    <w:rsid w:val="00C7012D"/>
    <w:rsid w:val="00C705EC"/>
    <w:rsid w:val="00C70697"/>
    <w:rsid w:val="00C7081F"/>
    <w:rsid w:val="00C70BE9"/>
    <w:rsid w:val="00C70F85"/>
    <w:rsid w:val="00C70FD1"/>
    <w:rsid w:val="00C7112A"/>
    <w:rsid w:val="00C71178"/>
    <w:rsid w:val="00C71281"/>
    <w:rsid w:val="00C7139F"/>
    <w:rsid w:val="00C713D3"/>
    <w:rsid w:val="00C713E4"/>
    <w:rsid w:val="00C716D1"/>
    <w:rsid w:val="00C717D6"/>
    <w:rsid w:val="00C72093"/>
    <w:rsid w:val="00C724BB"/>
    <w:rsid w:val="00C729F4"/>
    <w:rsid w:val="00C72D32"/>
    <w:rsid w:val="00C72EF4"/>
    <w:rsid w:val="00C730BB"/>
    <w:rsid w:val="00C732B8"/>
    <w:rsid w:val="00C73324"/>
    <w:rsid w:val="00C7365B"/>
    <w:rsid w:val="00C736AF"/>
    <w:rsid w:val="00C73880"/>
    <w:rsid w:val="00C73A0C"/>
    <w:rsid w:val="00C73FF2"/>
    <w:rsid w:val="00C74013"/>
    <w:rsid w:val="00C74239"/>
    <w:rsid w:val="00C742BF"/>
    <w:rsid w:val="00C744FE"/>
    <w:rsid w:val="00C74C3E"/>
    <w:rsid w:val="00C74F0B"/>
    <w:rsid w:val="00C7530E"/>
    <w:rsid w:val="00C75495"/>
    <w:rsid w:val="00C75582"/>
    <w:rsid w:val="00C75810"/>
    <w:rsid w:val="00C758C3"/>
    <w:rsid w:val="00C75B37"/>
    <w:rsid w:val="00C75C0B"/>
    <w:rsid w:val="00C75C37"/>
    <w:rsid w:val="00C75C65"/>
    <w:rsid w:val="00C75D2F"/>
    <w:rsid w:val="00C75FE3"/>
    <w:rsid w:val="00C7617F"/>
    <w:rsid w:val="00C7626C"/>
    <w:rsid w:val="00C763D9"/>
    <w:rsid w:val="00C764A5"/>
    <w:rsid w:val="00C764D5"/>
    <w:rsid w:val="00C767AA"/>
    <w:rsid w:val="00C767BE"/>
    <w:rsid w:val="00C768A9"/>
    <w:rsid w:val="00C76C58"/>
    <w:rsid w:val="00C76D0C"/>
    <w:rsid w:val="00C76E3C"/>
    <w:rsid w:val="00C77190"/>
    <w:rsid w:val="00C771C7"/>
    <w:rsid w:val="00C7741A"/>
    <w:rsid w:val="00C77598"/>
    <w:rsid w:val="00C775B9"/>
    <w:rsid w:val="00C77684"/>
    <w:rsid w:val="00C77775"/>
    <w:rsid w:val="00C777DC"/>
    <w:rsid w:val="00C7781F"/>
    <w:rsid w:val="00C779B8"/>
    <w:rsid w:val="00C77A32"/>
    <w:rsid w:val="00C77A6A"/>
    <w:rsid w:val="00C77A7E"/>
    <w:rsid w:val="00C77ABE"/>
    <w:rsid w:val="00C77C22"/>
    <w:rsid w:val="00C77E4B"/>
    <w:rsid w:val="00C8009A"/>
    <w:rsid w:val="00C8011B"/>
    <w:rsid w:val="00C8029F"/>
    <w:rsid w:val="00C80379"/>
    <w:rsid w:val="00C804DC"/>
    <w:rsid w:val="00C80515"/>
    <w:rsid w:val="00C806FC"/>
    <w:rsid w:val="00C8086C"/>
    <w:rsid w:val="00C809CA"/>
    <w:rsid w:val="00C809CE"/>
    <w:rsid w:val="00C80BB9"/>
    <w:rsid w:val="00C814F9"/>
    <w:rsid w:val="00C81568"/>
    <w:rsid w:val="00C816E4"/>
    <w:rsid w:val="00C81A7A"/>
    <w:rsid w:val="00C81AF5"/>
    <w:rsid w:val="00C81B0F"/>
    <w:rsid w:val="00C8209D"/>
    <w:rsid w:val="00C820DA"/>
    <w:rsid w:val="00C8234B"/>
    <w:rsid w:val="00C824B0"/>
    <w:rsid w:val="00C8263E"/>
    <w:rsid w:val="00C828F7"/>
    <w:rsid w:val="00C82B63"/>
    <w:rsid w:val="00C82D95"/>
    <w:rsid w:val="00C82E82"/>
    <w:rsid w:val="00C83057"/>
    <w:rsid w:val="00C83100"/>
    <w:rsid w:val="00C8317C"/>
    <w:rsid w:val="00C831A4"/>
    <w:rsid w:val="00C83343"/>
    <w:rsid w:val="00C8367F"/>
    <w:rsid w:val="00C83748"/>
    <w:rsid w:val="00C8385E"/>
    <w:rsid w:val="00C839BD"/>
    <w:rsid w:val="00C83D14"/>
    <w:rsid w:val="00C83EDB"/>
    <w:rsid w:val="00C83F0F"/>
    <w:rsid w:val="00C840EA"/>
    <w:rsid w:val="00C84323"/>
    <w:rsid w:val="00C84324"/>
    <w:rsid w:val="00C84401"/>
    <w:rsid w:val="00C844E1"/>
    <w:rsid w:val="00C849AA"/>
    <w:rsid w:val="00C84B15"/>
    <w:rsid w:val="00C84DEE"/>
    <w:rsid w:val="00C84FB2"/>
    <w:rsid w:val="00C8509F"/>
    <w:rsid w:val="00C85285"/>
    <w:rsid w:val="00C8530E"/>
    <w:rsid w:val="00C85569"/>
    <w:rsid w:val="00C855FE"/>
    <w:rsid w:val="00C85B51"/>
    <w:rsid w:val="00C85BA6"/>
    <w:rsid w:val="00C85D56"/>
    <w:rsid w:val="00C85E51"/>
    <w:rsid w:val="00C85E5F"/>
    <w:rsid w:val="00C85EA3"/>
    <w:rsid w:val="00C85EDB"/>
    <w:rsid w:val="00C86136"/>
    <w:rsid w:val="00C8663D"/>
    <w:rsid w:val="00C8677E"/>
    <w:rsid w:val="00C86B79"/>
    <w:rsid w:val="00C86C4E"/>
    <w:rsid w:val="00C87096"/>
    <w:rsid w:val="00C8723C"/>
    <w:rsid w:val="00C8740A"/>
    <w:rsid w:val="00C875C1"/>
    <w:rsid w:val="00C8762C"/>
    <w:rsid w:val="00C876E9"/>
    <w:rsid w:val="00C877C9"/>
    <w:rsid w:val="00C87B8E"/>
    <w:rsid w:val="00C87C44"/>
    <w:rsid w:val="00C87D46"/>
    <w:rsid w:val="00C87D4C"/>
    <w:rsid w:val="00C87D7F"/>
    <w:rsid w:val="00C87F79"/>
    <w:rsid w:val="00C9027A"/>
    <w:rsid w:val="00C904B0"/>
    <w:rsid w:val="00C9068E"/>
    <w:rsid w:val="00C9069F"/>
    <w:rsid w:val="00C90858"/>
    <w:rsid w:val="00C909C1"/>
    <w:rsid w:val="00C90D1F"/>
    <w:rsid w:val="00C90E40"/>
    <w:rsid w:val="00C90ED6"/>
    <w:rsid w:val="00C90F18"/>
    <w:rsid w:val="00C90F84"/>
    <w:rsid w:val="00C913C9"/>
    <w:rsid w:val="00C9147F"/>
    <w:rsid w:val="00C914AC"/>
    <w:rsid w:val="00C915FF"/>
    <w:rsid w:val="00C91641"/>
    <w:rsid w:val="00C91796"/>
    <w:rsid w:val="00C918AB"/>
    <w:rsid w:val="00C91A6E"/>
    <w:rsid w:val="00C91C65"/>
    <w:rsid w:val="00C91F10"/>
    <w:rsid w:val="00C91F6C"/>
    <w:rsid w:val="00C9208D"/>
    <w:rsid w:val="00C92093"/>
    <w:rsid w:val="00C9260A"/>
    <w:rsid w:val="00C92657"/>
    <w:rsid w:val="00C926DE"/>
    <w:rsid w:val="00C92ADA"/>
    <w:rsid w:val="00C92B03"/>
    <w:rsid w:val="00C92B0E"/>
    <w:rsid w:val="00C92F45"/>
    <w:rsid w:val="00C92F71"/>
    <w:rsid w:val="00C933D1"/>
    <w:rsid w:val="00C93481"/>
    <w:rsid w:val="00C93620"/>
    <w:rsid w:val="00C937D1"/>
    <w:rsid w:val="00C93814"/>
    <w:rsid w:val="00C93A65"/>
    <w:rsid w:val="00C93C30"/>
    <w:rsid w:val="00C93C4B"/>
    <w:rsid w:val="00C93D6D"/>
    <w:rsid w:val="00C93E74"/>
    <w:rsid w:val="00C9414E"/>
    <w:rsid w:val="00C94160"/>
    <w:rsid w:val="00C94231"/>
    <w:rsid w:val="00C944AB"/>
    <w:rsid w:val="00C9463B"/>
    <w:rsid w:val="00C94851"/>
    <w:rsid w:val="00C948AE"/>
    <w:rsid w:val="00C94EB7"/>
    <w:rsid w:val="00C9505E"/>
    <w:rsid w:val="00C950E0"/>
    <w:rsid w:val="00C9512E"/>
    <w:rsid w:val="00C9518E"/>
    <w:rsid w:val="00C9548C"/>
    <w:rsid w:val="00C955A9"/>
    <w:rsid w:val="00C955EF"/>
    <w:rsid w:val="00C95A5E"/>
    <w:rsid w:val="00C95B40"/>
    <w:rsid w:val="00C95B7A"/>
    <w:rsid w:val="00C95E3A"/>
    <w:rsid w:val="00C95F0C"/>
    <w:rsid w:val="00C960F8"/>
    <w:rsid w:val="00C961B9"/>
    <w:rsid w:val="00C962F4"/>
    <w:rsid w:val="00C963AA"/>
    <w:rsid w:val="00C963C8"/>
    <w:rsid w:val="00C9651A"/>
    <w:rsid w:val="00C965CF"/>
    <w:rsid w:val="00C966AE"/>
    <w:rsid w:val="00C9684E"/>
    <w:rsid w:val="00C96A7C"/>
    <w:rsid w:val="00C96B20"/>
    <w:rsid w:val="00C96B40"/>
    <w:rsid w:val="00C96BFE"/>
    <w:rsid w:val="00C96C52"/>
    <w:rsid w:val="00C96C6D"/>
    <w:rsid w:val="00C9725D"/>
    <w:rsid w:val="00C97276"/>
    <w:rsid w:val="00C972EA"/>
    <w:rsid w:val="00C9770F"/>
    <w:rsid w:val="00C9773A"/>
    <w:rsid w:val="00C97897"/>
    <w:rsid w:val="00C978BD"/>
    <w:rsid w:val="00C97D71"/>
    <w:rsid w:val="00C97F48"/>
    <w:rsid w:val="00C97F65"/>
    <w:rsid w:val="00CA00EB"/>
    <w:rsid w:val="00CA04FA"/>
    <w:rsid w:val="00CA0542"/>
    <w:rsid w:val="00CA07AF"/>
    <w:rsid w:val="00CA094A"/>
    <w:rsid w:val="00CA0D2C"/>
    <w:rsid w:val="00CA0DFB"/>
    <w:rsid w:val="00CA0F5B"/>
    <w:rsid w:val="00CA0F85"/>
    <w:rsid w:val="00CA11A4"/>
    <w:rsid w:val="00CA1379"/>
    <w:rsid w:val="00CA1400"/>
    <w:rsid w:val="00CA1432"/>
    <w:rsid w:val="00CA1573"/>
    <w:rsid w:val="00CA1876"/>
    <w:rsid w:val="00CA1B3A"/>
    <w:rsid w:val="00CA1D28"/>
    <w:rsid w:val="00CA1DCC"/>
    <w:rsid w:val="00CA1E6A"/>
    <w:rsid w:val="00CA1ED8"/>
    <w:rsid w:val="00CA1FF0"/>
    <w:rsid w:val="00CA21CA"/>
    <w:rsid w:val="00CA23ED"/>
    <w:rsid w:val="00CA2736"/>
    <w:rsid w:val="00CA2916"/>
    <w:rsid w:val="00CA2917"/>
    <w:rsid w:val="00CA2C31"/>
    <w:rsid w:val="00CA2F4F"/>
    <w:rsid w:val="00CA317E"/>
    <w:rsid w:val="00CA3374"/>
    <w:rsid w:val="00CA3697"/>
    <w:rsid w:val="00CA36F6"/>
    <w:rsid w:val="00CA37FE"/>
    <w:rsid w:val="00CA3ACF"/>
    <w:rsid w:val="00CA3C50"/>
    <w:rsid w:val="00CA3DF8"/>
    <w:rsid w:val="00CA3F11"/>
    <w:rsid w:val="00CA3F16"/>
    <w:rsid w:val="00CA42E1"/>
    <w:rsid w:val="00CA46D6"/>
    <w:rsid w:val="00CA4BED"/>
    <w:rsid w:val="00CA4CD8"/>
    <w:rsid w:val="00CA4E98"/>
    <w:rsid w:val="00CA4F2D"/>
    <w:rsid w:val="00CA50C8"/>
    <w:rsid w:val="00CA562B"/>
    <w:rsid w:val="00CA57F9"/>
    <w:rsid w:val="00CA5C14"/>
    <w:rsid w:val="00CA6459"/>
    <w:rsid w:val="00CA6618"/>
    <w:rsid w:val="00CA6A9B"/>
    <w:rsid w:val="00CA6B3A"/>
    <w:rsid w:val="00CA6E67"/>
    <w:rsid w:val="00CA739E"/>
    <w:rsid w:val="00CA73A5"/>
    <w:rsid w:val="00CA7753"/>
    <w:rsid w:val="00CA788F"/>
    <w:rsid w:val="00CA7CBF"/>
    <w:rsid w:val="00CA7D60"/>
    <w:rsid w:val="00CA7DD7"/>
    <w:rsid w:val="00CA7F72"/>
    <w:rsid w:val="00CB00DE"/>
    <w:rsid w:val="00CB01DA"/>
    <w:rsid w:val="00CB04CE"/>
    <w:rsid w:val="00CB059C"/>
    <w:rsid w:val="00CB0682"/>
    <w:rsid w:val="00CB0693"/>
    <w:rsid w:val="00CB0822"/>
    <w:rsid w:val="00CB0934"/>
    <w:rsid w:val="00CB0ABE"/>
    <w:rsid w:val="00CB0B0D"/>
    <w:rsid w:val="00CB1225"/>
    <w:rsid w:val="00CB1300"/>
    <w:rsid w:val="00CB153C"/>
    <w:rsid w:val="00CB1E2B"/>
    <w:rsid w:val="00CB1F63"/>
    <w:rsid w:val="00CB1F88"/>
    <w:rsid w:val="00CB220B"/>
    <w:rsid w:val="00CB2766"/>
    <w:rsid w:val="00CB28F7"/>
    <w:rsid w:val="00CB2A50"/>
    <w:rsid w:val="00CB2BD8"/>
    <w:rsid w:val="00CB2D62"/>
    <w:rsid w:val="00CB30F3"/>
    <w:rsid w:val="00CB3103"/>
    <w:rsid w:val="00CB32F0"/>
    <w:rsid w:val="00CB32F9"/>
    <w:rsid w:val="00CB3335"/>
    <w:rsid w:val="00CB37E0"/>
    <w:rsid w:val="00CB38E8"/>
    <w:rsid w:val="00CB39E1"/>
    <w:rsid w:val="00CB3A25"/>
    <w:rsid w:val="00CB3BA4"/>
    <w:rsid w:val="00CB3BDB"/>
    <w:rsid w:val="00CB3D16"/>
    <w:rsid w:val="00CB3E1D"/>
    <w:rsid w:val="00CB40DB"/>
    <w:rsid w:val="00CB40FB"/>
    <w:rsid w:val="00CB4124"/>
    <w:rsid w:val="00CB437A"/>
    <w:rsid w:val="00CB4470"/>
    <w:rsid w:val="00CB46A7"/>
    <w:rsid w:val="00CB4BB6"/>
    <w:rsid w:val="00CB4BD8"/>
    <w:rsid w:val="00CB4CC9"/>
    <w:rsid w:val="00CB4F8C"/>
    <w:rsid w:val="00CB5327"/>
    <w:rsid w:val="00CB5558"/>
    <w:rsid w:val="00CB569C"/>
    <w:rsid w:val="00CB5728"/>
    <w:rsid w:val="00CB5B7A"/>
    <w:rsid w:val="00CB5BA2"/>
    <w:rsid w:val="00CB5C0A"/>
    <w:rsid w:val="00CB5CB5"/>
    <w:rsid w:val="00CB617D"/>
    <w:rsid w:val="00CB6290"/>
    <w:rsid w:val="00CB6822"/>
    <w:rsid w:val="00CB69CE"/>
    <w:rsid w:val="00CB6A85"/>
    <w:rsid w:val="00CB6C2B"/>
    <w:rsid w:val="00CB6DE7"/>
    <w:rsid w:val="00CB7170"/>
    <w:rsid w:val="00CB79FE"/>
    <w:rsid w:val="00CB7E14"/>
    <w:rsid w:val="00CB7FEA"/>
    <w:rsid w:val="00CC040E"/>
    <w:rsid w:val="00CC04E4"/>
    <w:rsid w:val="00CC052B"/>
    <w:rsid w:val="00CC0601"/>
    <w:rsid w:val="00CC06A5"/>
    <w:rsid w:val="00CC06BF"/>
    <w:rsid w:val="00CC094A"/>
    <w:rsid w:val="00CC0A95"/>
    <w:rsid w:val="00CC0AB1"/>
    <w:rsid w:val="00CC0ABF"/>
    <w:rsid w:val="00CC0B5F"/>
    <w:rsid w:val="00CC0B8E"/>
    <w:rsid w:val="00CC0BC5"/>
    <w:rsid w:val="00CC0CED"/>
    <w:rsid w:val="00CC0D6A"/>
    <w:rsid w:val="00CC0F65"/>
    <w:rsid w:val="00CC0FF6"/>
    <w:rsid w:val="00CC111F"/>
    <w:rsid w:val="00CC11B6"/>
    <w:rsid w:val="00CC120E"/>
    <w:rsid w:val="00CC1851"/>
    <w:rsid w:val="00CC18FB"/>
    <w:rsid w:val="00CC1AAA"/>
    <w:rsid w:val="00CC1C0C"/>
    <w:rsid w:val="00CC1DAD"/>
    <w:rsid w:val="00CC1FB1"/>
    <w:rsid w:val="00CC2011"/>
    <w:rsid w:val="00CC2042"/>
    <w:rsid w:val="00CC204D"/>
    <w:rsid w:val="00CC20E1"/>
    <w:rsid w:val="00CC23B3"/>
    <w:rsid w:val="00CC261F"/>
    <w:rsid w:val="00CC2AF9"/>
    <w:rsid w:val="00CC2BCF"/>
    <w:rsid w:val="00CC2BEF"/>
    <w:rsid w:val="00CC2D40"/>
    <w:rsid w:val="00CC2E5F"/>
    <w:rsid w:val="00CC3099"/>
    <w:rsid w:val="00CC3440"/>
    <w:rsid w:val="00CC3483"/>
    <w:rsid w:val="00CC37B5"/>
    <w:rsid w:val="00CC3831"/>
    <w:rsid w:val="00CC39BF"/>
    <w:rsid w:val="00CC3AFD"/>
    <w:rsid w:val="00CC3D18"/>
    <w:rsid w:val="00CC3D66"/>
    <w:rsid w:val="00CC3EA0"/>
    <w:rsid w:val="00CC3F06"/>
    <w:rsid w:val="00CC4288"/>
    <w:rsid w:val="00CC438B"/>
    <w:rsid w:val="00CC483D"/>
    <w:rsid w:val="00CC48BB"/>
    <w:rsid w:val="00CC49C1"/>
    <w:rsid w:val="00CC4A53"/>
    <w:rsid w:val="00CC4C4C"/>
    <w:rsid w:val="00CC4DC6"/>
    <w:rsid w:val="00CC4F8E"/>
    <w:rsid w:val="00CC5180"/>
    <w:rsid w:val="00CC51F1"/>
    <w:rsid w:val="00CC51FC"/>
    <w:rsid w:val="00CC52CC"/>
    <w:rsid w:val="00CC5377"/>
    <w:rsid w:val="00CC5857"/>
    <w:rsid w:val="00CC592D"/>
    <w:rsid w:val="00CC5B16"/>
    <w:rsid w:val="00CC5C9E"/>
    <w:rsid w:val="00CC5DA4"/>
    <w:rsid w:val="00CC6148"/>
    <w:rsid w:val="00CC63CE"/>
    <w:rsid w:val="00CC66DD"/>
    <w:rsid w:val="00CC6756"/>
    <w:rsid w:val="00CC6CA2"/>
    <w:rsid w:val="00CC7106"/>
    <w:rsid w:val="00CC7394"/>
    <w:rsid w:val="00CC74AD"/>
    <w:rsid w:val="00CC754F"/>
    <w:rsid w:val="00CC79D4"/>
    <w:rsid w:val="00CC7B45"/>
    <w:rsid w:val="00CC7CB4"/>
    <w:rsid w:val="00CD086C"/>
    <w:rsid w:val="00CD0993"/>
    <w:rsid w:val="00CD09B2"/>
    <w:rsid w:val="00CD0B6B"/>
    <w:rsid w:val="00CD0CDB"/>
    <w:rsid w:val="00CD0D8D"/>
    <w:rsid w:val="00CD0E28"/>
    <w:rsid w:val="00CD1188"/>
    <w:rsid w:val="00CD11A1"/>
    <w:rsid w:val="00CD125A"/>
    <w:rsid w:val="00CD1347"/>
    <w:rsid w:val="00CD13A6"/>
    <w:rsid w:val="00CD14A4"/>
    <w:rsid w:val="00CD1673"/>
    <w:rsid w:val="00CD1806"/>
    <w:rsid w:val="00CD19E7"/>
    <w:rsid w:val="00CD1AD3"/>
    <w:rsid w:val="00CD1ADD"/>
    <w:rsid w:val="00CD1C02"/>
    <w:rsid w:val="00CD1DC6"/>
    <w:rsid w:val="00CD1F34"/>
    <w:rsid w:val="00CD1F8E"/>
    <w:rsid w:val="00CD22A6"/>
    <w:rsid w:val="00CD2994"/>
    <w:rsid w:val="00CD2A65"/>
    <w:rsid w:val="00CD2AEC"/>
    <w:rsid w:val="00CD2ED1"/>
    <w:rsid w:val="00CD3349"/>
    <w:rsid w:val="00CD337B"/>
    <w:rsid w:val="00CD343E"/>
    <w:rsid w:val="00CD345F"/>
    <w:rsid w:val="00CD352B"/>
    <w:rsid w:val="00CD35C6"/>
    <w:rsid w:val="00CD38D4"/>
    <w:rsid w:val="00CD3A3A"/>
    <w:rsid w:val="00CD3C95"/>
    <w:rsid w:val="00CD3E69"/>
    <w:rsid w:val="00CD40B6"/>
    <w:rsid w:val="00CD4273"/>
    <w:rsid w:val="00CD42E4"/>
    <w:rsid w:val="00CD4349"/>
    <w:rsid w:val="00CD443A"/>
    <w:rsid w:val="00CD4661"/>
    <w:rsid w:val="00CD49E1"/>
    <w:rsid w:val="00CD4B3F"/>
    <w:rsid w:val="00CD4BBF"/>
    <w:rsid w:val="00CD4C23"/>
    <w:rsid w:val="00CD4D59"/>
    <w:rsid w:val="00CD4F53"/>
    <w:rsid w:val="00CD4F5C"/>
    <w:rsid w:val="00CD5195"/>
    <w:rsid w:val="00CD51F2"/>
    <w:rsid w:val="00CD5371"/>
    <w:rsid w:val="00CD5591"/>
    <w:rsid w:val="00CD58C6"/>
    <w:rsid w:val="00CD59F9"/>
    <w:rsid w:val="00CD5BCF"/>
    <w:rsid w:val="00CD5C44"/>
    <w:rsid w:val="00CD5CE6"/>
    <w:rsid w:val="00CD5D8C"/>
    <w:rsid w:val="00CD5F67"/>
    <w:rsid w:val="00CD5F7E"/>
    <w:rsid w:val="00CD6110"/>
    <w:rsid w:val="00CD617B"/>
    <w:rsid w:val="00CD6461"/>
    <w:rsid w:val="00CD6511"/>
    <w:rsid w:val="00CD66A0"/>
    <w:rsid w:val="00CD66B4"/>
    <w:rsid w:val="00CD6901"/>
    <w:rsid w:val="00CD6B1D"/>
    <w:rsid w:val="00CD6D7A"/>
    <w:rsid w:val="00CD6F4A"/>
    <w:rsid w:val="00CD6FAF"/>
    <w:rsid w:val="00CD6FB8"/>
    <w:rsid w:val="00CD72F0"/>
    <w:rsid w:val="00CD75AA"/>
    <w:rsid w:val="00CD770E"/>
    <w:rsid w:val="00CD77DD"/>
    <w:rsid w:val="00CD78EF"/>
    <w:rsid w:val="00CD79F6"/>
    <w:rsid w:val="00CD7BF4"/>
    <w:rsid w:val="00CD7E00"/>
    <w:rsid w:val="00CD7FDF"/>
    <w:rsid w:val="00CE0110"/>
    <w:rsid w:val="00CE0114"/>
    <w:rsid w:val="00CE0124"/>
    <w:rsid w:val="00CE0412"/>
    <w:rsid w:val="00CE0424"/>
    <w:rsid w:val="00CE055B"/>
    <w:rsid w:val="00CE0769"/>
    <w:rsid w:val="00CE080B"/>
    <w:rsid w:val="00CE1123"/>
    <w:rsid w:val="00CE1206"/>
    <w:rsid w:val="00CE120C"/>
    <w:rsid w:val="00CE1392"/>
    <w:rsid w:val="00CE1882"/>
    <w:rsid w:val="00CE1AA9"/>
    <w:rsid w:val="00CE1BB8"/>
    <w:rsid w:val="00CE1C3B"/>
    <w:rsid w:val="00CE1C7D"/>
    <w:rsid w:val="00CE1D06"/>
    <w:rsid w:val="00CE1D41"/>
    <w:rsid w:val="00CE2085"/>
    <w:rsid w:val="00CE2186"/>
    <w:rsid w:val="00CE21AB"/>
    <w:rsid w:val="00CE22B2"/>
    <w:rsid w:val="00CE230C"/>
    <w:rsid w:val="00CE2796"/>
    <w:rsid w:val="00CE2886"/>
    <w:rsid w:val="00CE292F"/>
    <w:rsid w:val="00CE2F6F"/>
    <w:rsid w:val="00CE2FD7"/>
    <w:rsid w:val="00CE3318"/>
    <w:rsid w:val="00CE33B3"/>
    <w:rsid w:val="00CE36D3"/>
    <w:rsid w:val="00CE37B4"/>
    <w:rsid w:val="00CE37DA"/>
    <w:rsid w:val="00CE392D"/>
    <w:rsid w:val="00CE3AB3"/>
    <w:rsid w:val="00CE3C46"/>
    <w:rsid w:val="00CE3E11"/>
    <w:rsid w:val="00CE3FBA"/>
    <w:rsid w:val="00CE418D"/>
    <w:rsid w:val="00CE4736"/>
    <w:rsid w:val="00CE486A"/>
    <w:rsid w:val="00CE4871"/>
    <w:rsid w:val="00CE49C5"/>
    <w:rsid w:val="00CE4ACC"/>
    <w:rsid w:val="00CE4F9E"/>
    <w:rsid w:val="00CE4FD9"/>
    <w:rsid w:val="00CE515B"/>
    <w:rsid w:val="00CE517D"/>
    <w:rsid w:val="00CE52E1"/>
    <w:rsid w:val="00CE53C0"/>
    <w:rsid w:val="00CE541A"/>
    <w:rsid w:val="00CE5423"/>
    <w:rsid w:val="00CE5648"/>
    <w:rsid w:val="00CE5748"/>
    <w:rsid w:val="00CE5804"/>
    <w:rsid w:val="00CE5846"/>
    <w:rsid w:val="00CE5A01"/>
    <w:rsid w:val="00CE5D14"/>
    <w:rsid w:val="00CE6078"/>
    <w:rsid w:val="00CE620D"/>
    <w:rsid w:val="00CE6330"/>
    <w:rsid w:val="00CE64F7"/>
    <w:rsid w:val="00CE66BF"/>
    <w:rsid w:val="00CE69E6"/>
    <w:rsid w:val="00CE6D11"/>
    <w:rsid w:val="00CE6D2D"/>
    <w:rsid w:val="00CE7172"/>
    <w:rsid w:val="00CE718C"/>
    <w:rsid w:val="00CE71F3"/>
    <w:rsid w:val="00CE73D5"/>
    <w:rsid w:val="00CE7561"/>
    <w:rsid w:val="00CE769C"/>
    <w:rsid w:val="00CE76F8"/>
    <w:rsid w:val="00CE7AAB"/>
    <w:rsid w:val="00CE7D00"/>
    <w:rsid w:val="00CE7D24"/>
    <w:rsid w:val="00CE7E86"/>
    <w:rsid w:val="00CE7F57"/>
    <w:rsid w:val="00CF0226"/>
    <w:rsid w:val="00CF069E"/>
    <w:rsid w:val="00CF0B95"/>
    <w:rsid w:val="00CF0F60"/>
    <w:rsid w:val="00CF111A"/>
    <w:rsid w:val="00CF1354"/>
    <w:rsid w:val="00CF13CC"/>
    <w:rsid w:val="00CF150D"/>
    <w:rsid w:val="00CF1B61"/>
    <w:rsid w:val="00CF24CA"/>
    <w:rsid w:val="00CF281A"/>
    <w:rsid w:val="00CF2A3B"/>
    <w:rsid w:val="00CF2B35"/>
    <w:rsid w:val="00CF2D02"/>
    <w:rsid w:val="00CF2DD3"/>
    <w:rsid w:val="00CF3037"/>
    <w:rsid w:val="00CF31A3"/>
    <w:rsid w:val="00CF353B"/>
    <w:rsid w:val="00CF3899"/>
    <w:rsid w:val="00CF38CF"/>
    <w:rsid w:val="00CF38DB"/>
    <w:rsid w:val="00CF3924"/>
    <w:rsid w:val="00CF3B1F"/>
    <w:rsid w:val="00CF3B74"/>
    <w:rsid w:val="00CF3BA3"/>
    <w:rsid w:val="00CF3BE8"/>
    <w:rsid w:val="00CF3BF6"/>
    <w:rsid w:val="00CF3DD5"/>
    <w:rsid w:val="00CF3F89"/>
    <w:rsid w:val="00CF4266"/>
    <w:rsid w:val="00CF42C5"/>
    <w:rsid w:val="00CF4334"/>
    <w:rsid w:val="00CF4380"/>
    <w:rsid w:val="00CF4470"/>
    <w:rsid w:val="00CF495B"/>
    <w:rsid w:val="00CF4A93"/>
    <w:rsid w:val="00CF4B89"/>
    <w:rsid w:val="00CF4C2E"/>
    <w:rsid w:val="00CF4EA8"/>
    <w:rsid w:val="00CF537B"/>
    <w:rsid w:val="00CF550C"/>
    <w:rsid w:val="00CF57BF"/>
    <w:rsid w:val="00CF58C3"/>
    <w:rsid w:val="00CF5A79"/>
    <w:rsid w:val="00CF5B90"/>
    <w:rsid w:val="00CF5D15"/>
    <w:rsid w:val="00CF5E4A"/>
    <w:rsid w:val="00CF5F51"/>
    <w:rsid w:val="00CF60FF"/>
    <w:rsid w:val="00CF6145"/>
    <w:rsid w:val="00CF625B"/>
    <w:rsid w:val="00CF64BE"/>
    <w:rsid w:val="00CF66BA"/>
    <w:rsid w:val="00CF687E"/>
    <w:rsid w:val="00CF6A12"/>
    <w:rsid w:val="00CF6EC4"/>
    <w:rsid w:val="00CF6F16"/>
    <w:rsid w:val="00CF6FDD"/>
    <w:rsid w:val="00CF7006"/>
    <w:rsid w:val="00CF740F"/>
    <w:rsid w:val="00CF7433"/>
    <w:rsid w:val="00CF75DE"/>
    <w:rsid w:val="00CF75DF"/>
    <w:rsid w:val="00CF7692"/>
    <w:rsid w:val="00CF76ED"/>
    <w:rsid w:val="00CF780C"/>
    <w:rsid w:val="00CF7AF5"/>
    <w:rsid w:val="00CF7B65"/>
    <w:rsid w:val="00CF7BFD"/>
    <w:rsid w:val="00CF7C84"/>
    <w:rsid w:val="00CF7E5C"/>
    <w:rsid w:val="00D002E0"/>
    <w:rsid w:val="00D002E2"/>
    <w:rsid w:val="00D00329"/>
    <w:rsid w:val="00D00558"/>
    <w:rsid w:val="00D00592"/>
    <w:rsid w:val="00D0081D"/>
    <w:rsid w:val="00D00822"/>
    <w:rsid w:val="00D008CB"/>
    <w:rsid w:val="00D009BB"/>
    <w:rsid w:val="00D00BAE"/>
    <w:rsid w:val="00D00D2C"/>
    <w:rsid w:val="00D01414"/>
    <w:rsid w:val="00D0164C"/>
    <w:rsid w:val="00D01719"/>
    <w:rsid w:val="00D018AF"/>
    <w:rsid w:val="00D01D0B"/>
    <w:rsid w:val="00D01D0D"/>
    <w:rsid w:val="00D01E8E"/>
    <w:rsid w:val="00D021D0"/>
    <w:rsid w:val="00D023A1"/>
    <w:rsid w:val="00D02676"/>
    <w:rsid w:val="00D028A9"/>
    <w:rsid w:val="00D02AF1"/>
    <w:rsid w:val="00D02C94"/>
    <w:rsid w:val="00D02F83"/>
    <w:rsid w:val="00D03008"/>
    <w:rsid w:val="00D0301C"/>
    <w:rsid w:val="00D03033"/>
    <w:rsid w:val="00D03088"/>
    <w:rsid w:val="00D0313C"/>
    <w:rsid w:val="00D0328B"/>
    <w:rsid w:val="00D0344B"/>
    <w:rsid w:val="00D0349B"/>
    <w:rsid w:val="00D037A5"/>
    <w:rsid w:val="00D03926"/>
    <w:rsid w:val="00D03B53"/>
    <w:rsid w:val="00D03E88"/>
    <w:rsid w:val="00D03EC3"/>
    <w:rsid w:val="00D04004"/>
    <w:rsid w:val="00D0419A"/>
    <w:rsid w:val="00D04467"/>
    <w:rsid w:val="00D04802"/>
    <w:rsid w:val="00D04929"/>
    <w:rsid w:val="00D04AD9"/>
    <w:rsid w:val="00D04CE4"/>
    <w:rsid w:val="00D04F35"/>
    <w:rsid w:val="00D0504C"/>
    <w:rsid w:val="00D05488"/>
    <w:rsid w:val="00D0556E"/>
    <w:rsid w:val="00D055B1"/>
    <w:rsid w:val="00D0590A"/>
    <w:rsid w:val="00D05978"/>
    <w:rsid w:val="00D05D3B"/>
    <w:rsid w:val="00D05F36"/>
    <w:rsid w:val="00D06021"/>
    <w:rsid w:val="00D0618D"/>
    <w:rsid w:val="00D06731"/>
    <w:rsid w:val="00D0692B"/>
    <w:rsid w:val="00D06A10"/>
    <w:rsid w:val="00D06B85"/>
    <w:rsid w:val="00D070F1"/>
    <w:rsid w:val="00D073D3"/>
    <w:rsid w:val="00D07741"/>
    <w:rsid w:val="00D077BC"/>
    <w:rsid w:val="00D079A6"/>
    <w:rsid w:val="00D07BED"/>
    <w:rsid w:val="00D07F40"/>
    <w:rsid w:val="00D10249"/>
    <w:rsid w:val="00D10475"/>
    <w:rsid w:val="00D1067D"/>
    <w:rsid w:val="00D10CE6"/>
    <w:rsid w:val="00D10CF8"/>
    <w:rsid w:val="00D110EF"/>
    <w:rsid w:val="00D11267"/>
    <w:rsid w:val="00D115C3"/>
    <w:rsid w:val="00D1164B"/>
    <w:rsid w:val="00D11707"/>
    <w:rsid w:val="00D1179E"/>
    <w:rsid w:val="00D11881"/>
    <w:rsid w:val="00D11897"/>
    <w:rsid w:val="00D11C89"/>
    <w:rsid w:val="00D11E73"/>
    <w:rsid w:val="00D12417"/>
    <w:rsid w:val="00D12556"/>
    <w:rsid w:val="00D126B5"/>
    <w:rsid w:val="00D12736"/>
    <w:rsid w:val="00D12977"/>
    <w:rsid w:val="00D12BB1"/>
    <w:rsid w:val="00D12BDC"/>
    <w:rsid w:val="00D12D9F"/>
    <w:rsid w:val="00D13135"/>
    <w:rsid w:val="00D1315D"/>
    <w:rsid w:val="00D131B0"/>
    <w:rsid w:val="00D13350"/>
    <w:rsid w:val="00D13435"/>
    <w:rsid w:val="00D134F7"/>
    <w:rsid w:val="00D1367F"/>
    <w:rsid w:val="00D137BE"/>
    <w:rsid w:val="00D1398E"/>
    <w:rsid w:val="00D139B4"/>
    <w:rsid w:val="00D13B4F"/>
    <w:rsid w:val="00D13CA7"/>
    <w:rsid w:val="00D13E4E"/>
    <w:rsid w:val="00D13E62"/>
    <w:rsid w:val="00D13F25"/>
    <w:rsid w:val="00D144A6"/>
    <w:rsid w:val="00D1452A"/>
    <w:rsid w:val="00D14756"/>
    <w:rsid w:val="00D148D9"/>
    <w:rsid w:val="00D14ACF"/>
    <w:rsid w:val="00D14BD5"/>
    <w:rsid w:val="00D14E67"/>
    <w:rsid w:val="00D15059"/>
    <w:rsid w:val="00D15B3E"/>
    <w:rsid w:val="00D15D2B"/>
    <w:rsid w:val="00D1624A"/>
    <w:rsid w:val="00D164D3"/>
    <w:rsid w:val="00D16508"/>
    <w:rsid w:val="00D1677B"/>
    <w:rsid w:val="00D16811"/>
    <w:rsid w:val="00D16914"/>
    <w:rsid w:val="00D16CC8"/>
    <w:rsid w:val="00D16D47"/>
    <w:rsid w:val="00D16DA2"/>
    <w:rsid w:val="00D16E35"/>
    <w:rsid w:val="00D16E99"/>
    <w:rsid w:val="00D16ED2"/>
    <w:rsid w:val="00D16F0F"/>
    <w:rsid w:val="00D16F58"/>
    <w:rsid w:val="00D16F7D"/>
    <w:rsid w:val="00D16FD5"/>
    <w:rsid w:val="00D17048"/>
    <w:rsid w:val="00D17357"/>
    <w:rsid w:val="00D175FB"/>
    <w:rsid w:val="00D17643"/>
    <w:rsid w:val="00D17989"/>
    <w:rsid w:val="00D17C70"/>
    <w:rsid w:val="00D17CDB"/>
    <w:rsid w:val="00D20673"/>
    <w:rsid w:val="00D20885"/>
    <w:rsid w:val="00D20B96"/>
    <w:rsid w:val="00D20E8D"/>
    <w:rsid w:val="00D20F21"/>
    <w:rsid w:val="00D20F85"/>
    <w:rsid w:val="00D2132F"/>
    <w:rsid w:val="00D214D1"/>
    <w:rsid w:val="00D21669"/>
    <w:rsid w:val="00D217E9"/>
    <w:rsid w:val="00D21B7E"/>
    <w:rsid w:val="00D21F4F"/>
    <w:rsid w:val="00D21F58"/>
    <w:rsid w:val="00D22217"/>
    <w:rsid w:val="00D22494"/>
    <w:rsid w:val="00D22662"/>
    <w:rsid w:val="00D22685"/>
    <w:rsid w:val="00D22725"/>
    <w:rsid w:val="00D2285E"/>
    <w:rsid w:val="00D22BA5"/>
    <w:rsid w:val="00D22D4B"/>
    <w:rsid w:val="00D23249"/>
    <w:rsid w:val="00D234DA"/>
    <w:rsid w:val="00D236F8"/>
    <w:rsid w:val="00D237B1"/>
    <w:rsid w:val="00D239A7"/>
    <w:rsid w:val="00D239F7"/>
    <w:rsid w:val="00D23CC9"/>
    <w:rsid w:val="00D23F47"/>
    <w:rsid w:val="00D24025"/>
    <w:rsid w:val="00D24038"/>
    <w:rsid w:val="00D246DC"/>
    <w:rsid w:val="00D2479E"/>
    <w:rsid w:val="00D24B45"/>
    <w:rsid w:val="00D24C0A"/>
    <w:rsid w:val="00D24D3A"/>
    <w:rsid w:val="00D24F7D"/>
    <w:rsid w:val="00D252BE"/>
    <w:rsid w:val="00D252C8"/>
    <w:rsid w:val="00D25305"/>
    <w:rsid w:val="00D2535E"/>
    <w:rsid w:val="00D253AE"/>
    <w:rsid w:val="00D253B0"/>
    <w:rsid w:val="00D2556A"/>
    <w:rsid w:val="00D256F3"/>
    <w:rsid w:val="00D2596E"/>
    <w:rsid w:val="00D25BA2"/>
    <w:rsid w:val="00D25D9D"/>
    <w:rsid w:val="00D25E24"/>
    <w:rsid w:val="00D25F96"/>
    <w:rsid w:val="00D25FE6"/>
    <w:rsid w:val="00D26202"/>
    <w:rsid w:val="00D265EF"/>
    <w:rsid w:val="00D2681B"/>
    <w:rsid w:val="00D269C4"/>
    <w:rsid w:val="00D26AB3"/>
    <w:rsid w:val="00D26EFF"/>
    <w:rsid w:val="00D26F2D"/>
    <w:rsid w:val="00D27255"/>
    <w:rsid w:val="00D272CC"/>
    <w:rsid w:val="00D27662"/>
    <w:rsid w:val="00D276AB"/>
    <w:rsid w:val="00D277BA"/>
    <w:rsid w:val="00D27B51"/>
    <w:rsid w:val="00D27BD5"/>
    <w:rsid w:val="00D27BDA"/>
    <w:rsid w:val="00D27E00"/>
    <w:rsid w:val="00D3004D"/>
    <w:rsid w:val="00D300EB"/>
    <w:rsid w:val="00D3028C"/>
    <w:rsid w:val="00D30306"/>
    <w:rsid w:val="00D30390"/>
    <w:rsid w:val="00D30443"/>
    <w:rsid w:val="00D30BCE"/>
    <w:rsid w:val="00D30C19"/>
    <w:rsid w:val="00D30D12"/>
    <w:rsid w:val="00D30DD9"/>
    <w:rsid w:val="00D30EE8"/>
    <w:rsid w:val="00D31055"/>
    <w:rsid w:val="00D31307"/>
    <w:rsid w:val="00D31569"/>
    <w:rsid w:val="00D31917"/>
    <w:rsid w:val="00D31B54"/>
    <w:rsid w:val="00D32410"/>
    <w:rsid w:val="00D3247A"/>
    <w:rsid w:val="00D32652"/>
    <w:rsid w:val="00D326DE"/>
    <w:rsid w:val="00D32804"/>
    <w:rsid w:val="00D32884"/>
    <w:rsid w:val="00D328BD"/>
    <w:rsid w:val="00D32ECB"/>
    <w:rsid w:val="00D33431"/>
    <w:rsid w:val="00D336EE"/>
    <w:rsid w:val="00D3396A"/>
    <w:rsid w:val="00D33A67"/>
    <w:rsid w:val="00D33B3F"/>
    <w:rsid w:val="00D33BC6"/>
    <w:rsid w:val="00D342AC"/>
    <w:rsid w:val="00D34A58"/>
    <w:rsid w:val="00D34CC9"/>
    <w:rsid w:val="00D34F53"/>
    <w:rsid w:val="00D355AC"/>
    <w:rsid w:val="00D355E4"/>
    <w:rsid w:val="00D3563B"/>
    <w:rsid w:val="00D3589A"/>
    <w:rsid w:val="00D35918"/>
    <w:rsid w:val="00D35A44"/>
    <w:rsid w:val="00D35BD3"/>
    <w:rsid w:val="00D35E00"/>
    <w:rsid w:val="00D35E1C"/>
    <w:rsid w:val="00D35F36"/>
    <w:rsid w:val="00D36136"/>
    <w:rsid w:val="00D3618B"/>
    <w:rsid w:val="00D362E2"/>
    <w:rsid w:val="00D3634D"/>
    <w:rsid w:val="00D368CA"/>
    <w:rsid w:val="00D369BF"/>
    <w:rsid w:val="00D36B1D"/>
    <w:rsid w:val="00D36E16"/>
    <w:rsid w:val="00D36E71"/>
    <w:rsid w:val="00D36F64"/>
    <w:rsid w:val="00D370A2"/>
    <w:rsid w:val="00D37979"/>
    <w:rsid w:val="00D37982"/>
    <w:rsid w:val="00D37B50"/>
    <w:rsid w:val="00D37CE6"/>
    <w:rsid w:val="00D37D57"/>
    <w:rsid w:val="00D37D87"/>
    <w:rsid w:val="00D37E30"/>
    <w:rsid w:val="00D37F45"/>
    <w:rsid w:val="00D37F49"/>
    <w:rsid w:val="00D40109"/>
    <w:rsid w:val="00D40246"/>
    <w:rsid w:val="00D4029D"/>
    <w:rsid w:val="00D40308"/>
    <w:rsid w:val="00D404F5"/>
    <w:rsid w:val="00D40547"/>
    <w:rsid w:val="00D40705"/>
    <w:rsid w:val="00D40865"/>
    <w:rsid w:val="00D40880"/>
    <w:rsid w:val="00D40B33"/>
    <w:rsid w:val="00D411E1"/>
    <w:rsid w:val="00D41277"/>
    <w:rsid w:val="00D412F0"/>
    <w:rsid w:val="00D41564"/>
    <w:rsid w:val="00D417C5"/>
    <w:rsid w:val="00D41971"/>
    <w:rsid w:val="00D41C26"/>
    <w:rsid w:val="00D41CC5"/>
    <w:rsid w:val="00D41D2A"/>
    <w:rsid w:val="00D41F98"/>
    <w:rsid w:val="00D42060"/>
    <w:rsid w:val="00D4208D"/>
    <w:rsid w:val="00D422D3"/>
    <w:rsid w:val="00D42C0A"/>
    <w:rsid w:val="00D43140"/>
    <w:rsid w:val="00D4317B"/>
    <w:rsid w:val="00D4318F"/>
    <w:rsid w:val="00D431FD"/>
    <w:rsid w:val="00D434EB"/>
    <w:rsid w:val="00D438BF"/>
    <w:rsid w:val="00D43950"/>
    <w:rsid w:val="00D43A27"/>
    <w:rsid w:val="00D43A96"/>
    <w:rsid w:val="00D43CF1"/>
    <w:rsid w:val="00D43FBA"/>
    <w:rsid w:val="00D44048"/>
    <w:rsid w:val="00D440F8"/>
    <w:rsid w:val="00D4418C"/>
    <w:rsid w:val="00D444B8"/>
    <w:rsid w:val="00D44557"/>
    <w:rsid w:val="00D4488F"/>
    <w:rsid w:val="00D44A0B"/>
    <w:rsid w:val="00D450F7"/>
    <w:rsid w:val="00D451FF"/>
    <w:rsid w:val="00D45327"/>
    <w:rsid w:val="00D45537"/>
    <w:rsid w:val="00D455A3"/>
    <w:rsid w:val="00D45B4C"/>
    <w:rsid w:val="00D45C88"/>
    <w:rsid w:val="00D46196"/>
    <w:rsid w:val="00D461C4"/>
    <w:rsid w:val="00D46303"/>
    <w:rsid w:val="00D4641A"/>
    <w:rsid w:val="00D465BA"/>
    <w:rsid w:val="00D465D5"/>
    <w:rsid w:val="00D469F9"/>
    <w:rsid w:val="00D46CC9"/>
    <w:rsid w:val="00D46E43"/>
    <w:rsid w:val="00D46FF5"/>
    <w:rsid w:val="00D47019"/>
    <w:rsid w:val="00D47102"/>
    <w:rsid w:val="00D472BD"/>
    <w:rsid w:val="00D473BD"/>
    <w:rsid w:val="00D47483"/>
    <w:rsid w:val="00D47532"/>
    <w:rsid w:val="00D4769D"/>
    <w:rsid w:val="00D47779"/>
    <w:rsid w:val="00D47879"/>
    <w:rsid w:val="00D4794B"/>
    <w:rsid w:val="00D47A81"/>
    <w:rsid w:val="00D47FEB"/>
    <w:rsid w:val="00D500E5"/>
    <w:rsid w:val="00D5029C"/>
    <w:rsid w:val="00D504E5"/>
    <w:rsid w:val="00D507DF"/>
    <w:rsid w:val="00D50848"/>
    <w:rsid w:val="00D5091B"/>
    <w:rsid w:val="00D50B56"/>
    <w:rsid w:val="00D50BD0"/>
    <w:rsid w:val="00D51106"/>
    <w:rsid w:val="00D5122B"/>
    <w:rsid w:val="00D5146B"/>
    <w:rsid w:val="00D51716"/>
    <w:rsid w:val="00D51756"/>
    <w:rsid w:val="00D517B5"/>
    <w:rsid w:val="00D518DF"/>
    <w:rsid w:val="00D51E34"/>
    <w:rsid w:val="00D51E4F"/>
    <w:rsid w:val="00D51F9B"/>
    <w:rsid w:val="00D5207F"/>
    <w:rsid w:val="00D522DD"/>
    <w:rsid w:val="00D523D5"/>
    <w:rsid w:val="00D524E2"/>
    <w:rsid w:val="00D52715"/>
    <w:rsid w:val="00D5284C"/>
    <w:rsid w:val="00D52920"/>
    <w:rsid w:val="00D52BD0"/>
    <w:rsid w:val="00D52C95"/>
    <w:rsid w:val="00D52FB2"/>
    <w:rsid w:val="00D531FE"/>
    <w:rsid w:val="00D5338F"/>
    <w:rsid w:val="00D53574"/>
    <w:rsid w:val="00D53AD7"/>
    <w:rsid w:val="00D53DD6"/>
    <w:rsid w:val="00D53FB5"/>
    <w:rsid w:val="00D540B0"/>
    <w:rsid w:val="00D541C5"/>
    <w:rsid w:val="00D54341"/>
    <w:rsid w:val="00D545FA"/>
    <w:rsid w:val="00D546FF"/>
    <w:rsid w:val="00D54B80"/>
    <w:rsid w:val="00D54D97"/>
    <w:rsid w:val="00D54E53"/>
    <w:rsid w:val="00D54E66"/>
    <w:rsid w:val="00D54E7D"/>
    <w:rsid w:val="00D54E8A"/>
    <w:rsid w:val="00D54FAE"/>
    <w:rsid w:val="00D5531F"/>
    <w:rsid w:val="00D55326"/>
    <w:rsid w:val="00D5547C"/>
    <w:rsid w:val="00D55511"/>
    <w:rsid w:val="00D5587E"/>
    <w:rsid w:val="00D5597D"/>
    <w:rsid w:val="00D55A1E"/>
    <w:rsid w:val="00D55AD5"/>
    <w:rsid w:val="00D55C34"/>
    <w:rsid w:val="00D55CA6"/>
    <w:rsid w:val="00D55FD0"/>
    <w:rsid w:val="00D56172"/>
    <w:rsid w:val="00D561B6"/>
    <w:rsid w:val="00D56230"/>
    <w:rsid w:val="00D5627A"/>
    <w:rsid w:val="00D56359"/>
    <w:rsid w:val="00D563C2"/>
    <w:rsid w:val="00D563EF"/>
    <w:rsid w:val="00D564CF"/>
    <w:rsid w:val="00D565B7"/>
    <w:rsid w:val="00D56707"/>
    <w:rsid w:val="00D56922"/>
    <w:rsid w:val="00D56951"/>
    <w:rsid w:val="00D56AAE"/>
    <w:rsid w:val="00D56D30"/>
    <w:rsid w:val="00D56E8F"/>
    <w:rsid w:val="00D56F21"/>
    <w:rsid w:val="00D56F6C"/>
    <w:rsid w:val="00D56F98"/>
    <w:rsid w:val="00D57000"/>
    <w:rsid w:val="00D57071"/>
    <w:rsid w:val="00D5708D"/>
    <w:rsid w:val="00D57372"/>
    <w:rsid w:val="00D57432"/>
    <w:rsid w:val="00D5749B"/>
    <w:rsid w:val="00D574FD"/>
    <w:rsid w:val="00D57571"/>
    <w:rsid w:val="00D5765A"/>
    <w:rsid w:val="00D576CA"/>
    <w:rsid w:val="00D57833"/>
    <w:rsid w:val="00D57BA1"/>
    <w:rsid w:val="00D57C91"/>
    <w:rsid w:val="00D57E22"/>
    <w:rsid w:val="00D57E3A"/>
    <w:rsid w:val="00D57E49"/>
    <w:rsid w:val="00D57FF6"/>
    <w:rsid w:val="00D60354"/>
    <w:rsid w:val="00D60388"/>
    <w:rsid w:val="00D603DA"/>
    <w:rsid w:val="00D604AE"/>
    <w:rsid w:val="00D60AD3"/>
    <w:rsid w:val="00D60D1B"/>
    <w:rsid w:val="00D60E4E"/>
    <w:rsid w:val="00D60EFA"/>
    <w:rsid w:val="00D60FAD"/>
    <w:rsid w:val="00D61249"/>
    <w:rsid w:val="00D61306"/>
    <w:rsid w:val="00D61427"/>
    <w:rsid w:val="00D61AF5"/>
    <w:rsid w:val="00D61DAB"/>
    <w:rsid w:val="00D61FB9"/>
    <w:rsid w:val="00D61FE5"/>
    <w:rsid w:val="00D62102"/>
    <w:rsid w:val="00D624CC"/>
    <w:rsid w:val="00D62552"/>
    <w:rsid w:val="00D627B0"/>
    <w:rsid w:val="00D62B98"/>
    <w:rsid w:val="00D62CE0"/>
    <w:rsid w:val="00D62E7B"/>
    <w:rsid w:val="00D62EB8"/>
    <w:rsid w:val="00D62F09"/>
    <w:rsid w:val="00D63125"/>
    <w:rsid w:val="00D6356E"/>
    <w:rsid w:val="00D638C3"/>
    <w:rsid w:val="00D63BAC"/>
    <w:rsid w:val="00D63BC6"/>
    <w:rsid w:val="00D63CE2"/>
    <w:rsid w:val="00D63E7F"/>
    <w:rsid w:val="00D6409C"/>
    <w:rsid w:val="00D6424A"/>
    <w:rsid w:val="00D64313"/>
    <w:rsid w:val="00D64346"/>
    <w:rsid w:val="00D64386"/>
    <w:rsid w:val="00D643D0"/>
    <w:rsid w:val="00D644CD"/>
    <w:rsid w:val="00D6457A"/>
    <w:rsid w:val="00D645B1"/>
    <w:rsid w:val="00D64628"/>
    <w:rsid w:val="00D64679"/>
    <w:rsid w:val="00D646C2"/>
    <w:rsid w:val="00D646FB"/>
    <w:rsid w:val="00D64779"/>
    <w:rsid w:val="00D64D4E"/>
    <w:rsid w:val="00D64FC0"/>
    <w:rsid w:val="00D652B5"/>
    <w:rsid w:val="00D65525"/>
    <w:rsid w:val="00D65537"/>
    <w:rsid w:val="00D65644"/>
    <w:rsid w:val="00D656BA"/>
    <w:rsid w:val="00D65B37"/>
    <w:rsid w:val="00D65BC5"/>
    <w:rsid w:val="00D65CCC"/>
    <w:rsid w:val="00D65D90"/>
    <w:rsid w:val="00D65DE3"/>
    <w:rsid w:val="00D65E1F"/>
    <w:rsid w:val="00D65E4C"/>
    <w:rsid w:val="00D66043"/>
    <w:rsid w:val="00D660C7"/>
    <w:rsid w:val="00D66155"/>
    <w:rsid w:val="00D66276"/>
    <w:rsid w:val="00D66316"/>
    <w:rsid w:val="00D66391"/>
    <w:rsid w:val="00D66408"/>
    <w:rsid w:val="00D664BD"/>
    <w:rsid w:val="00D66610"/>
    <w:rsid w:val="00D66EDB"/>
    <w:rsid w:val="00D66FB9"/>
    <w:rsid w:val="00D66FE0"/>
    <w:rsid w:val="00D67316"/>
    <w:rsid w:val="00D67954"/>
    <w:rsid w:val="00D70023"/>
    <w:rsid w:val="00D702F6"/>
    <w:rsid w:val="00D70369"/>
    <w:rsid w:val="00D704A7"/>
    <w:rsid w:val="00D70525"/>
    <w:rsid w:val="00D708B0"/>
    <w:rsid w:val="00D70C00"/>
    <w:rsid w:val="00D70CD7"/>
    <w:rsid w:val="00D70E21"/>
    <w:rsid w:val="00D70E55"/>
    <w:rsid w:val="00D70EB5"/>
    <w:rsid w:val="00D71295"/>
    <w:rsid w:val="00D71B06"/>
    <w:rsid w:val="00D71C5F"/>
    <w:rsid w:val="00D71E62"/>
    <w:rsid w:val="00D72148"/>
    <w:rsid w:val="00D7237D"/>
    <w:rsid w:val="00D72522"/>
    <w:rsid w:val="00D7284A"/>
    <w:rsid w:val="00D72CC4"/>
    <w:rsid w:val="00D730C4"/>
    <w:rsid w:val="00D730E4"/>
    <w:rsid w:val="00D73186"/>
    <w:rsid w:val="00D734DA"/>
    <w:rsid w:val="00D73694"/>
    <w:rsid w:val="00D73870"/>
    <w:rsid w:val="00D73CF6"/>
    <w:rsid w:val="00D73D19"/>
    <w:rsid w:val="00D73D40"/>
    <w:rsid w:val="00D73EA1"/>
    <w:rsid w:val="00D73F2A"/>
    <w:rsid w:val="00D74586"/>
    <w:rsid w:val="00D7486C"/>
    <w:rsid w:val="00D74996"/>
    <w:rsid w:val="00D74C1A"/>
    <w:rsid w:val="00D75294"/>
    <w:rsid w:val="00D7537D"/>
    <w:rsid w:val="00D75612"/>
    <w:rsid w:val="00D7567B"/>
    <w:rsid w:val="00D7568D"/>
    <w:rsid w:val="00D759A3"/>
    <w:rsid w:val="00D75C1D"/>
    <w:rsid w:val="00D75F62"/>
    <w:rsid w:val="00D762E3"/>
    <w:rsid w:val="00D764F3"/>
    <w:rsid w:val="00D76626"/>
    <w:rsid w:val="00D766FB"/>
    <w:rsid w:val="00D76910"/>
    <w:rsid w:val="00D76C9E"/>
    <w:rsid w:val="00D76D44"/>
    <w:rsid w:val="00D76DDA"/>
    <w:rsid w:val="00D76E10"/>
    <w:rsid w:val="00D76E23"/>
    <w:rsid w:val="00D77114"/>
    <w:rsid w:val="00D77186"/>
    <w:rsid w:val="00D7750B"/>
    <w:rsid w:val="00D7751E"/>
    <w:rsid w:val="00D775A9"/>
    <w:rsid w:val="00D77A70"/>
    <w:rsid w:val="00D77AFF"/>
    <w:rsid w:val="00D77B1D"/>
    <w:rsid w:val="00D77B81"/>
    <w:rsid w:val="00D77C3F"/>
    <w:rsid w:val="00D77C9D"/>
    <w:rsid w:val="00D77CF0"/>
    <w:rsid w:val="00D77DB0"/>
    <w:rsid w:val="00D77E53"/>
    <w:rsid w:val="00D8003D"/>
    <w:rsid w:val="00D8021F"/>
    <w:rsid w:val="00D80383"/>
    <w:rsid w:val="00D8045A"/>
    <w:rsid w:val="00D805C9"/>
    <w:rsid w:val="00D8069D"/>
    <w:rsid w:val="00D80758"/>
    <w:rsid w:val="00D80783"/>
    <w:rsid w:val="00D80A1A"/>
    <w:rsid w:val="00D80BEE"/>
    <w:rsid w:val="00D81068"/>
    <w:rsid w:val="00D8118B"/>
    <w:rsid w:val="00D81673"/>
    <w:rsid w:val="00D81CEA"/>
    <w:rsid w:val="00D81D83"/>
    <w:rsid w:val="00D81DA7"/>
    <w:rsid w:val="00D81E40"/>
    <w:rsid w:val="00D82048"/>
    <w:rsid w:val="00D82352"/>
    <w:rsid w:val="00D823C6"/>
    <w:rsid w:val="00D82415"/>
    <w:rsid w:val="00D82457"/>
    <w:rsid w:val="00D825CA"/>
    <w:rsid w:val="00D826C5"/>
    <w:rsid w:val="00D827F1"/>
    <w:rsid w:val="00D82886"/>
    <w:rsid w:val="00D828D5"/>
    <w:rsid w:val="00D830F9"/>
    <w:rsid w:val="00D8327F"/>
    <w:rsid w:val="00D8376A"/>
    <w:rsid w:val="00D837DB"/>
    <w:rsid w:val="00D83AD8"/>
    <w:rsid w:val="00D84737"/>
    <w:rsid w:val="00D84A5F"/>
    <w:rsid w:val="00D84B8A"/>
    <w:rsid w:val="00D84DB7"/>
    <w:rsid w:val="00D84E49"/>
    <w:rsid w:val="00D84E64"/>
    <w:rsid w:val="00D85098"/>
    <w:rsid w:val="00D850CF"/>
    <w:rsid w:val="00D8572E"/>
    <w:rsid w:val="00D859C7"/>
    <w:rsid w:val="00D85CA3"/>
    <w:rsid w:val="00D85E92"/>
    <w:rsid w:val="00D85EF8"/>
    <w:rsid w:val="00D861EB"/>
    <w:rsid w:val="00D86470"/>
    <w:rsid w:val="00D86485"/>
    <w:rsid w:val="00D8651D"/>
    <w:rsid w:val="00D86575"/>
    <w:rsid w:val="00D8659C"/>
    <w:rsid w:val="00D86723"/>
    <w:rsid w:val="00D869A2"/>
    <w:rsid w:val="00D86AC4"/>
    <w:rsid w:val="00D86CA3"/>
    <w:rsid w:val="00D86D96"/>
    <w:rsid w:val="00D86D9C"/>
    <w:rsid w:val="00D8700A"/>
    <w:rsid w:val="00D8710B"/>
    <w:rsid w:val="00D87119"/>
    <w:rsid w:val="00D871CE"/>
    <w:rsid w:val="00D872F0"/>
    <w:rsid w:val="00D874BB"/>
    <w:rsid w:val="00D8759D"/>
    <w:rsid w:val="00D876C2"/>
    <w:rsid w:val="00D87921"/>
    <w:rsid w:val="00D8794C"/>
    <w:rsid w:val="00D87A25"/>
    <w:rsid w:val="00D87B4E"/>
    <w:rsid w:val="00D87BA1"/>
    <w:rsid w:val="00D87D06"/>
    <w:rsid w:val="00D87FE4"/>
    <w:rsid w:val="00D90082"/>
    <w:rsid w:val="00D901AF"/>
    <w:rsid w:val="00D90362"/>
    <w:rsid w:val="00D90539"/>
    <w:rsid w:val="00D9063A"/>
    <w:rsid w:val="00D90842"/>
    <w:rsid w:val="00D90875"/>
    <w:rsid w:val="00D908FE"/>
    <w:rsid w:val="00D90A6A"/>
    <w:rsid w:val="00D913FF"/>
    <w:rsid w:val="00D914D1"/>
    <w:rsid w:val="00D9173E"/>
    <w:rsid w:val="00D91758"/>
    <w:rsid w:val="00D9196D"/>
    <w:rsid w:val="00D91ADD"/>
    <w:rsid w:val="00D91DA3"/>
    <w:rsid w:val="00D922E0"/>
    <w:rsid w:val="00D924AF"/>
    <w:rsid w:val="00D92519"/>
    <w:rsid w:val="00D92545"/>
    <w:rsid w:val="00D925F2"/>
    <w:rsid w:val="00D92982"/>
    <w:rsid w:val="00D92CF0"/>
    <w:rsid w:val="00D92E7C"/>
    <w:rsid w:val="00D92E8F"/>
    <w:rsid w:val="00D92F42"/>
    <w:rsid w:val="00D92FA0"/>
    <w:rsid w:val="00D93049"/>
    <w:rsid w:val="00D931C6"/>
    <w:rsid w:val="00D9351D"/>
    <w:rsid w:val="00D935D7"/>
    <w:rsid w:val="00D939A7"/>
    <w:rsid w:val="00D93B3F"/>
    <w:rsid w:val="00D93C2E"/>
    <w:rsid w:val="00D93EB8"/>
    <w:rsid w:val="00D93FF3"/>
    <w:rsid w:val="00D93FFC"/>
    <w:rsid w:val="00D940D9"/>
    <w:rsid w:val="00D940EF"/>
    <w:rsid w:val="00D9420E"/>
    <w:rsid w:val="00D94525"/>
    <w:rsid w:val="00D945D2"/>
    <w:rsid w:val="00D94697"/>
    <w:rsid w:val="00D94DE0"/>
    <w:rsid w:val="00D95323"/>
    <w:rsid w:val="00D95421"/>
    <w:rsid w:val="00D95434"/>
    <w:rsid w:val="00D95784"/>
    <w:rsid w:val="00D957F5"/>
    <w:rsid w:val="00D9583A"/>
    <w:rsid w:val="00D95942"/>
    <w:rsid w:val="00D959B2"/>
    <w:rsid w:val="00D95AED"/>
    <w:rsid w:val="00D95BF7"/>
    <w:rsid w:val="00D95D88"/>
    <w:rsid w:val="00D960F0"/>
    <w:rsid w:val="00D9614B"/>
    <w:rsid w:val="00D96383"/>
    <w:rsid w:val="00D96482"/>
    <w:rsid w:val="00D96895"/>
    <w:rsid w:val="00D968BD"/>
    <w:rsid w:val="00D96ACC"/>
    <w:rsid w:val="00D96F62"/>
    <w:rsid w:val="00D96F81"/>
    <w:rsid w:val="00D977DE"/>
    <w:rsid w:val="00D97C1F"/>
    <w:rsid w:val="00D97E1C"/>
    <w:rsid w:val="00D97F8D"/>
    <w:rsid w:val="00DA0043"/>
    <w:rsid w:val="00DA07DE"/>
    <w:rsid w:val="00DA0990"/>
    <w:rsid w:val="00DA0D21"/>
    <w:rsid w:val="00DA0D2B"/>
    <w:rsid w:val="00DA0D4F"/>
    <w:rsid w:val="00DA0E2A"/>
    <w:rsid w:val="00DA146F"/>
    <w:rsid w:val="00DA15A3"/>
    <w:rsid w:val="00DA15F3"/>
    <w:rsid w:val="00DA1783"/>
    <w:rsid w:val="00DA1B0F"/>
    <w:rsid w:val="00DA1B4E"/>
    <w:rsid w:val="00DA1D17"/>
    <w:rsid w:val="00DA1E34"/>
    <w:rsid w:val="00DA1EFD"/>
    <w:rsid w:val="00DA1F80"/>
    <w:rsid w:val="00DA1FA3"/>
    <w:rsid w:val="00DA1FAE"/>
    <w:rsid w:val="00DA206E"/>
    <w:rsid w:val="00DA21BC"/>
    <w:rsid w:val="00DA2268"/>
    <w:rsid w:val="00DA2280"/>
    <w:rsid w:val="00DA274A"/>
    <w:rsid w:val="00DA28D8"/>
    <w:rsid w:val="00DA2934"/>
    <w:rsid w:val="00DA29E1"/>
    <w:rsid w:val="00DA29E9"/>
    <w:rsid w:val="00DA2A01"/>
    <w:rsid w:val="00DA2BDB"/>
    <w:rsid w:val="00DA2F28"/>
    <w:rsid w:val="00DA305E"/>
    <w:rsid w:val="00DA31DC"/>
    <w:rsid w:val="00DA31EE"/>
    <w:rsid w:val="00DA3354"/>
    <w:rsid w:val="00DA3390"/>
    <w:rsid w:val="00DA37D9"/>
    <w:rsid w:val="00DA3B9E"/>
    <w:rsid w:val="00DA3CA6"/>
    <w:rsid w:val="00DA4027"/>
    <w:rsid w:val="00DA41C7"/>
    <w:rsid w:val="00DA43F2"/>
    <w:rsid w:val="00DA451E"/>
    <w:rsid w:val="00DA497B"/>
    <w:rsid w:val="00DA4A72"/>
    <w:rsid w:val="00DA4D0A"/>
    <w:rsid w:val="00DA4DC3"/>
    <w:rsid w:val="00DA4DFA"/>
    <w:rsid w:val="00DA4FD4"/>
    <w:rsid w:val="00DA539A"/>
    <w:rsid w:val="00DA53C5"/>
    <w:rsid w:val="00DA53E7"/>
    <w:rsid w:val="00DA5417"/>
    <w:rsid w:val="00DA5431"/>
    <w:rsid w:val="00DA54A9"/>
    <w:rsid w:val="00DA5515"/>
    <w:rsid w:val="00DA56E8"/>
    <w:rsid w:val="00DA57B8"/>
    <w:rsid w:val="00DA583D"/>
    <w:rsid w:val="00DA58A1"/>
    <w:rsid w:val="00DA59A4"/>
    <w:rsid w:val="00DA5A8D"/>
    <w:rsid w:val="00DA5BC0"/>
    <w:rsid w:val="00DA5CD9"/>
    <w:rsid w:val="00DA5EB5"/>
    <w:rsid w:val="00DA5EF9"/>
    <w:rsid w:val="00DA5F77"/>
    <w:rsid w:val="00DA6EB4"/>
    <w:rsid w:val="00DA7467"/>
    <w:rsid w:val="00DA7485"/>
    <w:rsid w:val="00DA78FC"/>
    <w:rsid w:val="00DA7A28"/>
    <w:rsid w:val="00DA7AE5"/>
    <w:rsid w:val="00DA7BE3"/>
    <w:rsid w:val="00DA7D79"/>
    <w:rsid w:val="00DA7DDF"/>
    <w:rsid w:val="00DB0095"/>
    <w:rsid w:val="00DB04CB"/>
    <w:rsid w:val="00DB081B"/>
    <w:rsid w:val="00DB09F6"/>
    <w:rsid w:val="00DB0A9F"/>
    <w:rsid w:val="00DB0AD5"/>
    <w:rsid w:val="00DB0E7D"/>
    <w:rsid w:val="00DB130C"/>
    <w:rsid w:val="00DB13A5"/>
    <w:rsid w:val="00DB157E"/>
    <w:rsid w:val="00DB15C6"/>
    <w:rsid w:val="00DB19B9"/>
    <w:rsid w:val="00DB1A0F"/>
    <w:rsid w:val="00DB1B6D"/>
    <w:rsid w:val="00DB1C86"/>
    <w:rsid w:val="00DB1DFC"/>
    <w:rsid w:val="00DB2027"/>
    <w:rsid w:val="00DB2189"/>
    <w:rsid w:val="00DB231A"/>
    <w:rsid w:val="00DB2371"/>
    <w:rsid w:val="00DB24B9"/>
    <w:rsid w:val="00DB2560"/>
    <w:rsid w:val="00DB26D6"/>
    <w:rsid w:val="00DB28E7"/>
    <w:rsid w:val="00DB2E6C"/>
    <w:rsid w:val="00DB2ECC"/>
    <w:rsid w:val="00DB2EDF"/>
    <w:rsid w:val="00DB2FD5"/>
    <w:rsid w:val="00DB315D"/>
    <w:rsid w:val="00DB377D"/>
    <w:rsid w:val="00DB3B9C"/>
    <w:rsid w:val="00DB3BC7"/>
    <w:rsid w:val="00DB3BDE"/>
    <w:rsid w:val="00DB400E"/>
    <w:rsid w:val="00DB4095"/>
    <w:rsid w:val="00DB4106"/>
    <w:rsid w:val="00DB440D"/>
    <w:rsid w:val="00DB4434"/>
    <w:rsid w:val="00DB44F4"/>
    <w:rsid w:val="00DB45C1"/>
    <w:rsid w:val="00DB4909"/>
    <w:rsid w:val="00DB4B73"/>
    <w:rsid w:val="00DB5313"/>
    <w:rsid w:val="00DB53AF"/>
    <w:rsid w:val="00DB5549"/>
    <w:rsid w:val="00DB5598"/>
    <w:rsid w:val="00DB56A4"/>
    <w:rsid w:val="00DB58BC"/>
    <w:rsid w:val="00DB5AFB"/>
    <w:rsid w:val="00DB5CEF"/>
    <w:rsid w:val="00DB5D91"/>
    <w:rsid w:val="00DB5F94"/>
    <w:rsid w:val="00DB6171"/>
    <w:rsid w:val="00DB61BF"/>
    <w:rsid w:val="00DB6521"/>
    <w:rsid w:val="00DB65DD"/>
    <w:rsid w:val="00DB682A"/>
    <w:rsid w:val="00DB69F4"/>
    <w:rsid w:val="00DB6BF0"/>
    <w:rsid w:val="00DB6C1F"/>
    <w:rsid w:val="00DB6C68"/>
    <w:rsid w:val="00DB707A"/>
    <w:rsid w:val="00DB7299"/>
    <w:rsid w:val="00DB7425"/>
    <w:rsid w:val="00DB74B7"/>
    <w:rsid w:val="00DB765A"/>
    <w:rsid w:val="00DB79D9"/>
    <w:rsid w:val="00DB7AF3"/>
    <w:rsid w:val="00DB7CCC"/>
    <w:rsid w:val="00DB7E35"/>
    <w:rsid w:val="00DC0042"/>
    <w:rsid w:val="00DC0301"/>
    <w:rsid w:val="00DC048E"/>
    <w:rsid w:val="00DC04B7"/>
    <w:rsid w:val="00DC050F"/>
    <w:rsid w:val="00DC0937"/>
    <w:rsid w:val="00DC0A61"/>
    <w:rsid w:val="00DC0BBA"/>
    <w:rsid w:val="00DC0CB4"/>
    <w:rsid w:val="00DC0F52"/>
    <w:rsid w:val="00DC11C9"/>
    <w:rsid w:val="00DC1603"/>
    <w:rsid w:val="00DC17F4"/>
    <w:rsid w:val="00DC1918"/>
    <w:rsid w:val="00DC1929"/>
    <w:rsid w:val="00DC19AA"/>
    <w:rsid w:val="00DC1ABF"/>
    <w:rsid w:val="00DC1B23"/>
    <w:rsid w:val="00DC1CA3"/>
    <w:rsid w:val="00DC1CD8"/>
    <w:rsid w:val="00DC1F46"/>
    <w:rsid w:val="00DC20E3"/>
    <w:rsid w:val="00DC23F9"/>
    <w:rsid w:val="00DC24F6"/>
    <w:rsid w:val="00DC25EA"/>
    <w:rsid w:val="00DC2677"/>
    <w:rsid w:val="00DC2704"/>
    <w:rsid w:val="00DC2875"/>
    <w:rsid w:val="00DC288B"/>
    <w:rsid w:val="00DC2BE8"/>
    <w:rsid w:val="00DC2D27"/>
    <w:rsid w:val="00DC2D36"/>
    <w:rsid w:val="00DC2D7A"/>
    <w:rsid w:val="00DC2E05"/>
    <w:rsid w:val="00DC2E39"/>
    <w:rsid w:val="00DC2E6C"/>
    <w:rsid w:val="00DC2FEB"/>
    <w:rsid w:val="00DC30FE"/>
    <w:rsid w:val="00DC313E"/>
    <w:rsid w:val="00DC31D3"/>
    <w:rsid w:val="00DC3374"/>
    <w:rsid w:val="00DC33A2"/>
    <w:rsid w:val="00DC36C5"/>
    <w:rsid w:val="00DC3779"/>
    <w:rsid w:val="00DC3883"/>
    <w:rsid w:val="00DC3B9F"/>
    <w:rsid w:val="00DC3C91"/>
    <w:rsid w:val="00DC3F6F"/>
    <w:rsid w:val="00DC4092"/>
    <w:rsid w:val="00DC42D3"/>
    <w:rsid w:val="00DC435F"/>
    <w:rsid w:val="00DC446A"/>
    <w:rsid w:val="00DC45D1"/>
    <w:rsid w:val="00DC4681"/>
    <w:rsid w:val="00DC477D"/>
    <w:rsid w:val="00DC4DB7"/>
    <w:rsid w:val="00DC4ECF"/>
    <w:rsid w:val="00DC50C4"/>
    <w:rsid w:val="00DC5267"/>
    <w:rsid w:val="00DC53EF"/>
    <w:rsid w:val="00DC55F9"/>
    <w:rsid w:val="00DC56D7"/>
    <w:rsid w:val="00DC57AC"/>
    <w:rsid w:val="00DC6084"/>
    <w:rsid w:val="00DC645E"/>
    <w:rsid w:val="00DC65DB"/>
    <w:rsid w:val="00DC6763"/>
    <w:rsid w:val="00DC6B21"/>
    <w:rsid w:val="00DC6CF7"/>
    <w:rsid w:val="00DC6DF4"/>
    <w:rsid w:val="00DC6FA4"/>
    <w:rsid w:val="00DC6FDE"/>
    <w:rsid w:val="00DC70F7"/>
    <w:rsid w:val="00DC72B9"/>
    <w:rsid w:val="00DC76F5"/>
    <w:rsid w:val="00DC7704"/>
    <w:rsid w:val="00DC7886"/>
    <w:rsid w:val="00DC7A90"/>
    <w:rsid w:val="00DC7C44"/>
    <w:rsid w:val="00DC7D00"/>
    <w:rsid w:val="00DC7D9C"/>
    <w:rsid w:val="00DC7EE2"/>
    <w:rsid w:val="00DD002C"/>
    <w:rsid w:val="00DD0211"/>
    <w:rsid w:val="00DD0524"/>
    <w:rsid w:val="00DD06F4"/>
    <w:rsid w:val="00DD0706"/>
    <w:rsid w:val="00DD0BB7"/>
    <w:rsid w:val="00DD0DCB"/>
    <w:rsid w:val="00DD0E11"/>
    <w:rsid w:val="00DD0F3C"/>
    <w:rsid w:val="00DD1350"/>
    <w:rsid w:val="00DD1485"/>
    <w:rsid w:val="00DD168C"/>
    <w:rsid w:val="00DD1714"/>
    <w:rsid w:val="00DD1868"/>
    <w:rsid w:val="00DD1931"/>
    <w:rsid w:val="00DD1B63"/>
    <w:rsid w:val="00DD1BED"/>
    <w:rsid w:val="00DD1F6A"/>
    <w:rsid w:val="00DD21A5"/>
    <w:rsid w:val="00DD220D"/>
    <w:rsid w:val="00DD2DE6"/>
    <w:rsid w:val="00DD2EF1"/>
    <w:rsid w:val="00DD312D"/>
    <w:rsid w:val="00DD334B"/>
    <w:rsid w:val="00DD3404"/>
    <w:rsid w:val="00DD3418"/>
    <w:rsid w:val="00DD34AA"/>
    <w:rsid w:val="00DD352F"/>
    <w:rsid w:val="00DD38E7"/>
    <w:rsid w:val="00DD3AD2"/>
    <w:rsid w:val="00DD3CAC"/>
    <w:rsid w:val="00DD40C5"/>
    <w:rsid w:val="00DD4410"/>
    <w:rsid w:val="00DD4483"/>
    <w:rsid w:val="00DD4492"/>
    <w:rsid w:val="00DD49C4"/>
    <w:rsid w:val="00DD49CC"/>
    <w:rsid w:val="00DD49CF"/>
    <w:rsid w:val="00DD4B4D"/>
    <w:rsid w:val="00DD4B96"/>
    <w:rsid w:val="00DD52F0"/>
    <w:rsid w:val="00DD5570"/>
    <w:rsid w:val="00DD5677"/>
    <w:rsid w:val="00DD59D1"/>
    <w:rsid w:val="00DD59FB"/>
    <w:rsid w:val="00DD5D50"/>
    <w:rsid w:val="00DD5DA9"/>
    <w:rsid w:val="00DD618C"/>
    <w:rsid w:val="00DD6385"/>
    <w:rsid w:val="00DD6419"/>
    <w:rsid w:val="00DD6466"/>
    <w:rsid w:val="00DD6913"/>
    <w:rsid w:val="00DD6ACD"/>
    <w:rsid w:val="00DD6D00"/>
    <w:rsid w:val="00DD6D53"/>
    <w:rsid w:val="00DD70A1"/>
    <w:rsid w:val="00DD721B"/>
    <w:rsid w:val="00DD73D4"/>
    <w:rsid w:val="00DD7525"/>
    <w:rsid w:val="00DD7547"/>
    <w:rsid w:val="00DD7696"/>
    <w:rsid w:val="00DD76A6"/>
    <w:rsid w:val="00DD7758"/>
    <w:rsid w:val="00DD7ABC"/>
    <w:rsid w:val="00DD7AD7"/>
    <w:rsid w:val="00DD7BBB"/>
    <w:rsid w:val="00DD7EBB"/>
    <w:rsid w:val="00DE0018"/>
    <w:rsid w:val="00DE00BB"/>
    <w:rsid w:val="00DE015F"/>
    <w:rsid w:val="00DE03B7"/>
    <w:rsid w:val="00DE04F3"/>
    <w:rsid w:val="00DE09D3"/>
    <w:rsid w:val="00DE0A77"/>
    <w:rsid w:val="00DE0C49"/>
    <w:rsid w:val="00DE0F9E"/>
    <w:rsid w:val="00DE1080"/>
    <w:rsid w:val="00DE133C"/>
    <w:rsid w:val="00DE14A4"/>
    <w:rsid w:val="00DE15EF"/>
    <w:rsid w:val="00DE1612"/>
    <w:rsid w:val="00DE173B"/>
    <w:rsid w:val="00DE18F7"/>
    <w:rsid w:val="00DE199B"/>
    <w:rsid w:val="00DE1AAD"/>
    <w:rsid w:val="00DE1FEC"/>
    <w:rsid w:val="00DE22EB"/>
    <w:rsid w:val="00DE257D"/>
    <w:rsid w:val="00DE25A8"/>
    <w:rsid w:val="00DE2B79"/>
    <w:rsid w:val="00DE2BA5"/>
    <w:rsid w:val="00DE31DB"/>
    <w:rsid w:val="00DE3799"/>
    <w:rsid w:val="00DE3B9C"/>
    <w:rsid w:val="00DE3C0A"/>
    <w:rsid w:val="00DE3D23"/>
    <w:rsid w:val="00DE3DD7"/>
    <w:rsid w:val="00DE3F44"/>
    <w:rsid w:val="00DE3FF1"/>
    <w:rsid w:val="00DE4C17"/>
    <w:rsid w:val="00DE4C32"/>
    <w:rsid w:val="00DE5079"/>
    <w:rsid w:val="00DE51B7"/>
    <w:rsid w:val="00DE54CB"/>
    <w:rsid w:val="00DE551E"/>
    <w:rsid w:val="00DE55E3"/>
    <w:rsid w:val="00DE5608"/>
    <w:rsid w:val="00DE57A1"/>
    <w:rsid w:val="00DE58D0"/>
    <w:rsid w:val="00DE5B4B"/>
    <w:rsid w:val="00DE5CD2"/>
    <w:rsid w:val="00DE5E10"/>
    <w:rsid w:val="00DE5F43"/>
    <w:rsid w:val="00DE5FAE"/>
    <w:rsid w:val="00DE603C"/>
    <w:rsid w:val="00DE603F"/>
    <w:rsid w:val="00DE60A5"/>
    <w:rsid w:val="00DE6192"/>
    <w:rsid w:val="00DE63A2"/>
    <w:rsid w:val="00DE64BE"/>
    <w:rsid w:val="00DE654F"/>
    <w:rsid w:val="00DE689F"/>
    <w:rsid w:val="00DE68D1"/>
    <w:rsid w:val="00DE6ADF"/>
    <w:rsid w:val="00DE6B08"/>
    <w:rsid w:val="00DE6D24"/>
    <w:rsid w:val="00DE6EFA"/>
    <w:rsid w:val="00DE74C5"/>
    <w:rsid w:val="00DE7501"/>
    <w:rsid w:val="00DE7504"/>
    <w:rsid w:val="00DE7781"/>
    <w:rsid w:val="00DE77C4"/>
    <w:rsid w:val="00DE7803"/>
    <w:rsid w:val="00DE7A32"/>
    <w:rsid w:val="00DF000F"/>
    <w:rsid w:val="00DF0062"/>
    <w:rsid w:val="00DF01A4"/>
    <w:rsid w:val="00DF022A"/>
    <w:rsid w:val="00DF04A2"/>
    <w:rsid w:val="00DF07F9"/>
    <w:rsid w:val="00DF0A97"/>
    <w:rsid w:val="00DF0AF3"/>
    <w:rsid w:val="00DF0B6E"/>
    <w:rsid w:val="00DF0BBB"/>
    <w:rsid w:val="00DF0E12"/>
    <w:rsid w:val="00DF1226"/>
    <w:rsid w:val="00DF13F4"/>
    <w:rsid w:val="00DF15E0"/>
    <w:rsid w:val="00DF1744"/>
    <w:rsid w:val="00DF1814"/>
    <w:rsid w:val="00DF187A"/>
    <w:rsid w:val="00DF18E7"/>
    <w:rsid w:val="00DF1B98"/>
    <w:rsid w:val="00DF1C98"/>
    <w:rsid w:val="00DF1CE2"/>
    <w:rsid w:val="00DF1FD3"/>
    <w:rsid w:val="00DF2755"/>
    <w:rsid w:val="00DF27F2"/>
    <w:rsid w:val="00DF2B7C"/>
    <w:rsid w:val="00DF2BC3"/>
    <w:rsid w:val="00DF2DE2"/>
    <w:rsid w:val="00DF2F88"/>
    <w:rsid w:val="00DF342A"/>
    <w:rsid w:val="00DF34FB"/>
    <w:rsid w:val="00DF37A0"/>
    <w:rsid w:val="00DF39C8"/>
    <w:rsid w:val="00DF3B5B"/>
    <w:rsid w:val="00DF3D72"/>
    <w:rsid w:val="00DF3FBA"/>
    <w:rsid w:val="00DF3FFE"/>
    <w:rsid w:val="00DF4063"/>
    <w:rsid w:val="00DF4110"/>
    <w:rsid w:val="00DF4324"/>
    <w:rsid w:val="00DF4374"/>
    <w:rsid w:val="00DF4434"/>
    <w:rsid w:val="00DF46A3"/>
    <w:rsid w:val="00DF47C7"/>
    <w:rsid w:val="00DF49CA"/>
    <w:rsid w:val="00DF4E8D"/>
    <w:rsid w:val="00DF5192"/>
    <w:rsid w:val="00DF51B0"/>
    <w:rsid w:val="00DF541B"/>
    <w:rsid w:val="00DF5452"/>
    <w:rsid w:val="00DF54DD"/>
    <w:rsid w:val="00DF599A"/>
    <w:rsid w:val="00DF5A7A"/>
    <w:rsid w:val="00DF5A98"/>
    <w:rsid w:val="00DF5AEF"/>
    <w:rsid w:val="00DF5B72"/>
    <w:rsid w:val="00DF5C11"/>
    <w:rsid w:val="00DF5C2A"/>
    <w:rsid w:val="00DF5C5D"/>
    <w:rsid w:val="00DF5EC5"/>
    <w:rsid w:val="00DF5EF3"/>
    <w:rsid w:val="00DF5F55"/>
    <w:rsid w:val="00DF6076"/>
    <w:rsid w:val="00DF60C6"/>
    <w:rsid w:val="00DF61AD"/>
    <w:rsid w:val="00DF6580"/>
    <w:rsid w:val="00DF6858"/>
    <w:rsid w:val="00DF6861"/>
    <w:rsid w:val="00DF6925"/>
    <w:rsid w:val="00DF6D18"/>
    <w:rsid w:val="00DF6D4A"/>
    <w:rsid w:val="00DF6E92"/>
    <w:rsid w:val="00DF6EB9"/>
    <w:rsid w:val="00DF712E"/>
    <w:rsid w:val="00DF74D4"/>
    <w:rsid w:val="00DF77D9"/>
    <w:rsid w:val="00DF7A4D"/>
    <w:rsid w:val="00DF7D9E"/>
    <w:rsid w:val="00DF7E3A"/>
    <w:rsid w:val="00DF7F88"/>
    <w:rsid w:val="00E000B7"/>
    <w:rsid w:val="00E001E1"/>
    <w:rsid w:val="00E00344"/>
    <w:rsid w:val="00E003EA"/>
    <w:rsid w:val="00E005BF"/>
    <w:rsid w:val="00E00787"/>
    <w:rsid w:val="00E009E0"/>
    <w:rsid w:val="00E00B26"/>
    <w:rsid w:val="00E00B8B"/>
    <w:rsid w:val="00E00FB5"/>
    <w:rsid w:val="00E012BC"/>
    <w:rsid w:val="00E012C1"/>
    <w:rsid w:val="00E01338"/>
    <w:rsid w:val="00E01751"/>
    <w:rsid w:val="00E01A54"/>
    <w:rsid w:val="00E01B49"/>
    <w:rsid w:val="00E01CA5"/>
    <w:rsid w:val="00E01D81"/>
    <w:rsid w:val="00E01E32"/>
    <w:rsid w:val="00E02089"/>
    <w:rsid w:val="00E02279"/>
    <w:rsid w:val="00E02286"/>
    <w:rsid w:val="00E023B0"/>
    <w:rsid w:val="00E028C9"/>
    <w:rsid w:val="00E0293A"/>
    <w:rsid w:val="00E02A9D"/>
    <w:rsid w:val="00E02B0E"/>
    <w:rsid w:val="00E02BB1"/>
    <w:rsid w:val="00E02C81"/>
    <w:rsid w:val="00E02CD8"/>
    <w:rsid w:val="00E02D9B"/>
    <w:rsid w:val="00E02FA3"/>
    <w:rsid w:val="00E03037"/>
    <w:rsid w:val="00E03131"/>
    <w:rsid w:val="00E0315E"/>
    <w:rsid w:val="00E034AD"/>
    <w:rsid w:val="00E0387D"/>
    <w:rsid w:val="00E03B4C"/>
    <w:rsid w:val="00E03C44"/>
    <w:rsid w:val="00E03C94"/>
    <w:rsid w:val="00E03E03"/>
    <w:rsid w:val="00E03E9D"/>
    <w:rsid w:val="00E03F22"/>
    <w:rsid w:val="00E04086"/>
    <w:rsid w:val="00E040E4"/>
    <w:rsid w:val="00E0414A"/>
    <w:rsid w:val="00E044F0"/>
    <w:rsid w:val="00E04591"/>
    <w:rsid w:val="00E04713"/>
    <w:rsid w:val="00E04766"/>
    <w:rsid w:val="00E04797"/>
    <w:rsid w:val="00E047F4"/>
    <w:rsid w:val="00E04B73"/>
    <w:rsid w:val="00E04BF3"/>
    <w:rsid w:val="00E04C29"/>
    <w:rsid w:val="00E04D66"/>
    <w:rsid w:val="00E04D67"/>
    <w:rsid w:val="00E04D7D"/>
    <w:rsid w:val="00E04E6C"/>
    <w:rsid w:val="00E04F68"/>
    <w:rsid w:val="00E05310"/>
    <w:rsid w:val="00E0538A"/>
    <w:rsid w:val="00E053AE"/>
    <w:rsid w:val="00E053E1"/>
    <w:rsid w:val="00E054D2"/>
    <w:rsid w:val="00E056D0"/>
    <w:rsid w:val="00E058B6"/>
    <w:rsid w:val="00E05D62"/>
    <w:rsid w:val="00E05D69"/>
    <w:rsid w:val="00E05F1D"/>
    <w:rsid w:val="00E06010"/>
    <w:rsid w:val="00E06239"/>
    <w:rsid w:val="00E0643B"/>
    <w:rsid w:val="00E065B4"/>
    <w:rsid w:val="00E0665B"/>
    <w:rsid w:val="00E0675E"/>
    <w:rsid w:val="00E0689A"/>
    <w:rsid w:val="00E06A15"/>
    <w:rsid w:val="00E06AB2"/>
    <w:rsid w:val="00E06AD0"/>
    <w:rsid w:val="00E06B68"/>
    <w:rsid w:val="00E06FE5"/>
    <w:rsid w:val="00E071BA"/>
    <w:rsid w:val="00E07355"/>
    <w:rsid w:val="00E0738C"/>
    <w:rsid w:val="00E0748B"/>
    <w:rsid w:val="00E0752A"/>
    <w:rsid w:val="00E07557"/>
    <w:rsid w:val="00E07589"/>
    <w:rsid w:val="00E07789"/>
    <w:rsid w:val="00E07945"/>
    <w:rsid w:val="00E07B83"/>
    <w:rsid w:val="00E07FA7"/>
    <w:rsid w:val="00E1002B"/>
    <w:rsid w:val="00E10323"/>
    <w:rsid w:val="00E10526"/>
    <w:rsid w:val="00E10994"/>
    <w:rsid w:val="00E110E7"/>
    <w:rsid w:val="00E113E4"/>
    <w:rsid w:val="00E115D0"/>
    <w:rsid w:val="00E11B20"/>
    <w:rsid w:val="00E11EF4"/>
    <w:rsid w:val="00E11F47"/>
    <w:rsid w:val="00E11F7B"/>
    <w:rsid w:val="00E121A5"/>
    <w:rsid w:val="00E121E1"/>
    <w:rsid w:val="00E12275"/>
    <w:rsid w:val="00E12491"/>
    <w:rsid w:val="00E124A7"/>
    <w:rsid w:val="00E1267B"/>
    <w:rsid w:val="00E12714"/>
    <w:rsid w:val="00E12903"/>
    <w:rsid w:val="00E12AE2"/>
    <w:rsid w:val="00E12C5A"/>
    <w:rsid w:val="00E12D76"/>
    <w:rsid w:val="00E12E3B"/>
    <w:rsid w:val="00E12EB3"/>
    <w:rsid w:val="00E134F2"/>
    <w:rsid w:val="00E13B19"/>
    <w:rsid w:val="00E13B7F"/>
    <w:rsid w:val="00E13BBE"/>
    <w:rsid w:val="00E13C3C"/>
    <w:rsid w:val="00E13DCE"/>
    <w:rsid w:val="00E13E05"/>
    <w:rsid w:val="00E13E40"/>
    <w:rsid w:val="00E13E5A"/>
    <w:rsid w:val="00E13E9C"/>
    <w:rsid w:val="00E140A0"/>
    <w:rsid w:val="00E14192"/>
    <w:rsid w:val="00E14611"/>
    <w:rsid w:val="00E146A5"/>
    <w:rsid w:val="00E1484C"/>
    <w:rsid w:val="00E14945"/>
    <w:rsid w:val="00E14ABA"/>
    <w:rsid w:val="00E14ACE"/>
    <w:rsid w:val="00E14B5C"/>
    <w:rsid w:val="00E14D09"/>
    <w:rsid w:val="00E14E46"/>
    <w:rsid w:val="00E14EA0"/>
    <w:rsid w:val="00E14F86"/>
    <w:rsid w:val="00E15064"/>
    <w:rsid w:val="00E150B8"/>
    <w:rsid w:val="00E1518E"/>
    <w:rsid w:val="00E15278"/>
    <w:rsid w:val="00E15294"/>
    <w:rsid w:val="00E153EF"/>
    <w:rsid w:val="00E15666"/>
    <w:rsid w:val="00E15897"/>
    <w:rsid w:val="00E1595F"/>
    <w:rsid w:val="00E1597D"/>
    <w:rsid w:val="00E15B03"/>
    <w:rsid w:val="00E15CD9"/>
    <w:rsid w:val="00E15D47"/>
    <w:rsid w:val="00E15DB9"/>
    <w:rsid w:val="00E15EE3"/>
    <w:rsid w:val="00E15F42"/>
    <w:rsid w:val="00E15F4A"/>
    <w:rsid w:val="00E16019"/>
    <w:rsid w:val="00E1604B"/>
    <w:rsid w:val="00E160A4"/>
    <w:rsid w:val="00E160BC"/>
    <w:rsid w:val="00E1652F"/>
    <w:rsid w:val="00E16531"/>
    <w:rsid w:val="00E16545"/>
    <w:rsid w:val="00E167C5"/>
    <w:rsid w:val="00E1682B"/>
    <w:rsid w:val="00E169FE"/>
    <w:rsid w:val="00E16A91"/>
    <w:rsid w:val="00E16C4D"/>
    <w:rsid w:val="00E16C87"/>
    <w:rsid w:val="00E16CCD"/>
    <w:rsid w:val="00E16DFC"/>
    <w:rsid w:val="00E16F55"/>
    <w:rsid w:val="00E1710C"/>
    <w:rsid w:val="00E1734E"/>
    <w:rsid w:val="00E1750C"/>
    <w:rsid w:val="00E175FB"/>
    <w:rsid w:val="00E178CA"/>
    <w:rsid w:val="00E17A62"/>
    <w:rsid w:val="00E17AFA"/>
    <w:rsid w:val="00E17BB8"/>
    <w:rsid w:val="00E17C53"/>
    <w:rsid w:val="00E17D8C"/>
    <w:rsid w:val="00E17EE9"/>
    <w:rsid w:val="00E17FA2"/>
    <w:rsid w:val="00E200CA"/>
    <w:rsid w:val="00E2019A"/>
    <w:rsid w:val="00E201D7"/>
    <w:rsid w:val="00E20214"/>
    <w:rsid w:val="00E20AD0"/>
    <w:rsid w:val="00E20C8C"/>
    <w:rsid w:val="00E20D7D"/>
    <w:rsid w:val="00E20E61"/>
    <w:rsid w:val="00E20FAC"/>
    <w:rsid w:val="00E210B7"/>
    <w:rsid w:val="00E2115D"/>
    <w:rsid w:val="00E212AE"/>
    <w:rsid w:val="00E21362"/>
    <w:rsid w:val="00E2156F"/>
    <w:rsid w:val="00E215F0"/>
    <w:rsid w:val="00E2178B"/>
    <w:rsid w:val="00E21842"/>
    <w:rsid w:val="00E21AD7"/>
    <w:rsid w:val="00E21C34"/>
    <w:rsid w:val="00E21CE5"/>
    <w:rsid w:val="00E21EF6"/>
    <w:rsid w:val="00E220E7"/>
    <w:rsid w:val="00E2211F"/>
    <w:rsid w:val="00E221F2"/>
    <w:rsid w:val="00E22212"/>
    <w:rsid w:val="00E22330"/>
    <w:rsid w:val="00E2247F"/>
    <w:rsid w:val="00E225ED"/>
    <w:rsid w:val="00E22682"/>
    <w:rsid w:val="00E22716"/>
    <w:rsid w:val="00E22A54"/>
    <w:rsid w:val="00E22E85"/>
    <w:rsid w:val="00E22F4A"/>
    <w:rsid w:val="00E22FA2"/>
    <w:rsid w:val="00E2366A"/>
    <w:rsid w:val="00E236E0"/>
    <w:rsid w:val="00E237EA"/>
    <w:rsid w:val="00E23843"/>
    <w:rsid w:val="00E23900"/>
    <w:rsid w:val="00E23977"/>
    <w:rsid w:val="00E23A7F"/>
    <w:rsid w:val="00E23B51"/>
    <w:rsid w:val="00E23D8E"/>
    <w:rsid w:val="00E23F3F"/>
    <w:rsid w:val="00E23FB1"/>
    <w:rsid w:val="00E240A8"/>
    <w:rsid w:val="00E241A7"/>
    <w:rsid w:val="00E24300"/>
    <w:rsid w:val="00E2435D"/>
    <w:rsid w:val="00E2444D"/>
    <w:rsid w:val="00E24470"/>
    <w:rsid w:val="00E2448C"/>
    <w:rsid w:val="00E246E7"/>
    <w:rsid w:val="00E249EC"/>
    <w:rsid w:val="00E24C5F"/>
    <w:rsid w:val="00E24CC3"/>
    <w:rsid w:val="00E24D4E"/>
    <w:rsid w:val="00E24DE2"/>
    <w:rsid w:val="00E24EB1"/>
    <w:rsid w:val="00E252C4"/>
    <w:rsid w:val="00E2549E"/>
    <w:rsid w:val="00E254D6"/>
    <w:rsid w:val="00E256C9"/>
    <w:rsid w:val="00E257CA"/>
    <w:rsid w:val="00E25900"/>
    <w:rsid w:val="00E25B53"/>
    <w:rsid w:val="00E25C2A"/>
    <w:rsid w:val="00E25CDD"/>
    <w:rsid w:val="00E25E68"/>
    <w:rsid w:val="00E25EA5"/>
    <w:rsid w:val="00E25FE6"/>
    <w:rsid w:val="00E260A1"/>
    <w:rsid w:val="00E2621B"/>
    <w:rsid w:val="00E262BB"/>
    <w:rsid w:val="00E262C5"/>
    <w:rsid w:val="00E26582"/>
    <w:rsid w:val="00E265ED"/>
    <w:rsid w:val="00E26A9B"/>
    <w:rsid w:val="00E26AC2"/>
    <w:rsid w:val="00E26AFA"/>
    <w:rsid w:val="00E26D3F"/>
    <w:rsid w:val="00E26E07"/>
    <w:rsid w:val="00E26F21"/>
    <w:rsid w:val="00E26FD8"/>
    <w:rsid w:val="00E272DD"/>
    <w:rsid w:val="00E2732C"/>
    <w:rsid w:val="00E275EF"/>
    <w:rsid w:val="00E27673"/>
    <w:rsid w:val="00E27846"/>
    <w:rsid w:val="00E2787B"/>
    <w:rsid w:val="00E278BB"/>
    <w:rsid w:val="00E2793A"/>
    <w:rsid w:val="00E279F0"/>
    <w:rsid w:val="00E27B70"/>
    <w:rsid w:val="00E27BA1"/>
    <w:rsid w:val="00E27D52"/>
    <w:rsid w:val="00E27E34"/>
    <w:rsid w:val="00E27FC7"/>
    <w:rsid w:val="00E306DC"/>
    <w:rsid w:val="00E3082E"/>
    <w:rsid w:val="00E30B5A"/>
    <w:rsid w:val="00E3123D"/>
    <w:rsid w:val="00E312AF"/>
    <w:rsid w:val="00E31316"/>
    <w:rsid w:val="00E31461"/>
    <w:rsid w:val="00E31487"/>
    <w:rsid w:val="00E314BD"/>
    <w:rsid w:val="00E314DC"/>
    <w:rsid w:val="00E314DD"/>
    <w:rsid w:val="00E31A3F"/>
    <w:rsid w:val="00E31A44"/>
    <w:rsid w:val="00E31B8A"/>
    <w:rsid w:val="00E31BF6"/>
    <w:rsid w:val="00E31D43"/>
    <w:rsid w:val="00E31D6C"/>
    <w:rsid w:val="00E32044"/>
    <w:rsid w:val="00E32292"/>
    <w:rsid w:val="00E322C0"/>
    <w:rsid w:val="00E32368"/>
    <w:rsid w:val="00E323A1"/>
    <w:rsid w:val="00E32449"/>
    <w:rsid w:val="00E32608"/>
    <w:rsid w:val="00E32811"/>
    <w:rsid w:val="00E32A8E"/>
    <w:rsid w:val="00E32D28"/>
    <w:rsid w:val="00E33305"/>
    <w:rsid w:val="00E3397E"/>
    <w:rsid w:val="00E33B35"/>
    <w:rsid w:val="00E33F6A"/>
    <w:rsid w:val="00E34016"/>
    <w:rsid w:val="00E34188"/>
    <w:rsid w:val="00E34388"/>
    <w:rsid w:val="00E343EC"/>
    <w:rsid w:val="00E3463F"/>
    <w:rsid w:val="00E346D3"/>
    <w:rsid w:val="00E34752"/>
    <w:rsid w:val="00E3489B"/>
    <w:rsid w:val="00E348C7"/>
    <w:rsid w:val="00E34A0F"/>
    <w:rsid w:val="00E34B6E"/>
    <w:rsid w:val="00E3500B"/>
    <w:rsid w:val="00E35049"/>
    <w:rsid w:val="00E35053"/>
    <w:rsid w:val="00E350CC"/>
    <w:rsid w:val="00E351CE"/>
    <w:rsid w:val="00E3548E"/>
    <w:rsid w:val="00E354BF"/>
    <w:rsid w:val="00E35559"/>
    <w:rsid w:val="00E355D4"/>
    <w:rsid w:val="00E358B2"/>
    <w:rsid w:val="00E35913"/>
    <w:rsid w:val="00E35975"/>
    <w:rsid w:val="00E35C7E"/>
    <w:rsid w:val="00E35F6D"/>
    <w:rsid w:val="00E36110"/>
    <w:rsid w:val="00E36385"/>
    <w:rsid w:val="00E365AF"/>
    <w:rsid w:val="00E369CA"/>
    <w:rsid w:val="00E36A51"/>
    <w:rsid w:val="00E36CA8"/>
    <w:rsid w:val="00E36D66"/>
    <w:rsid w:val="00E36F04"/>
    <w:rsid w:val="00E371E1"/>
    <w:rsid w:val="00E371F5"/>
    <w:rsid w:val="00E3723A"/>
    <w:rsid w:val="00E373A5"/>
    <w:rsid w:val="00E37427"/>
    <w:rsid w:val="00E37860"/>
    <w:rsid w:val="00E378E8"/>
    <w:rsid w:val="00E37AD5"/>
    <w:rsid w:val="00E37BC8"/>
    <w:rsid w:val="00E37E0F"/>
    <w:rsid w:val="00E37EC2"/>
    <w:rsid w:val="00E400CE"/>
    <w:rsid w:val="00E4011E"/>
    <w:rsid w:val="00E401CB"/>
    <w:rsid w:val="00E4023A"/>
    <w:rsid w:val="00E408A5"/>
    <w:rsid w:val="00E408C8"/>
    <w:rsid w:val="00E40A93"/>
    <w:rsid w:val="00E40AC4"/>
    <w:rsid w:val="00E40CC7"/>
    <w:rsid w:val="00E41011"/>
    <w:rsid w:val="00E410DA"/>
    <w:rsid w:val="00E41488"/>
    <w:rsid w:val="00E415D5"/>
    <w:rsid w:val="00E4181E"/>
    <w:rsid w:val="00E418B9"/>
    <w:rsid w:val="00E4191A"/>
    <w:rsid w:val="00E41E23"/>
    <w:rsid w:val="00E41E95"/>
    <w:rsid w:val="00E41EDC"/>
    <w:rsid w:val="00E41F3A"/>
    <w:rsid w:val="00E41F9C"/>
    <w:rsid w:val="00E421BD"/>
    <w:rsid w:val="00E4273B"/>
    <w:rsid w:val="00E4286F"/>
    <w:rsid w:val="00E42A00"/>
    <w:rsid w:val="00E42A65"/>
    <w:rsid w:val="00E42B11"/>
    <w:rsid w:val="00E42C41"/>
    <w:rsid w:val="00E42CB7"/>
    <w:rsid w:val="00E42E1E"/>
    <w:rsid w:val="00E430E4"/>
    <w:rsid w:val="00E4329D"/>
    <w:rsid w:val="00E432DF"/>
    <w:rsid w:val="00E433BE"/>
    <w:rsid w:val="00E4349C"/>
    <w:rsid w:val="00E43729"/>
    <w:rsid w:val="00E43AB4"/>
    <w:rsid w:val="00E43BB4"/>
    <w:rsid w:val="00E43DEB"/>
    <w:rsid w:val="00E43E25"/>
    <w:rsid w:val="00E43F9E"/>
    <w:rsid w:val="00E44142"/>
    <w:rsid w:val="00E44277"/>
    <w:rsid w:val="00E443E1"/>
    <w:rsid w:val="00E4448D"/>
    <w:rsid w:val="00E44614"/>
    <w:rsid w:val="00E446F1"/>
    <w:rsid w:val="00E4493B"/>
    <w:rsid w:val="00E449EF"/>
    <w:rsid w:val="00E44EAC"/>
    <w:rsid w:val="00E44F50"/>
    <w:rsid w:val="00E44FBF"/>
    <w:rsid w:val="00E4510A"/>
    <w:rsid w:val="00E451AB"/>
    <w:rsid w:val="00E451D4"/>
    <w:rsid w:val="00E45393"/>
    <w:rsid w:val="00E4561C"/>
    <w:rsid w:val="00E45660"/>
    <w:rsid w:val="00E456DA"/>
    <w:rsid w:val="00E456E8"/>
    <w:rsid w:val="00E457BC"/>
    <w:rsid w:val="00E458AE"/>
    <w:rsid w:val="00E45991"/>
    <w:rsid w:val="00E45A2C"/>
    <w:rsid w:val="00E45AE7"/>
    <w:rsid w:val="00E45C4B"/>
    <w:rsid w:val="00E45E5D"/>
    <w:rsid w:val="00E4611E"/>
    <w:rsid w:val="00E46139"/>
    <w:rsid w:val="00E46747"/>
    <w:rsid w:val="00E4679A"/>
    <w:rsid w:val="00E46886"/>
    <w:rsid w:val="00E4697D"/>
    <w:rsid w:val="00E469C6"/>
    <w:rsid w:val="00E469F5"/>
    <w:rsid w:val="00E46ACB"/>
    <w:rsid w:val="00E46F34"/>
    <w:rsid w:val="00E46F81"/>
    <w:rsid w:val="00E473E5"/>
    <w:rsid w:val="00E473FF"/>
    <w:rsid w:val="00E47495"/>
    <w:rsid w:val="00E47AEF"/>
    <w:rsid w:val="00E47B08"/>
    <w:rsid w:val="00E47CE0"/>
    <w:rsid w:val="00E47D28"/>
    <w:rsid w:val="00E47F40"/>
    <w:rsid w:val="00E47F58"/>
    <w:rsid w:val="00E5003F"/>
    <w:rsid w:val="00E504CD"/>
    <w:rsid w:val="00E504FC"/>
    <w:rsid w:val="00E50589"/>
    <w:rsid w:val="00E50712"/>
    <w:rsid w:val="00E509A3"/>
    <w:rsid w:val="00E50D64"/>
    <w:rsid w:val="00E50EFC"/>
    <w:rsid w:val="00E50F7F"/>
    <w:rsid w:val="00E512F8"/>
    <w:rsid w:val="00E5177F"/>
    <w:rsid w:val="00E51958"/>
    <w:rsid w:val="00E51C98"/>
    <w:rsid w:val="00E51CE1"/>
    <w:rsid w:val="00E51CE6"/>
    <w:rsid w:val="00E51E4A"/>
    <w:rsid w:val="00E522F1"/>
    <w:rsid w:val="00E52575"/>
    <w:rsid w:val="00E529C7"/>
    <w:rsid w:val="00E529D4"/>
    <w:rsid w:val="00E52D34"/>
    <w:rsid w:val="00E52DA4"/>
    <w:rsid w:val="00E52ED8"/>
    <w:rsid w:val="00E53084"/>
    <w:rsid w:val="00E531A4"/>
    <w:rsid w:val="00E533AF"/>
    <w:rsid w:val="00E533C6"/>
    <w:rsid w:val="00E53488"/>
    <w:rsid w:val="00E534A7"/>
    <w:rsid w:val="00E53B75"/>
    <w:rsid w:val="00E53CD9"/>
    <w:rsid w:val="00E53F1F"/>
    <w:rsid w:val="00E53F5B"/>
    <w:rsid w:val="00E54084"/>
    <w:rsid w:val="00E541F8"/>
    <w:rsid w:val="00E541FD"/>
    <w:rsid w:val="00E544F1"/>
    <w:rsid w:val="00E546C2"/>
    <w:rsid w:val="00E54772"/>
    <w:rsid w:val="00E547BE"/>
    <w:rsid w:val="00E54912"/>
    <w:rsid w:val="00E54B41"/>
    <w:rsid w:val="00E54B5E"/>
    <w:rsid w:val="00E54C98"/>
    <w:rsid w:val="00E54D20"/>
    <w:rsid w:val="00E54D9A"/>
    <w:rsid w:val="00E54E3B"/>
    <w:rsid w:val="00E54F4C"/>
    <w:rsid w:val="00E551BA"/>
    <w:rsid w:val="00E55842"/>
    <w:rsid w:val="00E55B88"/>
    <w:rsid w:val="00E55D07"/>
    <w:rsid w:val="00E55D2F"/>
    <w:rsid w:val="00E55D60"/>
    <w:rsid w:val="00E55EED"/>
    <w:rsid w:val="00E5649C"/>
    <w:rsid w:val="00E564F6"/>
    <w:rsid w:val="00E5651A"/>
    <w:rsid w:val="00E5678D"/>
    <w:rsid w:val="00E568D3"/>
    <w:rsid w:val="00E56A13"/>
    <w:rsid w:val="00E56B5D"/>
    <w:rsid w:val="00E56D51"/>
    <w:rsid w:val="00E56D92"/>
    <w:rsid w:val="00E56DC3"/>
    <w:rsid w:val="00E56DE4"/>
    <w:rsid w:val="00E56EA4"/>
    <w:rsid w:val="00E56F5A"/>
    <w:rsid w:val="00E57031"/>
    <w:rsid w:val="00E57043"/>
    <w:rsid w:val="00E57565"/>
    <w:rsid w:val="00E576A1"/>
    <w:rsid w:val="00E57809"/>
    <w:rsid w:val="00E57833"/>
    <w:rsid w:val="00E579BB"/>
    <w:rsid w:val="00E57B2B"/>
    <w:rsid w:val="00E57C92"/>
    <w:rsid w:val="00E57D03"/>
    <w:rsid w:val="00E57F11"/>
    <w:rsid w:val="00E57F18"/>
    <w:rsid w:val="00E57F1C"/>
    <w:rsid w:val="00E60186"/>
    <w:rsid w:val="00E601AA"/>
    <w:rsid w:val="00E601F9"/>
    <w:rsid w:val="00E604D4"/>
    <w:rsid w:val="00E60693"/>
    <w:rsid w:val="00E60925"/>
    <w:rsid w:val="00E60A0C"/>
    <w:rsid w:val="00E60BDF"/>
    <w:rsid w:val="00E611D3"/>
    <w:rsid w:val="00E61278"/>
    <w:rsid w:val="00E61402"/>
    <w:rsid w:val="00E618F4"/>
    <w:rsid w:val="00E61B87"/>
    <w:rsid w:val="00E61D2C"/>
    <w:rsid w:val="00E6293B"/>
    <w:rsid w:val="00E62A3D"/>
    <w:rsid w:val="00E62B0D"/>
    <w:rsid w:val="00E62CDB"/>
    <w:rsid w:val="00E62E96"/>
    <w:rsid w:val="00E630C5"/>
    <w:rsid w:val="00E631DF"/>
    <w:rsid w:val="00E63321"/>
    <w:rsid w:val="00E633DB"/>
    <w:rsid w:val="00E63838"/>
    <w:rsid w:val="00E639B0"/>
    <w:rsid w:val="00E63A00"/>
    <w:rsid w:val="00E63B0A"/>
    <w:rsid w:val="00E63E50"/>
    <w:rsid w:val="00E63E58"/>
    <w:rsid w:val="00E63F9A"/>
    <w:rsid w:val="00E64250"/>
    <w:rsid w:val="00E64434"/>
    <w:rsid w:val="00E64727"/>
    <w:rsid w:val="00E648E1"/>
    <w:rsid w:val="00E64A54"/>
    <w:rsid w:val="00E64C2D"/>
    <w:rsid w:val="00E64D2C"/>
    <w:rsid w:val="00E64D51"/>
    <w:rsid w:val="00E650FD"/>
    <w:rsid w:val="00E6529F"/>
    <w:rsid w:val="00E6558E"/>
    <w:rsid w:val="00E6585D"/>
    <w:rsid w:val="00E65933"/>
    <w:rsid w:val="00E65D38"/>
    <w:rsid w:val="00E65E1E"/>
    <w:rsid w:val="00E65E2F"/>
    <w:rsid w:val="00E65F87"/>
    <w:rsid w:val="00E66102"/>
    <w:rsid w:val="00E66119"/>
    <w:rsid w:val="00E6639F"/>
    <w:rsid w:val="00E663BD"/>
    <w:rsid w:val="00E66613"/>
    <w:rsid w:val="00E6669C"/>
    <w:rsid w:val="00E666A6"/>
    <w:rsid w:val="00E6681C"/>
    <w:rsid w:val="00E66874"/>
    <w:rsid w:val="00E668D1"/>
    <w:rsid w:val="00E668F8"/>
    <w:rsid w:val="00E669AB"/>
    <w:rsid w:val="00E66AA2"/>
    <w:rsid w:val="00E66B3B"/>
    <w:rsid w:val="00E66B5E"/>
    <w:rsid w:val="00E66C6A"/>
    <w:rsid w:val="00E66CD2"/>
    <w:rsid w:val="00E671FD"/>
    <w:rsid w:val="00E672FD"/>
    <w:rsid w:val="00E67323"/>
    <w:rsid w:val="00E67735"/>
    <w:rsid w:val="00E677B3"/>
    <w:rsid w:val="00E6783E"/>
    <w:rsid w:val="00E67C51"/>
    <w:rsid w:val="00E67D32"/>
    <w:rsid w:val="00E703A2"/>
    <w:rsid w:val="00E703AF"/>
    <w:rsid w:val="00E703B1"/>
    <w:rsid w:val="00E70660"/>
    <w:rsid w:val="00E70D0E"/>
    <w:rsid w:val="00E70D31"/>
    <w:rsid w:val="00E70DE4"/>
    <w:rsid w:val="00E70E3D"/>
    <w:rsid w:val="00E70EA0"/>
    <w:rsid w:val="00E71030"/>
    <w:rsid w:val="00E71062"/>
    <w:rsid w:val="00E7121F"/>
    <w:rsid w:val="00E7127D"/>
    <w:rsid w:val="00E7158B"/>
    <w:rsid w:val="00E715B1"/>
    <w:rsid w:val="00E719A2"/>
    <w:rsid w:val="00E71B07"/>
    <w:rsid w:val="00E71F7B"/>
    <w:rsid w:val="00E724C1"/>
    <w:rsid w:val="00E72809"/>
    <w:rsid w:val="00E7289B"/>
    <w:rsid w:val="00E72946"/>
    <w:rsid w:val="00E72BA6"/>
    <w:rsid w:val="00E72D33"/>
    <w:rsid w:val="00E72EFC"/>
    <w:rsid w:val="00E73060"/>
    <w:rsid w:val="00E731C9"/>
    <w:rsid w:val="00E734B8"/>
    <w:rsid w:val="00E735EC"/>
    <w:rsid w:val="00E7385F"/>
    <w:rsid w:val="00E73B29"/>
    <w:rsid w:val="00E73CA5"/>
    <w:rsid w:val="00E73E09"/>
    <w:rsid w:val="00E73EF1"/>
    <w:rsid w:val="00E73F44"/>
    <w:rsid w:val="00E73FC1"/>
    <w:rsid w:val="00E74067"/>
    <w:rsid w:val="00E740CC"/>
    <w:rsid w:val="00E740F0"/>
    <w:rsid w:val="00E741FA"/>
    <w:rsid w:val="00E746DB"/>
    <w:rsid w:val="00E74944"/>
    <w:rsid w:val="00E74B96"/>
    <w:rsid w:val="00E74C37"/>
    <w:rsid w:val="00E74D6D"/>
    <w:rsid w:val="00E750C0"/>
    <w:rsid w:val="00E75150"/>
    <w:rsid w:val="00E752F8"/>
    <w:rsid w:val="00E755E8"/>
    <w:rsid w:val="00E758EC"/>
    <w:rsid w:val="00E7597A"/>
    <w:rsid w:val="00E75C4B"/>
    <w:rsid w:val="00E760AF"/>
    <w:rsid w:val="00E7623C"/>
    <w:rsid w:val="00E76261"/>
    <w:rsid w:val="00E7670C"/>
    <w:rsid w:val="00E768F3"/>
    <w:rsid w:val="00E7690F"/>
    <w:rsid w:val="00E76B01"/>
    <w:rsid w:val="00E76DAC"/>
    <w:rsid w:val="00E76FD7"/>
    <w:rsid w:val="00E7716E"/>
    <w:rsid w:val="00E772B8"/>
    <w:rsid w:val="00E77474"/>
    <w:rsid w:val="00E77677"/>
    <w:rsid w:val="00E77A60"/>
    <w:rsid w:val="00E77A81"/>
    <w:rsid w:val="00E77AF9"/>
    <w:rsid w:val="00E77F45"/>
    <w:rsid w:val="00E77F6C"/>
    <w:rsid w:val="00E800C7"/>
    <w:rsid w:val="00E801B4"/>
    <w:rsid w:val="00E80310"/>
    <w:rsid w:val="00E803EB"/>
    <w:rsid w:val="00E803EE"/>
    <w:rsid w:val="00E803F5"/>
    <w:rsid w:val="00E8097B"/>
    <w:rsid w:val="00E809BE"/>
    <w:rsid w:val="00E80D6C"/>
    <w:rsid w:val="00E80E90"/>
    <w:rsid w:val="00E80FCC"/>
    <w:rsid w:val="00E8109F"/>
    <w:rsid w:val="00E8119F"/>
    <w:rsid w:val="00E811F9"/>
    <w:rsid w:val="00E813D4"/>
    <w:rsid w:val="00E815A3"/>
    <w:rsid w:val="00E82275"/>
    <w:rsid w:val="00E822B7"/>
    <w:rsid w:val="00E8234C"/>
    <w:rsid w:val="00E823A0"/>
    <w:rsid w:val="00E82431"/>
    <w:rsid w:val="00E826BB"/>
    <w:rsid w:val="00E8317A"/>
    <w:rsid w:val="00E83234"/>
    <w:rsid w:val="00E83335"/>
    <w:rsid w:val="00E833CF"/>
    <w:rsid w:val="00E836E7"/>
    <w:rsid w:val="00E83759"/>
    <w:rsid w:val="00E83A97"/>
    <w:rsid w:val="00E83AA9"/>
    <w:rsid w:val="00E83B15"/>
    <w:rsid w:val="00E84094"/>
    <w:rsid w:val="00E841C3"/>
    <w:rsid w:val="00E844DA"/>
    <w:rsid w:val="00E84589"/>
    <w:rsid w:val="00E84627"/>
    <w:rsid w:val="00E84A17"/>
    <w:rsid w:val="00E84B99"/>
    <w:rsid w:val="00E84DE6"/>
    <w:rsid w:val="00E85547"/>
    <w:rsid w:val="00E8565B"/>
    <w:rsid w:val="00E85728"/>
    <w:rsid w:val="00E85928"/>
    <w:rsid w:val="00E85B8D"/>
    <w:rsid w:val="00E85C21"/>
    <w:rsid w:val="00E85CB2"/>
    <w:rsid w:val="00E85E42"/>
    <w:rsid w:val="00E85E46"/>
    <w:rsid w:val="00E85EA4"/>
    <w:rsid w:val="00E860BB"/>
    <w:rsid w:val="00E86159"/>
    <w:rsid w:val="00E86418"/>
    <w:rsid w:val="00E8649F"/>
    <w:rsid w:val="00E86549"/>
    <w:rsid w:val="00E8654B"/>
    <w:rsid w:val="00E86956"/>
    <w:rsid w:val="00E86D22"/>
    <w:rsid w:val="00E86F9F"/>
    <w:rsid w:val="00E8702C"/>
    <w:rsid w:val="00E8729A"/>
    <w:rsid w:val="00E8753F"/>
    <w:rsid w:val="00E8776D"/>
    <w:rsid w:val="00E8780D"/>
    <w:rsid w:val="00E87822"/>
    <w:rsid w:val="00E87847"/>
    <w:rsid w:val="00E8788B"/>
    <w:rsid w:val="00E87BF6"/>
    <w:rsid w:val="00E87D73"/>
    <w:rsid w:val="00E87DC8"/>
    <w:rsid w:val="00E87FFB"/>
    <w:rsid w:val="00E87FFC"/>
    <w:rsid w:val="00E90151"/>
    <w:rsid w:val="00E9026E"/>
    <w:rsid w:val="00E90395"/>
    <w:rsid w:val="00E90418"/>
    <w:rsid w:val="00E90438"/>
    <w:rsid w:val="00E90566"/>
    <w:rsid w:val="00E906A7"/>
    <w:rsid w:val="00E906DB"/>
    <w:rsid w:val="00E90758"/>
    <w:rsid w:val="00E908A4"/>
    <w:rsid w:val="00E90B4A"/>
    <w:rsid w:val="00E90B6C"/>
    <w:rsid w:val="00E90D64"/>
    <w:rsid w:val="00E90DEF"/>
    <w:rsid w:val="00E90E49"/>
    <w:rsid w:val="00E90E8B"/>
    <w:rsid w:val="00E90EFA"/>
    <w:rsid w:val="00E90F01"/>
    <w:rsid w:val="00E90F08"/>
    <w:rsid w:val="00E91034"/>
    <w:rsid w:val="00E911B3"/>
    <w:rsid w:val="00E9123B"/>
    <w:rsid w:val="00E9144E"/>
    <w:rsid w:val="00E91472"/>
    <w:rsid w:val="00E9165A"/>
    <w:rsid w:val="00E91674"/>
    <w:rsid w:val="00E917F9"/>
    <w:rsid w:val="00E91820"/>
    <w:rsid w:val="00E9193C"/>
    <w:rsid w:val="00E9194B"/>
    <w:rsid w:val="00E91973"/>
    <w:rsid w:val="00E91A95"/>
    <w:rsid w:val="00E91CA8"/>
    <w:rsid w:val="00E91D9B"/>
    <w:rsid w:val="00E91EC2"/>
    <w:rsid w:val="00E91EE6"/>
    <w:rsid w:val="00E91EF1"/>
    <w:rsid w:val="00E920B7"/>
    <w:rsid w:val="00E9220B"/>
    <w:rsid w:val="00E9223D"/>
    <w:rsid w:val="00E924F1"/>
    <w:rsid w:val="00E92750"/>
    <w:rsid w:val="00E927C9"/>
    <w:rsid w:val="00E9291C"/>
    <w:rsid w:val="00E92BC6"/>
    <w:rsid w:val="00E92BE8"/>
    <w:rsid w:val="00E938F1"/>
    <w:rsid w:val="00E93950"/>
    <w:rsid w:val="00E93C50"/>
    <w:rsid w:val="00E93CFB"/>
    <w:rsid w:val="00E93D29"/>
    <w:rsid w:val="00E93D4D"/>
    <w:rsid w:val="00E93E64"/>
    <w:rsid w:val="00E93F0E"/>
    <w:rsid w:val="00E93FFE"/>
    <w:rsid w:val="00E941B5"/>
    <w:rsid w:val="00E94452"/>
    <w:rsid w:val="00E94711"/>
    <w:rsid w:val="00E947ED"/>
    <w:rsid w:val="00E9485E"/>
    <w:rsid w:val="00E94A89"/>
    <w:rsid w:val="00E94C3F"/>
    <w:rsid w:val="00E94F51"/>
    <w:rsid w:val="00E94F8A"/>
    <w:rsid w:val="00E94FD7"/>
    <w:rsid w:val="00E9509F"/>
    <w:rsid w:val="00E950E7"/>
    <w:rsid w:val="00E95149"/>
    <w:rsid w:val="00E9520F"/>
    <w:rsid w:val="00E952BC"/>
    <w:rsid w:val="00E95371"/>
    <w:rsid w:val="00E953C6"/>
    <w:rsid w:val="00E95449"/>
    <w:rsid w:val="00E9549B"/>
    <w:rsid w:val="00E95807"/>
    <w:rsid w:val="00E958A5"/>
    <w:rsid w:val="00E958EA"/>
    <w:rsid w:val="00E95A57"/>
    <w:rsid w:val="00E95AA0"/>
    <w:rsid w:val="00E95AA7"/>
    <w:rsid w:val="00E95AE4"/>
    <w:rsid w:val="00E95BB2"/>
    <w:rsid w:val="00E95DF9"/>
    <w:rsid w:val="00E95FD0"/>
    <w:rsid w:val="00E960FA"/>
    <w:rsid w:val="00E96258"/>
    <w:rsid w:val="00E965D7"/>
    <w:rsid w:val="00E9670F"/>
    <w:rsid w:val="00E967E8"/>
    <w:rsid w:val="00E96847"/>
    <w:rsid w:val="00E96A65"/>
    <w:rsid w:val="00E96A66"/>
    <w:rsid w:val="00E96BDE"/>
    <w:rsid w:val="00E96E94"/>
    <w:rsid w:val="00E9703B"/>
    <w:rsid w:val="00E97099"/>
    <w:rsid w:val="00E9730E"/>
    <w:rsid w:val="00E97330"/>
    <w:rsid w:val="00E975E9"/>
    <w:rsid w:val="00E97783"/>
    <w:rsid w:val="00E977AF"/>
    <w:rsid w:val="00E978FC"/>
    <w:rsid w:val="00E97A38"/>
    <w:rsid w:val="00E97ACB"/>
    <w:rsid w:val="00E97F13"/>
    <w:rsid w:val="00EA0002"/>
    <w:rsid w:val="00EA01CF"/>
    <w:rsid w:val="00EA01D4"/>
    <w:rsid w:val="00EA03CD"/>
    <w:rsid w:val="00EA03F3"/>
    <w:rsid w:val="00EA046C"/>
    <w:rsid w:val="00EA048E"/>
    <w:rsid w:val="00EA04BC"/>
    <w:rsid w:val="00EA0537"/>
    <w:rsid w:val="00EA0DFF"/>
    <w:rsid w:val="00EA118D"/>
    <w:rsid w:val="00EA12C4"/>
    <w:rsid w:val="00EA136A"/>
    <w:rsid w:val="00EA15AD"/>
    <w:rsid w:val="00EA18B1"/>
    <w:rsid w:val="00EA1939"/>
    <w:rsid w:val="00EA1B13"/>
    <w:rsid w:val="00EA1CF0"/>
    <w:rsid w:val="00EA1D07"/>
    <w:rsid w:val="00EA1FF8"/>
    <w:rsid w:val="00EA20CD"/>
    <w:rsid w:val="00EA2B66"/>
    <w:rsid w:val="00EA2C3A"/>
    <w:rsid w:val="00EA3182"/>
    <w:rsid w:val="00EA3306"/>
    <w:rsid w:val="00EA347D"/>
    <w:rsid w:val="00EA3541"/>
    <w:rsid w:val="00EA378C"/>
    <w:rsid w:val="00EA37E6"/>
    <w:rsid w:val="00EA3B56"/>
    <w:rsid w:val="00EA3C4D"/>
    <w:rsid w:val="00EA3F8E"/>
    <w:rsid w:val="00EA4120"/>
    <w:rsid w:val="00EA4261"/>
    <w:rsid w:val="00EA4434"/>
    <w:rsid w:val="00EA44A4"/>
    <w:rsid w:val="00EA44D0"/>
    <w:rsid w:val="00EA45D2"/>
    <w:rsid w:val="00EA4732"/>
    <w:rsid w:val="00EA4738"/>
    <w:rsid w:val="00EA4AB3"/>
    <w:rsid w:val="00EA4B59"/>
    <w:rsid w:val="00EA4BB1"/>
    <w:rsid w:val="00EA4CB5"/>
    <w:rsid w:val="00EA4D1B"/>
    <w:rsid w:val="00EA51E8"/>
    <w:rsid w:val="00EA522B"/>
    <w:rsid w:val="00EA5346"/>
    <w:rsid w:val="00EA536F"/>
    <w:rsid w:val="00EA540F"/>
    <w:rsid w:val="00EA585D"/>
    <w:rsid w:val="00EA5A6F"/>
    <w:rsid w:val="00EA5ADD"/>
    <w:rsid w:val="00EA5C6B"/>
    <w:rsid w:val="00EA5CF9"/>
    <w:rsid w:val="00EA5D8F"/>
    <w:rsid w:val="00EA5E12"/>
    <w:rsid w:val="00EA6019"/>
    <w:rsid w:val="00EA6179"/>
    <w:rsid w:val="00EA6186"/>
    <w:rsid w:val="00EA61FB"/>
    <w:rsid w:val="00EA63A6"/>
    <w:rsid w:val="00EA6496"/>
    <w:rsid w:val="00EA66EE"/>
    <w:rsid w:val="00EA678D"/>
    <w:rsid w:val="00EA69E8"/>
    <w:rsid w:val="00EA6D1F"/>
    <w:rsid w:val="00EA6DEA"/>
    <w:rsid w:val="00EA6EAB"/>
    <w:rsid w:val="00EA7212"/>
    <w:rsid w:val="00EA72DC"/>
    <w:rsid w:val="00EA74E8"/>
    <w:rsid w:val="00EA76A7"/>
    <w:rsid w:val="00EA7724"/>
    <w:rsid w:val="00EA791F"/>
    <w:rsid w:val="00EA7956"/>
    <w:rsid w:val="00EA7A41"/>
    <w:rsid w:val="00EA7B28"/>
    <w:rsid w:val="00EA7D14"/>
    <w:rsid w:val="00EB019A"/>
    <w:rsid w:val="00EB0220"/>
    <w:rsid w:val="00EB0349"/>
    <w:rsid w:val="00EB048C"/>
    <w:rsid w:val="00EB0671"/>
    <w:rsid w:val="00EB06AE"/>
    <w:rsid w:val="00EB076E"/>
    <w:rsid w:val="00EB077B"/>
    <w:rsid w:val="00EB082C"/>
    <w:rsid w:val="00EB0E73"/>
    <w:rsid w:val="00EB110F"/>
    <w:rsid w:val="00EB1148"/>
    <w:rsid w:val="00EB1497"/>
    <w:rsid w:val="00EB14D2"/>
    <w:rsid w:val="00EB14E7"/>
    <w:rsid w:val="00EB153E"/>
    <w:rsid w:val="00EB181D"/>
    <w:rsid w:val="00EB18A7"/>
    <w:rsid w:val="00EB18CF"/>
    <w:rsid w:val="00EB18ED"/>
    <w:rsid w:val="00EB19E6"/>
    <w:rsid w:val="00EB1B81"/>
    <w:rsid w:val="00EB1E63"/>
    <w:rsid w:val="00EB1EC5"/>
    <w:rsid w:val="00EB21BD"/>
    <w:rsid w:val="00EB23AB"/>
    <w:rsid w:val="00EB240E"/>
    <w:rsid w:val="00EB2536"/>
    <w:rsid w:val="00EB28B5"/>
    <w:rsid w:val="00EB2A23"/>
    <w:rsid w:val="00EB2AFC"/>
    <w:rsid w:val="00EB2B19"/>
    <w:rsid w:val="00EB2B86"/>
    <w:rsid w:val="00EB2C13"/>
    <w:rsid w:val="00EB2CB8"/>
    <w:rsid w:val="00EB2E18"/>
    <w:rsid w:val="00EB2EE7"/>
    <w:rsid w:val="00EB2F18"/>
    <w:rsid w:val="00EB2F75"/>
    <w:rsid w:val="00EB2FBA"/>
    <w:rsid w:val="00EB2FD2"/>
    <w:rsid w:val="00EB3197"/>
    <w:rsid w:val="00EB31F7"/>
    <w:rsid w:val="00EB3340"/>
    <w:rsid w:val="00EB3394"/>
    <w:rsid w:val="00EB33AA"/>
    <w:rsid w:val="00EB35B4"/>
    <w:rsid w:val="00EB3833"/>
    <w:rsid w:val="00EB38A6"/>
    <w:rsid w:val="00EB38F6"/>
    <w:rsid w:val="00EB3D8D"/>
    <w:rsid w:val="00EB3F33"/>
    <w:rsid w:val="00EB4073"/>
    <w:rsid w:val="00EB40F3"/>
    <w:rsid w:val="00EB429E"/>
    <w:rsid w:val="00EB42E6"/>
    <w:rsid w:val="00EB4701"/>
    <w:rsid w:val="00EB4748"/>
    <w:rsid w:val="00EB475A"/>
    <w:rsid w:val="00EB4854"/>
    <w:rsid w:val="00EB4EA2"/>
    <w:rsid w:val="00EB523E"/>
    <w:rsid w:val="00EB5323"/>
    <w:rsid w:val="00EB560C"/>
    <w:rsid w:val="00EB573C"/>
    <w:rsid w:val="00EB5A4E"/>
    <w:rsid w:val="00EB61FD"/>
    <w:rsid w:val="00EB648F"/>
    <w:rsid w:val="00EB6660"/>
    <w:rsid w:val="00EB679A"/>
    <w:rsid w:val="00EB6A98"/>
    <w:rsid w:val="00EB6B94"/>
    <w:rsid w:val="00EB6D23"/>
    <w:rsid w:val="00EB6F91"/>
    <w:rsid w:val="00EB70E5"/>
    <w:rsid w:val="00EB73CB"/>
    <w:rsid w:val="00EB74B4"/>
    <w:rsid w:val="00EB7612"/>
    <w:rsid w:val="00EB7644"/>
    <w:rsid w:val="00EB78CE"/>
    <w:rsid w:val="00EB7974"/>
    <w:rsid w:val="00EB7ABE"/>
    <w:rsid w:val="00EB7AEB"/>
    <w:rsid w:val="00EB7B06"/>
    <w:rsid w:val="00EB7C96"/>
    <w:rsid w:val="00EB7F26"/>
    <w:rsid w:val="00EC00AC"/>
    <w:rsid w:val="00EC0112"/>
    <w:rsid w:val="00EC02A5"/>
    <w:rsid w:val="00EC0519"/>
    <w:rsid w:val="00EC0814"/>
    <w:rsid w:val="00EC0AA5"/>
    <w:rsid w:val="00EC0AA6"/>
    <w:rsid w:val="00EC0BC4"/>
    <w:rsid w:val="00EC0CCE"/>
    <w:rsid w:val="00EC0EED"/>
    <w:rsid w:val="00EC0F4E"/>
    <w:rsid w:val="00EC0FF4"/>
    <w:rsid w:val="00EC1041"/>
    <w:rsid w:val="00EC1071"/>
    <w:rsid w:val="00EC115A"/>
    <w:rsid w:val="00EC12FB"/>
    <w:rsid w:val="00EC1659"/>
    <w:rsid w:val="00EC181E"/>
    <w:rsid w:val="00EC18C5"/>
    <w:rsid w:val="00EC1993"/>
    <w:rsid w:val="00EC1A38"/>
    <w:rsid w:val="00EC1C01"/>
    <w:rsid w:val="00EC20AF"/>
    <w:rsid w:val="00EC20B8"/>
    <w:rsid w:val="00EC236C"/>
    <w:rsid w:val="00EC24D5"/>
    <w:rsid w:val="00EC2577"/>
    <w:rsid w:val="00EC27C6"/>
    <w:rsid w:val="00EC2928"/>
    <w:rsid w:val="00EC2AA9"/>
    <w:rsid w:val="00EC2CCC"/>
    <w:rsid w:val="00EC2E48"/>
    <w:rsid w:val="00EC2FB5"/>
    <w:rsid w:val="00EC300C"/>
    <w:rsid w:val="00EC323C"/>
    <w:rsid w:val="00EC35A9"/>
    <w:rsid w:val="00EC367C"/>
    <w:rsid w:val="00EC3A14"/>
    <w:rsid w:val="00EC3B3A"/>
    <w:rsid w:val="00EC3B43"/>
    <w:rsid w:val="00EC3C58"/>
    <w:rsid w:val="00EC3D15"/>
    <w:rsid w:val="00EC4080"/>
    <w:rsid w:val="00EC4207"/>
    <w:rsid w:val="00EC4285"/>
    <w:rsid w:val="00EC4396"/>
    <w:rsid w:val="00EC459A"/>
    <w:rsid w:val="00EC497F"/>
    <w:rsid w:val="00EC4985"/>
    <w:rsid w:val="00EC49C5"/>
    <w:rsid w:val="00EC4A9A"/>
    <w:rsid w:val="00EC4B8A"/>
    <w:rsid w:val="00EC4BA1"/>
    <w:rsid w:val="00EC4DC8"/>
    <w:rsid w:val="00EC511D"/>
    <w:rsid w:val="00EC51C9"/>
    <w:rsid w:val="00EC522B"/>
    <w:rsid w:val="00EC528E"/>
    <w:rsid w:val="00EC52B0"/>
    <w:rsid w:val="00EC5403"/>
    <w:rsid w:val="00EC54B5"/>
    <w:rsid w:val="00EC5653"/>
    <w:rsid w:val="00EC5778"/>
    <w:rsid w:val="00EC5AC7"/>
    <w:rsid w:val="00EC5DA3"/>
    <w:rsid w:val="00EC64D3"/>
    <w:rsid w:val="00EC6643"/>
    <w:rsid w:val="00EC6817"/>
    <w:rsid w:val="00EC693C"/>
    <w:rsid w:val="00EC695A"/>
    <w:rsid w:val="00EC6C31"/>
    <w:rsid w:val="00EC6D72"/>
    <w:rsid w:val="00EC6DF6"/>
    <w:rsid w:val="00EC6EE4"/>
    <w:rsid w:val="00EC6EEA"/>
    <w:rsid w:val="00EC7099"/>
    <w:rsid w:val="00EC7139"/>
    <w:rsid w:val="00EC71CE"/>
    <w:rsid w:val="00EC7373"/>
    <w:rsid w:val="00EC73EF"/>
    <w:rsid w:val="00EC74BA"/>
    <w:rsid w:val="00EC76B2"/>
    <w:rsid w:val="00EC7986"/>
    <w:rsid w:val="00EC7C83"/>
    <w:rsid w:val="00EC7E38"/>
    <w:rsid w:val="00ED02F5"/>
    <w:rsid w:val="00ED0585"/>
    <w:rsid w:val="00ED090D"/>
    <w:rsid w:val="00ED0B50"/>
    <w:rsid w:val="00ED0F59"/>
    <w:rsid w:val="00ED0FCD"/>
    <w:rsid w:val="00ED1006"/>
    <w:rsid w:val="00ED127B"/>
    <w:rsid w:val="00ED1513"/>
    <w:rsid w:val="00ED15E7"/>
    <w:rsid w:val="00ED1E10"/>
    <w:rsid w:val="00ED1E35"/>
    <w:rsid w:val="00ED1FA9"/>
    <w:rsid w:val="00ED2028"/>
    <w:rsid w:val="00ED2068"/>
    <w:rsid w:val="00ED23F4"/>
    <w:rsid w:val="00ED248E"/>
    <w:rsid w:val="00ED2620"/>
    <w:rsid w:val="00ED293B"/>
    <w:rsid w:val="00ED2AB0"/>
    <w:rsid w:val="00ED2AC6"/>
    <w:rsid w:val="00ED2EBB"/>
    <w:rsid w:val="00ED30D3"/>
    <w:rsid w:val="00ED3141"/>
    <w:rsid w:val="00ED3199"/>
    <w:rsid w:val="00ED3301"/>
    <w:rsid w:val="00ED3676"/>
    <w:rsid w:val="00ED39B8"/>
    <w:rsid w:val="00ED3A57"/>
    <w:rsid w:val="00ED3B57"/>
    <w:rsid w:val="00ED3BD1"/>
    <w:rsid w:val="00ED3F30"/>
    <w:rsid w:val="00ED435F"/>
    <w:rsid w:val="00ED4569"/>
    <w:rsid w:val="00ED4883"/>
    <w:rsid w:val="00ED49DF"/>
    <w:rsid w:val="00ED4C02"/>
    <w:rsid w:val="00ED4C03"/>
    <w:rsid w:val="00ED4E8F"/>
    <w:rsid w:val="00ED4F83"/>
    <w:rsid w:val="00ED553B"/>
    <w:rsid w:val="00ED5717"/>
    <w:rsid w:val="00ED59F0"/>
    <w:rsid w:val="00ED5B9A"/>
    <w:rsid w:val="00ED5C55"/>
    <w:rsid w:val="00ED5EDE"/>
    <w:rsid w:val="00ED5F2E"/>
    <w:rsid w:val="00ED5F58"/>
    <w:rsid w:val="00ED6216"/>
    <w:rsid w:val="00ED62F6"/>
    <w:rsid w:val="00ED63ED"/>
    <w:rsid w:val="00ED6527"/>
    <w:rsid w:val="00ED6553"/>
    <w:rsid w:val="00ED65A8"/>
    <w:rsid w:val="00ED67FC"/>
    <w:rsid w:val="00ED6A40"/>
    <w:rsid w:val="00ED6C49"/>
    <w:rsid w:val="00ED6CEC"/>
    <w:rsid w:val="00ED6CEE"/>
    <w:rsid w:val="00ED6EEA"/>
    <w:rsid w:val="00ED6F71"/>
    <w:rsid w:val="00ED6FF6"/>
    <w:rsid w:val="00ED7194"/>
    <w:rsid w:val="00ED7345"/>
    <w:rsid w:val="00ED7491"/>
    <w:rsid w:val="00ED7614"/>
    <w:rsid w:val="00ED76F7"/>
    <w:rsid w:val="00ED787B"/>
    <w:rsid w:val="00ED79F0"/>
    <w:rsid w:val="00ED7CA6"/>
    <w:rsid w:val="00ED7D5D"/>
    <w:rsid w:val="00EE0175"/>
    <w:rsid w:val="00EE0578"/>
    <w:rsid w:val="00EE0588"/>
    <w:rsid w:val="00EE0740"/>
    <w:rsid w:val="00EE086F"/>
    <w:rsid w:val="00EE08EE"/>
    <w:rsid w:val="00EE0974"/>
    <w:rsid w:val="00EE0AF7"/>
    <w:rsid w:val="00EE0C97"/>
    <w:rsid w:val="00EE0EA7"/>
    <w:rsid w:val="00EE0F9E"/>
    <w:rsid w:val="00EE13D1"/>
    <w:rsid w:val="00EE13EF"/>
    <w:rsid w:val="00EE1404"/>
    <w:rsid w:val="00EE1B47"/>
    <w:rsid w:val="00EE1DE2"/>
    <w:rsid w:val="00EE20A1"/>
    <w:rsid w:val="00EE21AD"/>
    <w:rsid w:val="00EE231F"/>
    <w:rsid w:val="00EE291A"/>
    <w:rsid w:val="00EE2A11"/>
    <w:rsid w:val="00EE2A5B"/>
    <w:rsid w:val="00EE2B1B"/>
    <w:rsid w:val="00EE2BC3"/>
    <w:rsid w:val="00EE2D55"/>
    <w:rsid w:val="00EE2EA3"/>
    <w:rsid w:val="00EE2F21"/>
    <w:rsid w:val="00EE2FEB"/>
    <w:rsid w:val="00EE321A"/>
    <w:rsid w:val="00EE32DC"/>
    <w:rsid w:val="00EE3676"/>
    <w:rsid w:val="00EE37C7"/>
    <w:rsid w:val="00EE3819"/>
    <w:rsid w:val="00EE388A"/>
    <w:rsid w:val="00EE391A"/>
    <w:rsid w:val="00EE3C38"/>
    <w:rsid w:val="00EE3C50"/>
    <w:rsid w:val="00EE3C95"/>
    <w:rsid w:val="00EE3CA1"/>
    <w:rsid w:val="00EE3DD5"/>
    <w:rsid w:val="00EE435B"/>
    <w:rsid w:val="00EE4482"/>
    <w:rsid w:val="00EE44D5"/>
    <w:rsid w:val="00EE4755"/>
    <w:rsid w:val="00EE49B3"/>
    <w:rsid w:val="00EE49C3"/>
    <w:rsid w:val="00EE4A1A"/>
    <w:rsid w:val="00EE4C7B"/>
    <w:rsid w:val="00EE4CD1"/>
    <w:rsid w:val="00EE4F4C"/>
    <w:rsid w:val="00EE5129"/>
    <w:rsid w:val="00EE517A"/>
    <w:rsid w:val="00EE522F"/>
    <w:rsid w:val="00EE52D6"/>
    <w:rsid w:val="00EE56ED"/>
    <w:rsid w:val="00EE5822"/>
    <w:rsid w:val="00EE586B"/>
    <w:rsid w:val="00EE5895"/>
    <w:rsid w:val="00EE590E"/>
    <w:rsid w:val="00EE5B15"/>
    <w:rsid w:val="00EE5D53"/>
    <w:rsid w:val="00EE603B"/>
    <w:rsid w:val="00EE618D"/>
    <w:rsid w:val="00EE6215"/>
    <w:rsid w:val="00EE6258"/>
    <w:rsid w:val="00EE643B"/>
    <w:rsid w:val="00EE671C"/>
    <w:rsid w:val="00EE6A8B"/>
    <w:rsid w:val="00EE6D02"/>
    <w:rsid w:val="00EE6EDA"/>
    <w:rsid w:val="00EE6F23"/>
    <w:rsid w:val="00EE6FEE"/>
    <w:rsid w:val="00EE7000"/>
    <w:rsid w:val="00EE70D2"/>
    <w:rsid w:val="00EE7137"/>
    <w:rsid w:val="00EE731F"/>
    <w:rsid w:val="00EE73AF"/>
    <w:rsid w:val="00EE7707"/>
    <w:rsid w:val="00EE7913"/>
    <w:rsid w:val="00EE7DE0"/>
    <w:rsid w:val="00EE7E1B"/>
    <w:rsid w:val="00EF0034"/>
    <w:rsid w:val="00EF0075"/>
    <w:rsid w:val="00EF03AA"/>
    <w:rsid w:val="00EF07C0"/>
    <w:rsid w:val="00EF09F2"/>
    <w:rsid w:val="00EF0AE4"/>
    <w:rsid w:val="00EF100D"/>
    <w:rsid w:val="00EF10CE"/>
    <w:rsid w:val="00EF129C"/>
    <w:rsid w:val="00EF155C"/>
    <w:rsid w:val="00EF17B1"/>
    <w:rsid w:val="00EF1866"/>
    <w:rsid w:val="00EF18FE"/>
    <w:rsid w:val="00EF1915"/>
    <w:rsid w:val="00EF1936"/>
    <w:rsid w:val="00EF196D"/>
    <w:rsid w:val="00EF19C7"/>
    <w:rsid w:val="00EF1A4C"/>
    <w:rsid w:val="00EF1B49"/>
    <w:rsid w:val="00EF1E8C"/>
    <w:rsid w:val="00EF1FAA"/>
    <w:rsid w:val="00EF203B"/>
    <w:rsid w:val="00EF267E"/>
    <w:rsid w:val="00EF2697"/>
    <w:rsid w:val="00EF272A"/>
    <w:rsid w:val="00EF29C9"/>
    <w:rsid w:val="00EF2CE5"/>
    <w:rsid w:val="00EF2FA1"/>
    <w:rsid w:val="00EF3052"/>
    <w:rsid w:val="00EF3561"/>
    <w:rsid w:val="00EF3571"/>
    <w:rsid w:val="00EF36D3"/>
    <w:rsid w:val="00EF371F"/>
    <w:rsid w:val="00EF3868"/>
    <w:rsid w:val="00EF3BFF"/>
    <w:rsid w:val="00EF3DE8"/>
    <w:rsid w:val="00EF3EC6"/>
    <w:rsid w:val="00EF3F64"/>
    <w:rsid w:val="00EF4354"/>
    <w:rsid w:val="00EF44B3"/>
    <w:rsid w:val="00EF452F"/>
    <w:rsid w:val="00EF4668"/>
    <w:rsid w:val="00EF48D3"/>
    <w:rsid w:val="00EF5213"/>
    <w:rsid w:val="00EF52DA"/>
    <w:rsid w:val="00EF55A8"/>
    <w:rsid w:val="00EF56BE"/>
    <w:rsid w:val="00EF5787"/>
    <w:rsid w:val="00EF5818"/>
    <w:rsid w:val="00EF5972"/>
    <w:rsid w:val="00EF5976"/>
    <w:rsid w:val="00EF59B7"/>
    <w:rsid w:val="00EF5BF2"/>
    <w:rsid w:val="00EF5CF6"/>
    <w:rsid w:val="00EF5EA5"/>
    <w:rsid w:val="00EF60D0"/>
    <w:rsid w:val="00EF61DE"/>
    <w:rsid w:val="00EF658E"/>
    <w:rsid w:val="00EF6745"/>
    <w:rsid w:val="00EF6894"/>
    <w:rsid w:val="00EF694C"/>
    <w:rsid w:val="00EF6B02"/>
    <w:rsid w:val="00EF6B33"/>
    <w:rsid w:val="00EF6B87"/>
    <w:rsid w:val="00EF6BB9"/>
    <w:rsid w:val="00EF6BF9"/>
    <w:rsid w:val="00EF6C58"/>
    <w:rsid w:val="00EF6D63"/>
    <w:rsid w:val="00EF6EA8"/>
    <w:rsid w:val="00EF709F"/>
    <w:rsid w:val="00EF710C"/>
    <w:rsid w:val="00EF7341"/>
    <w:rsid w:val="00EF767B"/>
    <w:rsid w:val="00EF77A2"/>
    <w:rsid w:val="00EF790A"/>
    <w:rsid w:val="00EF79E0"/>
    <w:rsid w:val="00EF79F9"/>
    <w:rsid w:val="00EF7BC9"/>
    <w:rsid w:val="00EF7BEF"/>
    <w:rsid w:val="00EF7CD8"/>
    <w:rsid w:val="00EF7DC7"/>
    <w:rsid w:val="00F001EE"/>
    <w:rsid w:val="00F00458"/>
    <w:rsid w:val="00F00643"/>
    <w:rsid w:val="00F0072C"/>
    <w:rsid w:val="00F0084F"/>
    <w:rsid w:val="00F009A6"/>
    <w:rsid w:val="00F00A8B"/>
    <w:rsid w:val="00F00DC3"/>
    <w:rsid w:val="00F0101B"/>
    <w:rsid w:val="00F0102F"/>
    <w:rsid w:val="00F014E0"/>
    <w:rsid w:val="00F018A3"/>
    <w:rsid w:val="00F01D9B"/>
    <w:rsid w:val="00F01EAD"/>
    <w:rsid w:val="00F01EBF"/>
    <w:rsid w:val="00F02023"/>
    <w:rsid w:val="00F02051"/>
    <w:rsid w:val="00F0216E"/>
    <w:rsid w:val="00F021CA"/>
    <w:rsid w:val="00F02A64"/>
    <w:rsid w:val="00F02AE7"/>
    <w:rsid w:val="00F037B6"/>
    <w:rsid w:val="00F03809"/>
    <w:rsid w:val="00F03893"/>
    <w:rsid w:val="00F038E7"/>
    <w:rsid w:val="00F03931"/>
    <w:rsid w:val="00F03D79"/>
    <w:rsid w:val="00F03E90"/>
    <w:rsid w:val="00F040ED"/>
    <w:rsid w:val="00F04267"/>
    <w:rsid w:val="00F044F9"/>
    <w:rsid w:val="00F0450F"/>
    <w:rsid w:val="00F0469E"/>
    <w:rsid w:val="00F04743"/>
    <w:rsid w:val="00F04D4F"/>
    <w:rsid w:val="00F04F0E"/>
    <w:rsid w:val="00F0527C"/>
    <w:rsid w:val="00F0528D"/>
    <w:rsid w:val="00F056F5"/>
    <w:rsid w:val="00F0583F"/>
    <w:rsid w:val="00F058AB"/>
    <w:rsid w:val="00F058F0"/>
    <w:rsid w:val="00F0599F"/>
    <w:rsid w:val="00F05B63"/>
    <w:rsid w:val="00F05BE9"/>
    <w:rsid w:val="00F05D56"/>
    <w:rsid w:val="00F06042"/>
    <w:rsid w:val="00F060F3"/>
    <w:rsid w:val="00F0616F"/>
    <w:rsid w:val="00F0630B"/>
    <w:rsid w:val="00F06A1D"/>
    <w:rsid w:val="00F06A96"/>
    <w:rsid w:val="00F06C67"/>
    <w:rsid w:val="00F06DCE"/>
    <w:rsid w:val="00F06DFD"/>
    <w:rsid w:val="00F06FE8"/>
    <w:rsid w:val="00F071D1"/>
    <w:rsid w:val="00F07533"/>
    <w:rsid w:val="00F07CE3"/>
    <w:rsid w:val="00F07EAA"/>
    <w:rsid w:val="00F07EAC"/>
    <w:rsid w:val="00F1004D"/>
    <w:rsid w:val="00F10054"/>
    <w:rsid w:val="00F10167"/>
    <w:rsid w:val="00F10182"/>
    <w:rsid w:val="00F102E8"/>
    <w:rsid w:val="00F10328"/>
    <w:rsid w:val="00F1045B"/>
    <w:rsid w:val="00F104C6"/>
    <w:rsid w:val="00F10542"/>
    <w:rsid w:val="00F10629"/>
    <w:rsid w:val="00F10668"/>
    <w:rsid w:val="00F10A03"/>
    <w:rsid w:val="00F10A8A"/>
    <w:rsid w:val="00F10CF7"/>
    <w:rsid w:val="00F10FAE"/>
    <w:rsid w:val="00F1103A"/>
    <w:rsid w:val="00F1111A"/>
    <w:rsid w:val="00F111A9"/>
    <w:rsid w:val="00F1153E"/>
    <w:rsid w:val="00F117B4"/>
    <w:rsid w:val="00F11A17"/>
    <w:rsid w:val="00F11A75"/>
    <w:rsid w:val="00F11CA7"/>
    <w:rsid w:val="00F11DEB"/>
    <w:rsid w:val="00F12032"/>
    <w:rsid w:val="00F121DA"/>
    <w:rsid w:val="00F12222"/>
    <w:rsid w:val="00F1228C"/>
    <w:rsid w:val="00F123FD"/>
    <w:rsid w:val="00F124FB"/>
    <w:rsid w:val="00F1256E"/>
    <w:rsid w:val="00F125CA"/>
    <w:rsid w:val="00F12636"/>
    <w:rsid w:val="00F126B6"/>
    <w:rsid w:val="00F12B1B"/>
    <w:rsid w:val="00F12DB7"/>
    <w:rsid w:val="00F12F1D"/>
    <w:rsid w:val="00F130EA"/>
    <w:rsid w:val="00F135F4"/>
    <w:rsid w:val="00F137FD"/>
    <w:rsid w:val="00F13C7E"/>
    <w:rsid w:val="00F13EAA"/>
    <w:rsid w:val="00F14213"/>
    <w:rsid w:val="00F144BA"/>
    <w:rsid w:val="00F14857"/>
    <w:rsid w:val="00F148B9"/>
    <w:rsid w:val="00F14BA8"/>
    <w:rsid w:val="00F14E23"/>
    <w:rsid w:val="00F14F0B"/>
    <w:rsid w:val="00F1510C"/>
    <w:rsid w:val="00F151AF"/>
    <w:rsid w:val="00F15502"/>
    <w:rsid w:val="00F15587"/>
    <w:rsid w:val="00F15674"/>
    <w:rsid w:val="00F15A11"/>
    <w:rsid w:val="00F15A43"/>
    <w:rsid w:val="00F15B09"/>
    <w:rsid w:val="00F15E8E"/>
    <w:rsid w:val="00F15FA5"/>
    <w:rsid w:val="00F16001"/>
    <w:rsid w:val="00F16086"/>
    <w:rsid w:val="00F16201"/>
    <w:rsid w:val="00F16396"/>
    <w:rsid w:val="00F1679E"/>
    <w:rsid w:val="00F16BEF"/>
    <w:rsid w:val="00F16DEE"/>
    <w:rsid w:val="00F16E70"/>
    <w:rsid w:val="00F16FBF"/>
    <w:rsid w:val="00F1730B"/>
    <w:rsid w:val="00F1750B"/>
    <w:rsid w:val="00F177FB"/>
    <w:rsid w:val="00F179C0"/>
    <w:rsid w:val="00F17D0D"/>
    <w:rsid w:val="00F17FE1"/>
    <w:rsid w:val="00F20124"/>
    <w:rsid w:val="00F2028C"/>
    <w:rsid w:val="00F20466"/>
    <w:rsid w:val="00F209B7"/>
    <w:rsid w:val="00F209D3"/>
    <w:rsid w:val="00F20BE7"/>
    <w:rsid w:val="00F21054"/>
    <w:rsid w:val="00F2167D"/>
    <w:rsid w:val="00F217AE"/>
    <w:rsid w:val="00F21836"/>
    <w:rsid w:val="00F21956"/>
    <w:rsid w:val="00F21ACA"/>
    <w:rsid w:val="00F21B67"/>
    <w:rsid w:val="00F21C09"/>
    <w:rsid w:val="00F21DF5"/>
    <w:rsid w:val="00F21E7B"/>
    <w:rsid w:val="00F21E91"/>
    <w:rsid w:val="00F21F8B"/>
    <w:rsid w:val="00F22247"/>
    <w:rsid w:val="00F2233D"/>
    <w:rsid w:val="00F223D9"/>
    <w:rsid w:val="00F2268A"/>
    <w:rsid w:val="00F22797"/>
    <w:rsid w:val="00F228AB"/>
    <w:rsid w:val="00F22A2D"/>
    <w:rsid w:val="00F22B90"/>
    <w:rsid w:val="00F22BAA"/>
    <w:rsid w:val="00F22BBA"/>
    <w:rsid w:val="00F22C5C"/>
    <w:rsid w:val="00F22CB0"/>
    <w:rsid w:val="00F22F66"/>
    <w:rsid w:val="00F230FA"/>
    <w:rsid w:val="00F23252"/>
    <w:rsid w:val="00F2376F"/>
    <w:rsid w:val="00F23778"/>
    <w:rsid w:val="00F238A2"/>
    <w:rsid w:val="00F23909"/>
    <w:rsid w:val="00F2392B"/>
    <w:rsid w:val="00F2393F"/>
    <w:rsid w:val="00F239D1"/>
    <w:rsid w:val="00F23BDD"/>
    <w:rsid w:val="00F23D1D"/>
    <w:rsid w:val="00F23E48"/>
    <w:rsid w:val="00F24105"/>
    <w:rsid w:val="00F2415B"/>
    <w:rsid w:val="00F243AA"/>
    <w:rsid w:val="00F243D8"/>
    <w:rsid w:val="00F24453"/>
    <w:rsid w:val="00F24478"/>
    <w:rsid w:val="00F246D9"/>
    <w:rsid w:val="00F24928"/>
    <w:rsid w:val="00F24B7E"/>
    <w:rsid w:val="00F25215"/>
    <w:rsid w:val="00F252AF"/>
    <w:rsid w:val="00F255A3"/>
    <w:rsid w:val="00F2566D"/>
    <w:rsid w:val="00F258E8"/>
    <w:rsid w:val="00F25A45"/>
    <w:rsid w:val="00F25DBF"/>
    <w:rsid w:val="00F25DEA"/>
    <w:rsid w:val="00F26067"/>
    <w:rsid w:val="00F2615B"/>
    <w:rsid w:val="00F2636C"/>
    <w:rsid w:val="00F2689F"/>
    <w:rsid w:val="00F26AC7"/>
    <w:rsid w:val="00F26BE3"/>
    <w:rsid w:val="00F26E6C"/>
    <w:rsid w:val="00F27077"/>
    <w:rsid w:val="00F27154"/>
    <w:rsid w:val="00F277EF"/>
    <w:rsid w:val="00F2789B"/>
    <w:rsid w:val="00F279DA"/>
    <w:rsid w:val="00F27EFC"/>
    <w:rsid w:val="00F30041"/>
    <w:rsid w:val="00F303DE"/>
    <w:rsid w:val="00F304FF"/>
    <w:rsid w:val="00F307C3"/>
    <w:rsid w:val="00F307C8"/>
    <w:rsid w:val="00F30828"/>
    <w:rsid w:val="00F30984"/>
    <w:rsid w:val="00F30A14"/>
    <w:rsid w:val="00F30D8F"/>
    <w:rsid w:val="00F30E85"/>
    <w:rsid w:val="00F30EE0"/>
    <w:rsid w:val="00F30F5A"/>
    <w:rsid w:val="00F311D7"/>
    <w:rsid w:val="00F313D6"/>
    <w:rsid w:val="00F3192E"/>
    <w:rsid w:val="00F31D3A"/>
    <w:rsid w:val="00F31DB7"/>
    <w:rsid w:val="00F32362"/>
    <w:rsid w:val="00F3245B"/>
    <w:rsid w:val="00F32511"/>
    <w:rsid w:val="00F32DE5"/>
    <w:rsid w:val="00F33551"/>
    <w:rsid w:val="00F3367E"/>
    <w:rsid w:val="00F33748"/>
    <w:rsid w:val="00F3384F"/>
    <w:rsid w:val="00F33AE4"/>
    <w:rsid w:val="00F33C23"/>
    <w:rsid w:val="00F33C9F"/>
    <w:rsid w:val="00F33D7E"/>
    <w:rsid w:val="00F33D9C"/>
    <w:rsid w:val="00F33FAE"/>
    <w:rsid w:val="00F34373"/>
    <w:rsid w:val="00F34471"/>
    <w:rsid w:val="00F3461C"/>
    <w:rsid w:val="00F34B0C"/>
    <w:rsid w:val="00F34C4A"/>
    <w:rsid w:val="00F34D42"/>
    <w:rsid w:val="00F3514B"/>
    <w:rsid w:val="00F35219"/>
    <w:rsid w:val="00F35226"/>
    <w:rsid w:val="00F35227"/>
    <w:rsid w:val="00F35266"/>
    <w:rsid w:val="00F35342"/>
    <w:rsid w:val="00F3554D"/>
    <w:rsid w:val="00F3565C"/>
    <w:rsid w:val="00F35877"/>
    <w:rsid w:val="00F35C1A"/>
    <w:rsid w:val="00F35F96"/>
    <w:rsid w:val="00F364B1"/>
    <w:rsid w:val="00F365D6"/>
    <w:rsid w:val="00F36706"/>
    <w:rsid w:val="00F369B2"/>
    <w:rsid w:val="00F36C8C"/>
    <w:rsid w:val="00F36D3F"/>
    <w:rsid w:val="00F3707C"/>
    <w:rsid w:val="00F37254"/>
    <w:rsid w:val="00F37285"/>
    <w:rsid w:val="00F37288"/>
    <w:rsid w:val="00F372F5"/>
    <w:rsid w:val="00F375B0"/>
    <w:rsid w:val="00F37780"/>
    <w:rsid w:val="00F378BF"/>
    <w:rsid w:val="00F379A4"/>
    <w:rsid w:val="00F37C15"/>
    <w:rsid w:val="00F37E50"/>
    <w:rsid w:val="00F40078"/>
    <w:rsid w:val="00F4021C"/>
    <w:rsid w:val="00F402D7"/>
    <w:rsid w:val="00F4046E"/>
    <w:rsid w:val="00F406E1"/>
    <w:rsid w:val="00F409BA"/>
    <w:rsid w:val="00F40A7D"/>
    <w:rsid w:val="00F40BEF"/>
    <w:rsid w:val="00F40C3E"/>
    <w:rsid w:val="00F40F0C"/>
    <w:rsid w:val="00F41171"/>
    <w:rsid w:val="00F411F5"/>
    <w:rsid w:val="00F41321"/>
    <w:rsid w:val="00F413AC"/>
    <w:rsid w:val="00F413C2"/>
    <w:rsid w:val="00F41719"/>
    <w:rsid w:val="00F41923"/>
    <w:rsid w:val="00F419EC"/>
    <w:rsid w:val="00F42168"/>
    <w:rsid w:val="00F4220B"/>
    <w:rsid w:val="00F42326"/>
    <w:rsid w:val="00F42888"/>
    <w:rsid w:val="00F42A8D"/>
    <w:rsid w:val="00F42B16"/>
    <w:rsid w:val="00F42D80"/>
    <w:rsid w:val="00F42F02"/>
    <w:rsid w:val="00F43226"/>
    <w:rsid w:val="00F43556"/>
    <w:rsid w:val="00F43880"/>
    <w:rsid w:val="00F43DED"/>
    <w:rsid w:val="00F43E18"/>
    <w:rsid w:val="00F43E6A"/>
    <w:rsid w:val="00F43ECB"/>
    <w:rsid w:val="00F4400C"/>
    <w:rsid w:val="00F44247"/>
    <w:rsid w:val="00F44390"/>
    <w:rsid w:val="00F44473"/>
    <w:rsid w:val="00F44505"/>
    <w:rsid w:val="00F445FD"/>
    <w:rsid w:val="00F448A9"/>
    <w:rsid w:val="00F449A6"/>
    <w:rsid w:val="00F449E2"/>
    <w:rsid w:val="00F44B27"/>
    <w:rsid w:val="00F44D5D"/>
    <w:rsid w:val="00F44E8E"/>
    <w:rsid w:val="00F44ED8"/>
    <w:rsid w:val="00F4502A"/>
    <w:rsid w:val="00F4507F"/>
    <w:rsid w:val="00F4536B"/>
    <w:rsid w:val="00F45625"/>
    <w:rsid w:val="00F4575A"/>
    <w:rsid w:val="00F45962"/>
    <w:rsid w:val="00F45E96"/>
    <w:rsid w:val="00F45EEF"/>
    <w:rsid w:val="00F462B4"/>
    <w:rsid w:val="00F4636A"/>
    <w:rsid w:val="00F46520"/>
    <w:rsid w:val="00F4682E"/>
    <w:rsid w:val="00F46B59"/>
    <w:rsid w:val="00F46E63"/>
    <w:rsid w:val="00F47145"/>
    <w:rsid w:val="00F47272"/>
    <w:rsid w:val="00F4734E"/>
    <w:rsid w:val="00F473E9"/>
    <w:rsid w:val="00F4766C"/>
    <w:rsid w:val="00F5060E"/>
    <w:rsid w:val="00F507D1"/>
    <w:rsid w:val="00F50C0A"/>
    <w:rsid w:val="00F50D06"/>
    <w:rsid w:val="00F50D86"/>
    <w:rsid w:val="00F50DAE"/>
    <w:rsid w:val="00F51082"/>
    <w:rsid w:val="00F511A0"/>
    <w:rsid w:val="00F515B1"/>
    <w:rsid w:val="00F51633"/>
    <w:rsid w:val="00F5178C"/>
    <w:rsid w:val="00F519CE"/>
    <w:rsid w:val="00F51A0C"/>
    <w:rsid w:val="00F51ADA"/>
    <w:rsid w:val="00F51AE5"/>
    <w:rsid w:val="00F51D5D"/>
    <w:rsid w:val="00F51EA1"/>
    <w:rsid w:val="00F51FB6"/>
    <w:rsid w:val="00F521EF"/>
    <w:rsid w:val="00F525BF"/>
    <w:rsid w:val="00F527A6"/>
    <w:rsid w:val="00F528B0"/>
    <w:rsid w:val="00F5296D"/>
    <w:rsid w:val="00F529D9"/>
    <w:rsid w:val="00F52CCC"/>
    <w:rsid w:val="00F52E41"/>
    <w:rsid w:val="00F52E9D"/>
    <w:rsid w:val="00F52EEA"/>
    <w:rsid w:val="00F53129"/>
    <w:rsid w:val="00F53295"/>
    <w:rsid w:val="00F532F2"/>
    <w:rsid w:val="00F5331B"/>
    <w:rsid w:val="00F53439"/>
    <w:rsid w:val="00F536C8"/>
    <w:rsid w:val="00F537CC"/>
    <w:rsid w:val="00F53A1F"/>
    <w:rsid w:val="00F53BA0"/>
    <w:rsid w:val="00F53EAB"/>
    <w:rsid w:val="00F5409A"/>
    <w:rsid w:val="00F540B9"/>
    <w:rsid w:val="00F544D0"/>
    <w:rsid w:val="00F548F3"/>
    <w:rsid w:val="00F54963"/>
    <w:rsid w:val="00F54A09"/>
    <w:rsid w:val="00F54CD2"/>
    <w:rsid w:val="00F54E99"/>
    <w:rsid w:val="00F557C7"/>
    <w:rsid w:val="00F559CE"/>
    <w:rsid w:val="00F55A00"/>
    <w:rsid w:val="00F55D05"/>
    <w:rsid w:val="00F56024"/>
    <w:rsid w:val="00F5602A"/>
    <w:rsid w:val="00F56491"/>
    <w:rsid w:val="00F564C4"/>
    <w:rsid w:val="00F56782"/>
    <w:rsid w:val="00F567B8"/>
    <w:rsid w:val="00F5685A"/>
    <w:rsid w:val="00F568AE"/>
    <w:rsid w:val="00F5690E"/>
    <w:rsid w:val="00F5693F"/>
    <w:rsid w:val="00F56BC2"/>
    <w:rsid w:val="00F56BFC"/>
    <w:rsid w:val="00F56E10"/>
    <w:rsid w:val="00F56EDA"/>
    <w:rsid w:val="00F57257"/>
    <w:rsid w:val="00F57275"/>
    <w:rsid w:val="00F572DD"/>
    <w:rsid w:val="00F575B8"/>
    <w:rsid w:val="00F575C1"/>
    <w:rsid w:val="00F577D5"/>
    <w:rsid w:val="00F579B7"/>
    <w:rsid w:val="00F600DE"/>
    <w:rsid w:val="00F60203"/>
    <w:rsid w:val="00F60309"/>
    <w:rsid w:val="00F60375"/>
    <w:rsid w:val="00F605AC"/>
    <w:rsid w:val="00F60629"/>
    <w:rsid w:val="00F607C5"/>
    <w:rsid w:val="00F60A65"/>
    <w:rsid w:val="00F60BA2"/>
    <w:rsid w:val="00F60D74"/>
    <w:rsid w:val="00F60DEA"/>
    <w:rsid w:val="00F60DF9"/>
    <w:rsid w:val="00F611DE"/>
    <w:rsid w:val="00F61458"/>
    <w:rsid w:val="00F61536"/>
    <w:rsid w:val="00F61708"/>
    <w:rsid w:val="00F61709"/>
    <w:rsid w:val="00F6182E"/>
    <w:rsid w:val="00F61854"/>
    <w:rsid w:val="00F6188C"/>
    <w:rsid w:val="00F61ACF"/>
    <w:rsid w:val="00F62442"/>
    <w:rsid w:val="00F625DE"/>
    <w:rsid w:val="00F627DD"/>
    <w:rsid w:val="00F627F5"/>
    <w:rsid w:val="00F62BF5"/>
    <w:rsid w:val="00F62CBE"/>
    <w:rsid w:val="00F62D62"/>
    <w:rsid w:val="00F62F74"/>
    <w:rsid w:val="00F62F9E"/>
    <w:rsid w:val="00F6302A"/>
    <w:rsid w:val="00F63186"/>
    <w:rsid w:val="00F6324D"/>
    <w:rsid w:val="00F63270"/>
    <w:rsid w:val="00F63291"/>
    <w:rsid w:val="00F6358D"/>
    <w:rsid w:val="00F63619"/>
    <w:rsid w:val="00F63717"/>
    <w:rsid w:val="00F6371E"/>
    <w:rsid w:val="00F63950"/>
    <w:rsid w:val="00F63A18"/>
    <w:rsid w:val="00F63CC1"/>
    <w:rsid w:val="00F63D38"/>
    <w:rsid w:val="00F63DC1"/>
    <w:rsid w:val="00F63EDB"/>
    <w:rsid w:val="00F63F8D"/>
    <w:rsid w:val="00F642E5"/>
    <w:rsid w:val="00F645BF"/>
    <w:rsid w:val="00F6481F"/>
    <w:rsid w:val="00F64869"/>
    <w:rsid w:val="00F648AE"/>
    <w:rsid w:val="00F6492D"/>
    <w:rsid w:val="00F64B0C"/>
    <w:rsid w:val="00F64B6A"/>
    <w:rsid w:val="00F64C2B"/>
    <w:rsid w:val="00F64EBF"/>
    <w:rsid w:val="00F6501B"/>
    <w:rsid w:val="00F651BE"/>
    <w:rsid w:val="00F65359"/>
    <w:rsid w:val="00F65816"/>
    <w:rsid w:val="00F65B34"/>
    <w:rsid w:val="00F65BAD"/>
    <w:rsid w:val="00F65CDE"/>
    <w:rsid w:val="00F6614C"/>
    <w:rsid w:val="00F6689C"/>
    <w:rsid w:val="00F66A7E"/>
    <w:rsid w:val="00F66AFA"/>
    <w:rsid w:val="00F66BB7"/>
    <w:rsid w:val="00F66C1D"/>
    <w:rsid w:val="00F66DF9"/>
    <w:rsid w:val="00F6705F"/>
    <w:rsid w:val="00F670A6"/>
    <w:rsid w:val="00F67128"/>
    <w:rsid w:val="00F67150"/>
    <w:rsid w:val="00F67159"/>
    <w:rsid w:val="00F671D4"/>
    <w:rsid w:val="00F675F8"/>
    <w:rsid w:val="00F67748"/>
    <w:rsid w:val="00F677FA"/>
    <w:rsid w:val="00F67B12"/>
    <w:rsid w:val="00F67BE1"/>
    <w:rsid w:val="00F67BE3"/>
    <w:rsid w:val="00F67C07"/>
    <w:rsid w:val="00F67CEF"/>
    <w:rsid w:val="00F67D18"/>
    <w:rsid w:val="00F67EAD"/>
    <w:rsid w:val="00F67F53"/>
    <w:rsid w:val="00F70129"/>
    <w:rsid w:val="00F703BE"/>
    <w:rsid w:val="00F70438"/>
    <w:rsid w:val="00F70634"/>
    <w:rsid w:val="00F7065A"/>
    <w:rsid w:val="00F706FC"/>
    <w:rsid w:val="00F70A31"/>
    <w:rsid w:val="00F70AB7"/>
    <w:rsid w:val="00F70EC0"/>
    <w:rsid w:val="00F70F24"/>
    <w:rsid w:val="00F70F4D"/>
    <w:rsid w:val="00F7101E"/>
    <w:rsid w:val="00F7104A"/>
    <w:rsid w:val="00F7175B"/>
    <w:rsid w:val="00F71EBC"/>
    <w:rsid w:val="00F71F69"/>
    <w:rsid w:val="00F72127"/>
    <w:rsid w:val="00F72606"/>
    <w:rsid w:val="00F72857"/>
    <w:rsid w:val="00F728A1"/>
    <w:rsid w:val="00F72B15"/>
    <w:rsid w:val="00F72B72"/>
    <w:rsid w:val="00F72C24"/>
    <w:rsid w:val="00F72C37"/>
    <w:rsid w:val="00F7351A"/>
    <w:rsid w:val="00F7373A"/>
    <w:rsid w:val="00F737D7"/>
    <w:rsid w:val="00F73AB9"/>
    <w:rsid w:val="00F73B94"/>
    <w:rsid w:val="00F73D34"/>
    <w:rsid w:val="00F73EEA"/>
    <w:rsid w:val="00F74016"/>
    <w:rsid w:val="00F74044"/>
    <w:rsid w:val="00F740A0"/>
    <w:rsid w:val="00F741C1"/>
    <w:rsid w:val="00F74716"/>
    <w:rsid w:val="00F74814"/>
    <w:rsid w:val="00F74A13"/>
    <w:rsid w:val="00F74BB9"/>
    <w:rsid w:val="00F74C13"/>
    <w:rsid w:val="00F74F4B"/>
    <w:rsid w:val="00F75076"/>
    <w:rsid w:val="00F75089"/>
    <w:rsid w:val="00F7547B"/>
    <w:rsid w:val="00F75582"/>
    <w:rsid w:val="00F75678"/>
    <w:rsid w:val="00F75957"/>
    <w:rsid w:val="00F75D88"/>
    <w:rsid w:val="00F75E13"/>
    <w:rsid w:val="00F7639D"/>
    <w:rsid w:val="00F76738"/>
    <w:rsid w:val="00F767BE"/>
    <w:rsid w:val="00F76833"/>
    <w:rsid w:val="00F768CC"/>
    <w:rsid w:val="00F76A2E"/>
    <w:rsid w:val="00F76B1B"/>
    <w:rsid w:val="00F76CB6"/>
    <w:rsid w:val="00F76D15"/>
    <w:rsid w:val="00F76EFA"/>
    <w:rsid w:val="00F772CD"/>
    <w:rsid w:val="00F7759C"/>
    <w:rsid w:val="00F775E8"/>
    <w:rsid w:val="00F77A72"/>
    <w:rsid w:val="00F77DD0"/>
    <w:rsid w:val="00F77DD1"/>
    <w:rsid w:val="00F77E83"/>
    <w:rsid w:val="00F77EF6"/>
    <w:rsid w:val="00F8016A"/>
    <w:rsid w:val="00F80181"/>
    <w:rsid w:val="00F803BD"/>
    <w:rsid w:val="00F804BE"/>
    <w:rsid w:val="00F80948"/>
    <w:rsid w:val="00F80E1D"/>
    <w:rsid w:val="00F810EE"/>
    <w:rsid w:val="00F81101"/>
    <w:rsid w:val="00F81436"/>
    <w:rsid w:val="00F8168E"/>
    <w:rsid w:val="00F817CE"/>
    <w:rsid w:val="00F818AD"/>
    <w:rsid w:val="00F81B71"/>
    <w:rsid w:val="00F81BE2"/>
    <w:rsid w:val="00F81FDB"/>
    <w:rsid w:val="00F82391"/>
    <w:rsid w:val="00F823B9"/>
    <w:rsid w:val="00F8244D"/>
    <w:rsid w:val="00F82674"/>
    <w:rsid w:val="00F82891"/>
    <w:rsid w:val="00F82937"/>
    <w:rsid w:val="00F82BAD"/>
    <w:rsid w:val="00F82D69"/>
    <w:rsid w:val="00F82F96"/>
    <w:rsid w:val="00F82F9A"/>
    <w:rsid w:val="00F833C2"/>
    <w:rsid w:val="00F83432"/>
    <w:rsid w:val="00F83461"/>
    <w:rsid w:val="00F83511"/>
    <w:rsid w:val="00F83730"/>
    <w:rsid w:val="00F83890"/>
    <w:rsid w:val="00F83A09"/>
    <w:rsid w:val="00F83BAF"/>
    <w:rsid w:val="00F83BF4"/>
    <w:rsid w:val="00F83C87"/>
    <w:rsid w:val="00F83EF8"/>
    <w:rsid w:val="00F83FCF"/>
    <w:rsid w:val="00F840BA"/>
    <w:rsid w:val="00F841FC"/>
    <w:rsid w:val="00F8456C"/>
    <w:rsid w:val="00F845B2"/>
    <w:rsid w:val="00F84C9C"/>
    <w:rsid w:val="00F84CE7"/>
    <w:rsid w:val="00F84DC5"/>
    <w:rsid w:val="00F84F2B"/>
    <w:rsid w:val="00F84FCE"/>
    <w:rsid w:val="00F84FED"/>
    <w:rsid w:val="00F85096"/>
    <w:rsid w:val="00F850A5"/>
    <w:rsid w:val="00F85154"/>
    <w:rsid w:val="00F8542C"/>
    <w:rsid w:val="00F854D4"/>
    <w:rsid w:val="00F856E0"/>
    <w:rsid w:val="00F8588F"/>
    <w:rsid w:val="00F859D8"/>
    <w:rsid w:val="00F85A5E"/>
    <w:rsid w:val="00F85A93"/>
    <w:rsid w:val="00F8606C"/>
    <w:rsid w:val="00F860FE"/>
    <w:rsid w:val="00F86515"/>
    <w:rsid w:val="00F86567"/>
    <w:rsid w:val="00F86573"/>
    <w:rsid w:val="00F868F5"/>
    <w:rsid w:val="00F8696B"/>
    <w:rsid w:val="00F869B4"/>
    <w:rsid w:val="00F86B21"/>
    <w:rsid w:val="00F86C77"/>
    <w:rsid w:val="00F86DE1"/>
    <w:rsid w:val="00F86E21"/>
    <w:rsid w:val="00F86E52"/>
    <w:rsid w:val="00F86E6B"/>
    <w:rsid w:val="00F872CD"/>
    <w:rsid w:val="00F875A1"/>
    <w:rsid w:val="00F878D5"/>
    <w:rsid w:val="00F87B27"/>
    <w:rsid w:val="00F87BE6"/>
    <w:rsid w:val="00F87E02"/>
    <w:rsid w:val="00F87E68"/>
    <w:rsid w:val="00F87EC1"/>
    <w:rsid w:val="00F87F2C"/>
    <w:rsid w:val="00F90051"/>
    <w:rsid w:val="00F9056A"/>
    <w:rsid w:val="00F906FB"/>
    <w:rsid w:val="00F90744"/>
    <w:rsid w:val="00F907D8"/>
    <w:rsid w:val="00F90C27"/>
    <w:rsid w:val="00F90C64"/>
    <w:rsid w:val="00F90CDD"/>
    <w:rsid w:val="00F90F8D"/>
    <w:rsid w:val="00F91342"/>
    <w:rsid w:val="00F91478"/>
    <w:rsid w:val="00F914B2"/>
    <w:rsid w:val="00F9159D"/>
    <w:rsid w:val="00F916AF"/>
    <w:rsid w:val="00F916BC"/>
    <w:rsid w:val="00F917EA"/>
    <w:rsid w:val="00F91B3F"/>
    <w:rsid w:val="00F9214C"/>
    <w:rsid w:val="00F92152"/>
    <w:rsid w:val="00F925D9"/>
    <w:rsid w:val="00F92782"/>
    <w:rsid w:val="00F92784"/>
    <w:rsid w:val="00F92A8F"/>
    <w:rsid w:val="00F92AED"/>
    <w:rsid w:val="00F92C14"/>
    <w:rsid w:val="00F92C44"/>
    <w:rsid w:val="00F92D05"/>
    <w:rsid w:val="00F92D77"/>
    <w:rsid w:val="00F92DAD"/>
    <w:rsid w:val="00F9304E"/>
    <w:rsid w:val="00F9381B"/>
    <w:rsid w:val="00F93A8A"/>
    <w:rsid w:val="00F93A93"/>
    <w:rsid w:val="00F93AA9"/>
    <w:rsid w:val="00F93C44"/>
    <w:rsid w:val="00F94193"/>
    <w:rsid w:val="00F942A7"/>
    <w:rsid w:val="00F94657"/>
    <w:rsid w:val="00F9468C"/>
    <w:rsid w:val="00F94706"/>
    <w:rsid w:val="00F9471C"/>
    <w:rsid w:val="00F948FA"/>
    <w:rsid w:val="00F94AD9"/>
    <w:rsid w:val="00F94D17"/>
    <w:rsid w:val="00F94F77"/>
    <w:rsid w:val="00F95079"/>
    <w:rsid w:val="00F95238"/>
    <w:rsid w:val="00F95372"/>
    <w:rsid w:val="00F954C3"/>
    <w:rsid w:val="00F95686"/>
    <w:rsid w:val="00F95832"/>
    <w:rsid w:val="00F95857"/>
    <w:rsid w:val="00F95A39"/>
    <w:rsid w:val="00F95A81"/>
    <w:rsid w:val="00F95C19"/>
    <w:rsid w:val="00F95C7B"/>
    <w:rsid w:val="00F95D58"/>
    <w:rsid w:val="00F95DB6"/>
    <w:rsid w:val="00F95F5F"/>
    <w:rsid w:val="00F96171"/>
    <w:rsid w:val="00F961AF"/>
    <w:rsid w:val="00F96385"/>
    <w:rsid w:val="00F9664C"/>
    <w:rsid w:val="00F96985"/>
    <w:rsid w:val="00F96A49"/>
    <w:rsid w:val="00F96ADC"/>
    <w:rsid w:val="00F96C1C"/>
    <w:rsid w:val="00F96E36"/>
    <w:rsid w:val="00F96E92"/>
    <w:rsid w:val="00F96F11"/>
    <w:rsid w:val="00F97032"/>
    <w:rsid w:val="00F97234"/>
    <w:rsid w:val="00F97566"/>
    <w:rsid w:val="00F975E3"/>
    <w:rsid w:val="00F97838"/>
    <w:rsid w:val="00F97855"/>
    <w:rsid w:val="00F97C82"/>
    <w:rsid w:val="00F97CE8"/>
    <w:rsid w:val="00F97FF6"/>
    <w:rsid w:val="00FA0013"/>
    <w:rsid w:val="00FA00F6"/>
    <w:rsid w:val="00FA02C9"/>
    <w:rsid w:val="00FA03BA"/>
    <w:rsid w:val="00FA041B"/>
    <w:rsid w:val="00FA05FB"/>
    <w:rsid w:val="00FA079F"/>
    <w:rsid w:val="00FA0A79"/>
    <w:rsid w:val="00FA0B85"/>
    <w:rsid w:val="00FA0DF3"/>
    <w:rsid w:val="00FA0E78"/>
    <w:rsid w:val="00FA0F55"/>
    <w:rsid w:val="00FA0FEA"/>
    <w:rsid w:val="00FA1290"/>
    <w:rsid w:val="00FA13DD"/>
    <w:rsid w:val="00FA1412"/>
    <w:rsid w:val="00FA17A1"/>
    <w:rsid w:val="00FA1891"/>
    <w:rsid w:val="00FA19F5"/>
    <w:rsid w:val="00FA1BE3"/>
    <w:rsid w:val="00FA1F50"/>
    <w:rsid w:val="00FA1FCF"/>
    <w:rsid w:val="00FA236B"/>
    <w:rsid w:val="00FA2446"/>
    <w:rsid w:val="00FA264B"/>
    <w:rsid w:val="00FA26CB"/>
    <w:rsid w:val="00FA2A1E"/>
    <w:rsid w:val="00FA2AB5"/>
    <w:rsid w:val="00FA2BB3"/>
    <w:rsid w:val="00FA2BE4"/>
    <w:rsid w:val="00FA2C19"/>
    <w:rsid w:val="00FA2E8A"/>
    <w:rsid w:val="00FA2EAE"/>
    <w:rsid w:val="00FA2FC8"/>
    <w:rsid w:val="00FA2FF6"/>
    <w:rsid w:val="00FA31E8"/>
    <w:rsid w:val="00FA332B"/>
    <w:rsid w:val="00FA343E"/>
    <w:rsid w:val="00FA3456"/>
    <w:rsid w:val="00FA353B"/>
    <w:rsid w:val="00FA38CF"/>
    <w:rsid w:val="00FA3C06"/>
    <w:rsid w:val="00FA43A5"/>
    <w:rsid w:val="00FA4B81"/>
    <w:rsid w:val="00FA4CD4"/>
    <w:rsid w:val="00FA4D91"/>
    <w:rsid w:val="00FA4FEA"/>
    <w:rsid w:val="00FA512A"/>
    <w:rsid w:val="00FA53CD"/>
    <w:rsid w:val="00FA55A3"/>
    <w:rsid w:val="00FA55DB"/>
    <w:rsid w:val="00FA583F"/>
    <w:rsid w:val="00FA59A9"/>
    <w:rsid w:val="00FA5A00"/>
    <w:rsid w:val="00FA5A14"/>
    <w:rsid w:val="00FA5DB5"/>
    <w:rsid w:val="00FA5DCA"/>
    <w:rsid w:val="00FA600D"/>
    <w:rsid w:val="00FA6108"/>
    <w:rsid w:val="00FA644E"/>
    <w:rsid w:val="00FA64EA"/>
    <w:rsid w:val="00FA65E0"/>
    <w:rsid w:val="00FA66EA"/>
    <w:rsid w:val="00FA6A02"/>
    <w:rsid w:val="00FA6ADB"/>
    <w:rsid w:val="00FA6E58"/>
    <w:rsid w:val="00FA6FF6"/>
    <w:rsid w:val="00FA73FD"/>
    <w:rsid w:val="00FA743F"/>
    <w:rsid w:val="00FA757F"/>
    <w:rsid w:val="00FA7744"/>
    <w:rsid w:val="00FA790F"/>
    <w:rsid w:val="00FA7B57"/>
    <w:rsid w:val="00FB0634"/>
    <w:rsid w:val="00FB0679"/>
    <w:rsid w:val="00FB0811"/>
    <w:rsid w:val="00FB094C"/>
    <w:rsid w:val="00FB099F"/>
    <w:rsid w:val="00FB0A8E"/>
    <w:rsid w:val="00FB0AD8"/>
    <w:rsid w:val="00FB0C52"/>
    <w:rsid w:val="00FB0D3E"/>
    <w:rsid w:val="00FB1414"/>
    <w:rsid w:val="00FB1C76"/>
    <w:rsid w:val="00FB1D26"/>
    <w:rsid w:val="00FB1D43"/>
    <w:rsid w:val="00FB1D64"/>
    <w:rsid w:val="00FB1F87"/>
    <w:rsid w:val="00FB218A"/>
    <w:rsid w:val="00FB228F"/>
    <w:rsid w:val="00FB23E1"/>
    <w:rsid w:val="00FB24E7"/>
    <w:rsid w:val="00FB2890"/>
    <w:rsid w:val="00FB28D5"/>
    <w:rsid w:val="00FB2C3D"/>
    <w:rsid w:val="00FB2F81"/>
    <w:rsid w:val="00FB2F99"/>
    <w:rsid w:val="00FB31EB"/>
    <w:rsid w:val="00FB320C"/>
    <w:rsid w:val="00FB3295"/>
    <w:rsid w:val="00FB3572"/>
    <w:rsid w:val="00FB357F"/>
    <w:rsid w:val="00FB3A90"/>
    <w:rsid w:val="00FB3BC5"/>
    <w:rsid w:val="00FB3F73"/>
    <w:rsid w:val="00FB4221"/>
    <w:rsid w:val="00FB427B"/>
    <w:rsid w:val="00FB4333"/>
    <w:rsid w:val="00FB4707"/>
    <w:rsid w:val="00FB4810"/>
    <w:rsid w:val="00FB4A59"/>
    <w:rsid w:val="00FB4B6F"/>
    <w:rsid w:val="00FB4C80"/>
    <w:rsid w:val="00FB4D1A"/>
    <w:rsid w:val="00FB4EB7"/>
    <w:rsid w:val="00FB4EE3"/>
    <w:rsid w:val="00FB5051"/>
    <w:rsid w:val="00FB50F0"/>
    <w:rsid w:val="00FB5386"/>
    <w:rsid w:val="00FB5448"/>
    <w:rsid w:val="00FB55E1"/>
    <w:rsid w:val="00FB561B"/>
    <w:rsid w:val="00FB5687"/>
    <w:rsid w:val="00FB594B"/>
    <w:rsid w:val="00FB5963"/>
    <w:rsid w:val="00FB5967"/>
    <w:rsid w:val="00FB5A7B"/>
    <w:rsid w:val="00FB5C9A"/>
    <w:rsid w:val="00FB5CE9"/>
    <w:rsid w:val="00FB5D37"/>
    <w:rsid w:val="00FB5DBE"/>
    <w:rsid w:val="00FB5FA3"/>
    <w:rsid w:val="00FB6093"/>
    <w:rsid w:val="00FB640F"/>
    <w:rsid w:val="00FB6712"/>
    <w:rsid w:val="00FB6A6A"/>
    <w:rsid w:val="00FB6BE8"/>
    <w:rsid w:val="00FB7019"/>
    <w:rsid w:val="00FB71CA"/>
    <w:rsid w:val="00FB7644"/>
    <w:rsid w:val="00FB769D"/>
    <w:rsid w:val="00FB788D"/>
    <w:rsid w:val="00FB7AE3"/>
    <w:rsid w:val="00FB7DBB"/>
    <w:rsid w:val="00FB7EBF"/>
    <w:rsid w:val="00FB7FA2"/>
    <w:rsid w:val="00FC0015"/>
    <w:rsid w:val="00FC00FA"/>
    <w:rsid w:val="00FC034A"/>
    <w:rsid w:val="00FC0891"/>
    <w:rsid w:val="00FC08C0"/>
    <w:rsid w:val="00FC09AD"/>
    <w:rsid w:val="00FC0FA0"/>
    <w:rsid w:val="00FC158E"/>
    <w:rsid w:val="00FC15EC"/>
    <w:rsid w:val="00FC1977"/>
    <w:rsid w:val="00FC1A8E"/>
    <w:rsid w:val="00FC1B4C"/>
    <w:rsid w:val="00FC1C2F"/>
    <w:rsid w:val="00FC1DCE"/>
    <w:rsid w:val="00FC203B"/>
    <w:rsid w:val="00FC2404"/>
    <w:rsid w:val="00FC24CD"/>
    <w:rsid w:val="00FC25B1"/>
    <w:rsid w:val="00FC2712"/>
    <w:rsid w:val="00FC2740"/>
    <w:rsid w:val="00FC2767"/>
    <w:rsid w:val="00FC2984"/>
    <w:rsid w:val="00FC2D73"/>
    <w:rsid w:val="00FC2F99"/>
    <w:rsid w:val="00FC2FF9"/>
    <w:rsid w:val="00FC3237"/>
    <w:rsid w:val="00FC3247"/>
    <w:rsid w:val="00FC36A8"/>
    <w:rsid w:val="00FC36DD"/>
    <w:rsid w:val="00FC3A2C"/>
    <w:rsid w:val="00FC3D44"/>
    <w:rsid w:val="00FC3D8C"/>
    <w:rsid w:val="00FC41E8"/>
    <w:rsid w:val="00FC4356"/>
    <w:rsid w:val="00FC4589"/>
    <w:rsid w:val="00FC46CE"/>
    <w:rsid w:val="00FC4888"/>
    <w:rsid w:val="00FC4AB5"/>
    <w:rsid w:val="00FC4B06"/>
    <w:rsid w:val="00FC4B82"/>
    <w:rsid w:val="00FC4B9D"/>
    <w:rsid w:val="00FC4C24"/>
    <w:rsid w:val="00FC4C36"/>
    <w:rsid w:val="00FC4D81"/>
    <w:rsid w:val="00FC520D"/>
    <w:rsid w:val="00FC5511"/>
    <w:rsid w:val="00FC56C2"/>
    <w:rsid w:val="00FC5792"/>
    <w:rsid w:val="00FC57AF"/>
    <w:rsid w:val="00FC584D"/>
    <w:rsid w:val="00FC5A4B"/>
    <w:rsid w:val="00FC5CA3"/>
    <w:rsid w:val="00FC62B7"/>
    <w:rsid w:val="00FC680C"/>
    <w:rsid w:val="00FC6823"/>
    <w:rsid w:val="00FC6B0F"/>
    <w:rsid w:val="00FC6C30"/>
    <w:rsid w:val="00FC6C3B"/>
    <w:rsid w:val="00FC6E46"/>
    <w:rsid w:val="00FC6E9E"/>
    <w:rsid w:val="00FC707D"/>
    <w:rsid w:val="00FC7429"/>
    <w:rsid w:val="00FC7970"/>
    <w:rsid w:val="00FC798D"/>
    <w:rsid w:val="00FC7B11"/>
    <w:rsid w:val="00FD0107"/>
    <w:rsid w:val="00FD05A6"/>
    <w:rsid w:val="00FD07F6"/>
    <w:rsid w:val="00FD0926"/>
    <w:rsid w:val="00FD0C96"/>
    <w:rsid w:val="00FD0CAC"/>
    <w:rsid w:val="00FD0F00"/>
    <w:rsid w:val="00FD14CD"/>
    <w:rsid w:val="00FD1601"/>
    <w:rsid w:val="00FD17CE"/>
    <w:rsid w:val="00FD1A79"/>
    <w:rsid w:val="00FD1E4E"/>
    <w:rsid w:val="00FD1EC8"/>
    <w:rsid w:val="00FD1F14"/>
    <w:rsid w:val="00FD20CD"/>
    <w:rsid w:val="00FD2452"/>
    <w:rsid w:val="00FD250C"/>
    <w:rsid w:val="00FD2564"/>
    <w:rsid w:val="00FD258E"/>
    <w:rsid w:val="00FD263B"/>
    <w:rsid w:val="00FD2850"/>
    <w:rsid w:val="00FD2BE5"/>
    <w:rsid w:val="00FD2CAF"/>
    <w:rsid w:val="00FD2F46"/>
    <w:rsid w:val="00FD310D"/>
    <w:rsid w:val="00FD33C4"/>
    <w:rsid w:val="00FD347D"/>
    <w:rsid w:val="00FD37A8"/>
    <w:rsid w:val="00FD37D4"/>
    <w:rsid w:val="00FD3A31"/>
    <w:rsid w:val="00FD3FFA"/>
    <w:rsid w:val="00FD4019"/>
    <w:rsid w:val="00FD404F"/>
    <w:rsid w:val="00FD4343"/>
    <w:rsid w:val="00FD442E"/>
    <w:rsid w:val="00FD4496"/>
    <w:rsid w:val="00FD4692"/>
    <w:rsid w:val="00FD4706"/>
    <w:rsid w:val="00FD47ED"/>
    <w:rsid w:val="00FD492A"/>
    <w:rsid w:val="00FD493B"/>
    <w:rsid w:val="00FD4A16"/>
    <w:rsid w:val="00FD4EFA"/>
    <w:rsid w:val="00FD510B"/>
    <w:rsid w:val="00FD5292"/>
    <w:rsid w:val="00FD5391"/>
    <w:rsid w:val="00FD5878"/>
    <w:rsid w:val="00FD58A8"/>
    <w:rsid w:val="00FD5A5E"/>
    <w:rsid w:val="00FD5C27"/>
    <w:rsid w:val="00FD5C7A"/>
    <w:rsid w:val="00FD5CE3"/>
    <w:rsid w:val="00FD5DC1"/>
    <w:rsid w:val="00FD5F68"/>
    <w:rsid w:val="00FD6500"/>
    <w:rsid w:val="00FD6700"/>
    <w:rsid w:val="00FD69EA"/>
    <w:rsid w:val="00FD6B82"/>
    <w:rsid w:val="00FD6C68"/>
    <w:rsid w:val="00FD6C6E"/>
    <w:rsid w:val="00FD6CDD"/>
    <w:rsid w:val="00FD6D48"/>
    <w:rsid w:val="00FD707F"/>
    <w:rsid w:val="00FD713E"/>
    <w:rsid w:val="00FD72A6"/>
    <w:rsid w:val="00FD7336"/>
    <w:rsid w:val="00FD74DB"/>
    <w:rsid w:val="00FD760C"/>
    <w:rsid w:val="00FD7660"/>
    <w:rsid w:val="00FD76A9"/>
    <w:rsid w:val="00FD772C"/>
    <w:rsid w:val="00FD78E4"/>
    <w:rsid w:val="00FD795B"/>
    <w:rsid w:val="00FD7B0A"/>
    <w:rsid w:val="00FD7DB7"/>
    <w:rsid w:val="00FD7E74"/>
    <w:rsid w:val="00FD7EB3"/>
    <w:rsid w:val="00FE0074"/>
    <w:rsid w:val="00FE017F"/>
    <w:rsid w:val="00FE036A"/>
    <w:rsid w:val="00FE0482"/>
    <w:rsid w:val="00FE054B"/>
    <w:rsid w:val="00FE0655"/>
    <w:rsid w:val="00FE0859"/>
    <w:rsid w:val="00FE087C"/>
    <w:rsid w:val="00FE0973"/>
    <w:rsid w:val="00FE1058"/>
    <w:rsid w:val="00FE10D8"/>
    <w:rsid w:val="00FE12E3"/>
    <w:rsid w:val="00FE139E"/>
    <w:rsid w:val="00FE13A6"/>
    <w:rsid w:val="00FE150E"/>
    <w:rsid w:val="00FE16BE"/>
    <w:rsid w:val="00FE1916"/>
    <w:rsid w:val="00FE196A"/>
    <w:rsid w:val="00FE1993"/>
    <w:rsid w:val="00FE19CB"/>
    <w:rsid w:val="00FE1BE6"/>
    <w:rsid w:val="00FE1C1F"/>
    <w:rsid w:val="00FE2007"/>
    <w:rsid w:val="00FE20F8"/>
    <w:rsid w:val="00FE2163"/>
    <w:rsid w:val="00FE2365"/>
    <w:rsid w:val="00FE2497"/>
    <w:rsid w:val="00FE2555"/>
    <w:rsid w:val="00FE2956"/>
    <w:rsid w:val="00FE2990"/>
    <w:rsid w:val="00FE29F4"/>
    <w:rsid w:val="00FE2B83"/>
    <w:rsid w:val="00FE2E70"/>
    <w:rsid w:val="00FE2EA6"/>
    <w:rsid w:val="00FE2ED2"/>
    <w:rsid w:val="00FE2F37"/>
    <w:rsid w:val="00FE3455"/>
    <w:rsid w:val="00FE3540"/>
    <w:rsid w:val="00FE3713"/>
    <w:rsid w:val="00FE37D7"/>
    <w:rsid w:val="00FE3AE2"/>
    <w:rsid w:val="00FE3C45"/>
    <w:rsid w:val="00FE3C69"/>
    <w:rsid w:val="00FE3C85"/>
    <w:rsid w:val="00FE3DDD"/>
    <w:rsid w:val="00FE3EA5"/>
    <w:rsid w:val="00FE4141"/>
    <w:rsid w:val="00FE41F5"/>
    <w:rsid w:val="00FE476E"/>
    <w:rsid w:val="00FE4823"/>
    <w:rsid w:val="00FE48DF"/>
    <w:rsid w:val="00FE49A9"/>
    <w:rsid w:val="00FE4A39"/>
    <w:rsid w:val="00FE4C7B"/>
    <w:rsid w:val="00FE4D1B"/>
    <w:rsid w:val="00FE4D94"/>
    <w:rsid w:val="00FE4DB1"/>
    <w:rsid w:val="00FE4FA0"/>
    <w:rsid w:val="00FE4FB1"/>
    <w:rsid w:val="00FE4FE8"/>
    <w:rsid w:val="00FE5113"/>
    <w:rsid w:val="00FE518B"/>
    <w:rsid w:val="00FE5514"/>
    <w:rsid w:val="00FE5587"/>
    <w:rsid w:val="00FE58F3"/>
    <w:rsid w:val="00FE5BAD"/>
    <w:rsid w:val="00FE5BE6"/>
    <w:rsid w:val="00FE5DFC"/>
    <w:rsid w:val="00FE6005"/>
    <w:rsid w:val="00FE62A1"/>
    <w:rsid w:val="00FE62B0"/>
    <w:rsid w:val="00FE6312"/>
    <w:rsid w:val="00FE647F"/>
    <w:rsid w:val="00FE6764"/>
    <w:rsid w:val="00FE6C25"/>
    <w:rsid w:val="00FE6D00"/>
    <w:rsid w:val="00FE6F8C"/>
    <w:rsid w:val="00FE7026"/>
    <w:rsid w:val="00FE7336"/>
    <w:rsid w:val="00FE73AA"/>
    <w:rsid w:val="00FE7408"/>
    <w:rsid w:val="00FE758F"/>
    <w:rsid w:val="00FE7756"/>
    <w:rsid w:val="00FE783F"/>
    <w:rsid w:val="00FE787C"/>
    <w:rsid w:val="00FE7A88"/>
    <w:rsid w:val="00FE7AC3"/>
    <w:rsid w:val="00FE7C97"/>
    <w:rsid w:val="00FE7E0E"/>
    <w:rsid w:val="00FE7EAF"/>
    <w:rsid w:val="00FF020E"/>
    <w:rsid w:val="00FF0219"/>
    <w:rsid w:val="00FF0457"/>
    <w:rsid w:val="00FF0971"/>
    <w:rsid w:val="00FF0B40"/>
    <w:rsid w:val="00FF0C84"/>
    <w:rsid w:val="00FF1005"/>
    <w:rsid w:val="00FF11E7"/>
    <w:rsid w:val="00FF13D4"/>
    <w:rsid w:val="00FF1549"/>
    <w:rsid w:val="00FF1766"/>
    <w:rsid w:val="00FF17DC"/>
    <w:rsid w:val="00FF18A0"/>
    <w:rsid w:val="00FF1927"/>
    <w:rsid w:val="00FF2518"/>
    <w:rsid w:val="00FF258B"/>
    <w:rsid w:val="00FF2648"/>
    <w:rsid w:val="00FF275A"/>
    <w:rsid w:val="00FF2A36"/>
    <w:rsid w:val="00FF3116"/>
    <w:rsid w:val="00FF31A2"/>
    <w:rsid w:val="00FF32B8"/>
    <w:rsid w:val="00FF3359"/>
    <w:rsid w:val="00FF3999"/>
    <w:rsid w:val="00FF3C0D"/>
    <w:rsid w:val="00FF40EA"/>
    <w:rsid w:val="00FF4456"/>
    <w:rsid w:val="00FF4460"/>
    <w:rsid w:val="00FF45A5"/>
    <w:rsid w:val="00FF4634"/>
    <w:rsid w:val="00FF472F"/>
    <w:rsid w:val="00FF4913"/>
    <w:rsid w:val="00FF4983"/>
    <w:rsid w:val="00FF4BD6"/>
    <w:rsid w:val="00FF4E0D"/>
    <w:rsid w:val="00FF4EB6"/>
    <w:rsid w:val="00FF4F93"/>
    <w:rsid w:val="00FF50CB"/>
    <w:rsid w:val="00FF51B8"/>
    <w:rsid w:val="00FF5670"/>
    <w:rsid w:val="00FF5735"/>
    <w:rsid w:val="00FF587F"/>
    <w:rsid w:val="00FF58C5"/>
    <w:rsid w:val="00FF5C2D"/>
    <w:rsid w:val="00FF5C91"/>
    <w:rsid w:val="00FF5CB6"/>
    <w:rsid w:val="00FF5D7D"/>
    <w:rsid w:val="00FF5F3A"/>
    <w:rsid w:val="00FF5F9B"/>
    <w:rsid w:val="00FF5FEB"/>
    <w:rsid w:val="00FF62C1"/>
    <w:rsid w:val="00FF6324"/>
    <w:rsid w:val="00FF6432"/>
    <w:rsid w:val="00FF6437"/>
    <w:rsid w:val="00FF654B"/>
    <w:rsid w:val="00FF67C1"/>
    <w:rsid w:val="00FF6B41"/>
    <w:rsid w:val="00FF6BCA"/>
    <w:rsid w:val="00FF6D1C"/>
    <w:rsid w:val="00FF6DFF"/>
    <w:rsid w:val="00FF7261"/>
    <w:rsid w:val="00FF743A"/>
    <w:rsid w:val="00FF7598"/>
    <w:rsid w:val="00FF76BC"/>
    <w:rsid w:val="00FF7777"/>
    <w:rsid w:val="00FF7837"/>
    <w:rsid w:val="00FF784A"/>
    <w:rsid w:val="00FF78E5"/>
    <w:rsid w:val="00FF7A59"/>
    <w:rsid w:val="00FF7D97"/>
    <w:rsid w:val="00FF7E92"/>
    <w:rsid w:val="034E1E4C"/>
    <w:rsid w:val="04D7E24F"/>
    <w:rsid w:val="09E87CE2"/>
    <w:rsid w:val="0C39D94D"/>
    <w:rsid w:val="0D057C7B"/>
    <w:rsid w:val="0DC7DB02"/>
    <w:rsid w:val="0DD02E6A"/>
    <w:rsid w:val="0E238DB8"/>
    <w:rsid w:val="10372817"/>
    <w:rsid w:val="15478A92"/>
    <w:rsid w:val="1573F594"/>
    <w:rsid w:val="16029101"/>
    <w:rsid w:val="170C80D3"/>
    <w:rsid w:val="1968D820"/>
    <w:rsid w:val="19915626"/>
    <w:rsid w:val="1A9AB1D6"/>
    <w:rsid w:val="1C7A4837"/>
    <w:rsid w:val="1D541A87"/>
    <w:rsid w:val="1DA287A7"/>
    <w:rsid w:val="1E261491"/>
    <w:rsid w:val="1FF1325D"/>
    <w:rsid w:val="2047D786"/>
    <w:rsid w:val="21CE269C"/>
    <w:rsid w:val="2673A75D"/>
    <w:rsid w:val="26BEEA04"/>
    <w:rsid w:val="28705F4B"/>
    <w:rsid w:val="2AC6344D"/>
    <w:rsid w:val="2ACF6851"/>
    <w:rsid w:val="2AD6984B"/>
    <w:rsid w:val="2D465EB9"/>
    <w:rsid w:val="2F2EBE71"/>
    <w:rsid w:val="2F91325B"/>
    <w:rsid w:val="3029B3A3"/>
    <w:rsid w:val="320AE0F0"/>
    <w:rsid w:val="327A2525"/>
    <w:rsid w:val="3299D8E9"/>
    <w:rsid w:val="331DAB4A"/>
    <w:rsid w:val="353873C6"/>
    <w:rsid w:val="35521BB4"/>
    <w:rsid w:val="35DAF9E0"/>
    <w:rsid w:val="37CBB063"/>
    <w:rsid w:val="38E1CB76"/>
    <w:rsid w:val="404EAA19"/>
    <w:rsid w:val="40F85430"/>
    <w:rsid w:val="426392CF"/>
    <w:rsid w:val="436B5B9E"/>
    <w:rsid w:val="43D299E5"/>
    <w:rsid w:val="45C0E65B"/>
    <w:rsid w:val="466A765B"/>
    <w:rsid w:val="46B4FA10"/>
    <w:rsid w:val="46DC65DF"/>
    <w:rsid w:val="4B3F0B9F"/>
    <w:rsid w:val="4B6C8A6D"/>
    <w:rsid w:val="4D26EF3A"/>
    <w:rsid w:val="4EAD9CE0"/>
    <w:rsid w:val="500ED65E"/>
    <w:rsid w:val="513662B4"/>
    <w:rsid w:val="51BB65DC"/>
    <w:rsid w:val="51D0ACCE"/>
    <w:rsid w:val="53F16DD0"/>
    <w:rsid w:val="542BB1A5"/>
    <w:rsid w:val="55BAB303"/>
    <w:rsid w:val="5632A8DD"/>
    <w:rsid w:val="5A14DD55"/>
    <w:rsid w:val="5A61938C"/>
    <w:rsid w:val="5D681866"/>
    <w:rsid w:val="5F47AC95"/>
    <w:rsid w:val="64E893A3"/>
    <w:rsid w:val="6706DCA1"/>
    <w:rsid w:val="671CBD16"/>
    <w:rsid w:val="6830424C"/>
    <w:rsid w:val="689FCBE2"/>
    <w:rsid w:val="6C533796"/>
    <w:rsid w:val="6C68B3F2"/>
    <w:rsid w:val="6DFA5436"/>
    <w:rsid w:val="6E887925"/>
    <w:rsid w:val="6FB265E3"/>
    <w:rsid w:val="6FE56628"/>
    <w:rsid w:val="71DCC613"/>
    <w:rsid w:val="72B4B78A"/>
    <w:rsid w:val="75348353"/>
    <w:rsid w:val="766329BE"/>
    <w:rsid w:val="76681F58"/>
    <w:rsid w:val="767769E0"/>
    <w:rsid w:val="76D1046A"/>
    <w:rsid w:val="7772F166"/>
    <w:rsid w:val="77A34316"/>
    <w:rsid w:val="78B11D93"/>
    <w:rsid w:val="7CB9130C"/>
    <w:rsid w:val="7E06C33B"/>
    <w:rsid w:val="7E27A4CA"/>
    <w:rsid w:val="7EAD0021"/>
    <w:rsid w:val="7ED13DA4"/>
    <w:rsid w:val="7F0582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E6D915"/>
  <w15:docId w15:val="{530005D0-A8DF-4503-B52C-29B5E5DB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4DC"/>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E314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14D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0">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17FE1"/>
    <w:pPr>
      <w:numPr>
        <w:numId w:val="2"/>
      </w:numPr>
      <w:tabs>
        <w:tab w:val="left" w:pos="1701"/>
      </w:tabs>
    </w:pPr>
    <w:rPr>
      <w:b/>
      <w:bCs/>
    </w:rPr>
  </w:style>
  <w:style w:type="character" w:customStyle="1" w:styleId="BodyTextChar">
    <w:name w:val="Body Text Char"/>
    <w:link w:val="BodyText"/>
    <w:rsid w:val="008D00A5"/>
    <w:rPr>
      <w:rFonts w:asciiTheme="minorHAnsi" w:eastAsiaTheme="minorEastAsia" w:hAnsiTheme="minorHAnsi" w:cstheme="minorBidi"/>
      <w:kern w:val="2"/>
      <w:sz w:val="24"/>
      <w:szCs w:val="24"/>
      <w:lang w:val="en-US" w:eastAsia="ja-JP"/>
      <w14:ligatures w14:val="standardContextual"/>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648D4"/>
    <w:pPr>
      <w:numPr>
        <w:numId w:val="4"/>
      </w:numPr>
      <w:ind w:left="1710" w:hanging="1710"/>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kern w:val="2"/>
      <w:sz w:val="18"/>
      <w:szCs w:val="18"/>
      <w:lang w:val="en-US" w:eastAsia="ja-JP"/>
      <w14:ligatures w14:val="standardContextual"/>
    </w:rPr>
  </w:style>
  <w:style w:type="character" w:customStyle="1" w:styleId="CommentTextChar">
    <w:name w:val="Comment Text Char"/>
    <w:link w:val="CommentText"/>
    <w:uiPriority w:val="99"/>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lang w:val="x-none" w:eastAsia="x-none"/>
    </w:rPr>
  </w:style>
  <w:style w:type="character" w:customStyle="1" w:styleId="Doc-text2Char">
    <w:name w:val="Doc-text2 Char"/>
    <w:link w:val="Doc-text2"/>
    <w:locked/>
    <w:rsid w:val="008D00A5"/>
    <w:rPr>
      <w:rFonts w:asciiTheme="minorHAnsi" w:eastAsiaTheme="minorEastAsia" w:hAnsiTheme="minorHAnsi" w:cstheme="minorBidi"/>
      <w:kern w:val="2"/>
      <w:sz w:val="24"/>
      <w:szCs w:val="24"/>
      <w:lang w:val="x-none" w:eastAsia="x-none"/>
      <w14:ligatures w14:val="standardContextual"/>
    </w:rPr>
  </w:style>
  <w:style w:type="character" w:customStyle="1" w:styleId="DocumentMapChar">
    <w:name w:val="Document Map Char"/>
    <w:link w:val="DocumentMap"/>
    <w:rsid w:val="008D00A5"/>
    <w:rPr>
      <w:rFonts w:ascii="Tahoma" w:eastAsiaTheme="minorEastAsia" w:hAnsi="Tahoma" w:cs="Tahoma"/>
      <w:kern w:val="2"/>
      <w:sz w:val="24"/>
      <w:szCs w:val="24"/>
      <w:shd w:val="clear" w:color="auto" w:fill="000080"/>
      <w:lang w:val="en-US" w:eastAsia="ja-JP"/>
      <w14:ligatures w14:val="standardContextual"/>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heme="minorHAnsi" w:eastAsiaTheme="minorEastAsia" w:hAnsiTheme="minorHAnsi" w:cstheme="minorBidi"/>
      <w:kern w:val="2"/>
      <w:sz w:val="24"/>
      <w:szCs w:val="24"/>
      <w:lang w:val="en-US" w:eastAsia="ja-JP"/>
      <w14:ligatures w14:val="standardContextual"/>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kern w:val="2"/>
      <w:sz w:val="16"/>
      <w:szCs w:val="24"/>
      <w:lang w:val="en-US" w:eastAsia="ja-JP"/>
      <w14:ligatures w14:val="standardContextual"/>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EC18C5"/>
    <w:pPr>
      <w:numPr>
        <w:numId w:val="115"/>
      </w:numPr>
      <w:tabs>
        <w:tab w:val="left" w:pos="0"/>
      </w:tabs>
      <w:suppressAutoHyphens/>
      <w:spacing w:after="0"/>
      <w:ind w:hanging="360"/>
    </w:pPr>
    <w:rPr>
      <w:rFonts w:eastAsia="Times New Roman" w:cstheme="minorHAnsi"/>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C2E40"/>
    <w:rPr>
      <w:rFonts w:asciiTheme="minorHAnsi" w:eastAsia="Times New Roman" w:hAnsiTheme="minorHAnsi" w:cstheme="minorHAnsi"/>
      <w:kern w:val="2"/>
      <w:lang w:val="en-US" w:eastAsia="zh-CN"/>
      <w14:ligatures w14:val="standardContextual"/>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EastAsia" w:hAnsi="Courier New" w:cstheme="minorBidi"/>
      <w:kern w:val="2"/>
      <w:sz w:val="24"/>
      <w:szCs w:val="24"/>
      <w:lang w:val="nb-NO" w:eastAsia="ja-JP"/>
      <w14:ligatures w14:val="standardContextual"/>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EastAsia" w:hAnsiTheme="minorHAnsi" w:cstheme="minorBidi"/>
      <w:kern w:val="2"/>
      <w:sz w:val="18"/>
      <w:szCs w:val="24"/>
      <w:lang w:val="x-none" w:eastAsia="x-none"/>
      <w14:ligatures w14:val="standardContextual"/>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Theme="minorHAnsi" w:eastAsiaTheme="minorEastAsia" w:hAnsiTheme="minorHAnsi" w:cstheme="minorBidi"/>
      <w:b/>
      <w:kern w:val="2"/>
      <w:sz w:val="24"/>
      <w:szCs w:val="24"/>
      <w:lang w:val="x-none" w:eastAsia="x-none"/>
      <w14:ligatures w14:val="standardContextual"/>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kern w:val="2"/>
      <w:sz w:val="18"/>
      <w:szCs w:val="24"/>
      <w:lang w:val="x-none" w:eastAsia="x-none"/>
      <w14:ligatures w14:val="standardContextual"/>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E24EB1"/>
    <w:pPr>
      <w:spacing w:before="120" w:line="264" w:lineRule="auto"/>
    </w:pPr>
    <w:rPr>
      <w:rFonts w:eastAsia="SimSun"/>
    </w:rPr>
  </w:style>
  <w:style w:type="character" w:customStyle="1" w:styleId="00TextChar">
    <w:name w:val="00_Text Char"/>
    <w:basedOn w:val="DefaultParagraphFont"/>
    <w:link w:val="00Text"/>
    <w:rsid w:val="00E24EB1"/>
    <w:rPr>
      <w:rFonts w:asciiTheme="minorHAnsi" w:eastAsia="SimSun" w:hAnsiTheme="minorHAnsi" w:cstheme="minorBidi"/>
      <w:kern w:val="2"/>
      <w:sz w:val="24"/>
      <w:szCs w:val="24"/>
      <w:lang w:val="en-US" w:eastAsia="ja-JP"/>
      <w14:ligatures w14:val="standardContextual"/>
    </w:rPr>
  </w:style>
  <w:style w:type="paragraph" w:customStyle="1" w:styleId="B1">
    <w:name w:val="B1+"/>
    <w:basedOn w:val="B10"/>
    <w:uiPriority w:val="99"/>
    <w:qFormat/>
    <w:rsid w:val="00E24EB1"/>
    <w:pPr>
      <w:numPr>
        <w:numId w:val="16"/>
      </w:numPr>
      <w:tabs>
        <w:tab w:val="clear" w:pos="737"/>
        <w:tab w:val="num" w:pos="720"/>
      </w:tabs>
      <w:spacing w:after="180"/>
      <w:ind w:left="720"/>
    </w:pPr>
  </w:style>
  <w:style w:type="paragraph" w:customStyle="1" w:styleId="B2">
    <w:name w:val="B2+"/>
    <w:basedOn w:val="B20"/>
    <w:uiPriority w:val="99"/>
    <w:qFormat/>
    <w:rsid w:val="00E24EB1"/>
    <w:pPr>
      <w:numPr>
        <w:numId w:val="17"/>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EastAsia" w:hAnsiTheme="minorHAnsi" w:cstheme="minorBidi"/>
      <w:kern w:val="2"/>
      <w:sz w:val="24"/>
      <w:szCs w:val="24"/>
      <w:lang w:val="en-US" w:eastAsia="ja-JP"/>
      <w14:ligatures w14:val="standardContextual"/>
    </w:rPr>
  </w:style>
  <w:style w:type="paragraph" w:styleId="Revision">
    <w:name w:val="Revision"/>
    <w:hidden/>
    <w:uiPriority w:val="99"/>
    <w:semiHidden/>
    <w:rsid w:val="00C67B3A"/>
    <w:rPr>
      <w:rFonts w:ascii="Arial" w:hAnsi="Arial"/>
      <w:lang w:eastAsia="zh-CN"/>
    </w:rPr>
  </w:style>
  <w:style w:type="character" w:customStyle="1" w:styleId="TALChar">
    <w:name w:val="TAL Char"/>
    <w:qFormat/>
    <w:rsid w:val="008C2A5F"/>
    <w:rPr>
      <w:rFonts w:ascii="Arial" w:hAnsi="Arial"/>
      <w:sz w:val="18"/>
    </w:rPr>
  </w:style>
  <w:style w:type="character" w:customStyle="1" w:styleId="TACChar">
    <w:name w:val="TAC Char"/>
    <w:link w:val="TAC"/>
    <w:qFormat/>
    <w:locked/>
    <w:rsid w:val="008C2A5F"/>
    <w:rPr>
      <w:rFonts w:ascii="Arial" w:hAnsi="Arial"/>
      <w:sz w:val="18"/>
      <w:lang w:val="x-none" w:eastAsia="x-none"/>
    </w:rPr>
  </w:style>
  <w:style w:type="character" w:customStyle="1" w:styleId="TAHChar">
    <w:name w:val="TAH Char"/>
    <w:qFormat/>
    <w:rsid w:val="008C2A5F"/>
    <w:rPr>
      <w:rFonts w:ascii="Arial" w:hAnsi="Arial"/>
      <w:b/>
      <w:sz w:val="18"/>
    </w:rPr>
  </w:style>
  <w:style w:type="character" w:styleId="Mention">
    <w:name w:val="Mention"/>
    <w:basedOn w:val="DefaultParagraphFont"/>
    <w:uiPriority w:val="99"/>
    <w:unhideWhenUsed/>
    <w:rsid w:val="007F2EAC"/>
    <w:rPr>
      <w:color w:val="2B579A"/>
      <w:shd w:val="clear" w:color="auto" w:fill="E1DFDD"/>
    </w:rPr>
  </w:style>
  <w:style w:type="character" w:styleId="PlaceholderText">
    <w:name w:val="Placeholder Text"/>
    <w:basedOn w:val="DefaultParagraphFont"/>
    <w:uiPriority w:val="99"/>
    <w:semiHidden/>
    <w:rsid w:val="005830A5"/>
    <w:rPr>
      <w:color w:val="808080"/>
    </w:rPr>
  </w:style>
  <w:style w:type="table" w:customStyle="1" w:styleId="TableGrid2">
    <w:name w:val="Table Grid2"/>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C34F5"/>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210FE"/>
    <w:rPr>
      <w:lang w:eastAsia="en-US"/>
    </w:rPr>
  </w:style>
  <w:style w:type="character" w:customStyle="1" w:styleId="B11">
    <w:name w:val="B1 (文字)"/>
    <w:qFormat/>
    <w:rsid w:val="005210FE"/>
    <w:rPr>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826C2"/>
    <w:rPr>
      <w:rFonts w:asciiTheme="minorHAnsi" w:eastAsiaTheme="minorEastAsia" w:hAnsiTheme="minorHAnsi" w:cstheme="minorBidi"/>
      <w:b/>
      <w:kern w:val="2"/>
      <w:sz w:val="24"/>
      <w:szCs w:val="24"/>
      <w:lang w:val="en-US"/>
      <w14:ligatures w14:val="standardContextual"/>
    </w:rPr>
  </w:style>
  <w:style w:type="character" w:customStyle="1" w:styleId="B1Char">
    <w:name w:val="B1 Char"/>
    <w:qFormat/>
    <w:rsid w:val="005826C2"/>
    <w:rPr>
      <w:rFonts w:ascii="Times New Roman" w:eastAsia="Times New Roman" w:hAnsi="Times New Roman" w:cs="Times New Roman"/>
      <w:sz w:val="20"/>
      <w:szCs w:val="20"/>
      <w:lang w:val="en-GB" w:eastAsia="en-GB"/>
    </w:rPr>
  </w:style>
  <w:style w:type="character" w:customStyle="1" w:styleId="s4">
    <w:name w:val="s4"/>
    <w:basedOn w:val="DefaultParagraphFont"/>
    <w:rsid w:val="0096025A"/>
    <w:rPr>
      <w:rFonts w:ascii="Arial" w:hAnsi="Arial" w:cs="Arial" w:hint="default"/>
      <w:b w:val="0"/>
      <w:bCs w:val="0"/>
      <w:i w:val="0"/>
      <w:iCs w:val="0"/>
      <w:color w:val="000000"/>
      <w:sz w:val="18"/>
      <w:szCs w:val="18"/>
    </w:rPr>
  </w:style>
  <w:style w:type="character" w:customStyle="1" w:styleId="s7">
    <w:name w:val="s7"/>
    <w:basedOn w:val="DefaultParagraphFont"/>
    <w:rsid w:val="0096025A"/>
    <w:rPr>
      <w:rFonts w:ascii="Arial" w:hAnsi="Arial" w:cs="Arial" w:hint="default"/>
      <w:b w:val="0"/>
      <w:bCs w:val="0"/>
      <w:i w:val="0"/>
      <w:iCs w:val="0"/>
      <w:color w:val="000000"/>
      <w:sz w:val="12"/>
      <w:szCs w:val="12"/>
    </w:rPr>
  </w:style>
  <w:style w:type="character" w:customStyle="1" w:styleId="s6">
    <w:name w:val="s6"/>
    <w:basedOn w:val="DefaultParagraphFont"/>
    <w:rsid w:val="0096025A"/>
    <w:rPr>
      <w:rFonts w:ascii="Helvetica" w:hAnsi="Helvetica" w:hint="default"/>
      <w:b w:val="0"/>
      <w:bCs w:val="0"/>
      <w:i w:val="0"/>
      <w:iCs w:val="0"/>
      <w:color w:val="000000"/>
      <w:sz w:val="18"/>
      <w:szCs w:val="18"/>
    </w:rPr>
  </w:style>
  <w:style w:type="character" w:customStyle="1" w:styleId="s5">
    <w:name w:val="s5"/>
    <w:basedOn w:val="DefaultParagraphFont"/>
    <w:rsid w:val="0096025A"/>
    <w:rPr>
      <w:rFonts w:ascii="Helvetica" w:hAnsi="Helvetica" w:hint="default"/>
      <w:b w:val="0"/>
      <w:bCs w:val="0"/>
      <w:i w:val="0"/>
      <w:iCs w:val="0"/>
      <w:color w:val="000000"/>
      <w:sz w:val="18"/>
      <w:szCs w:val="18"/>
    </w:rPr>
  </w:style>
  <w:style w:type="character" w:customStyle="1" w:styleId="s3">
    <w:name w:val="s3"/>
    <w:basedOn w:val="DefaultParagraphFont"/>
    <w:rsid w:val="0096025A"/>
    <w:rPr>
      <w:rFonts w:ascii="Arial" w:hAnsi="Arial" w:cs="Arial" w:hint="default"/>
      <w:b w:val="0"/>
      <w:bCs w:val="0"/>
      <w:i w:val="0"/>
      <w:iCs w:val="0"/>
      <w:color w:val="000000"/>
      <w:sz w:val="18"/>
      <w:szCs w:val="18"/>
    </w:rPr>
  </w:style>
  <w:style w:type="paragraph" w:styleId="NormalWeb">
    <w:name w:val="Normal (Web)"/>
    <w:basedOn w:val="Normal"/>
    <w:uiPriority w:val="99"/>
    <w:unhideWhenUsed/>
    <w:rsid w:val="0096025A"/>
    <w:pPr>
      <w:spacing w:before="100" w:beforeAutospacing="1" w:after="100" w:afterAutospacing="1"/>
    </w:pPr>
  </w:style>
  <w:style w:type="character" w:styleId="UnresolvedMention">
    <w:name w:val="Unresolved Mention"/>
    <w:basedOn w:val="DefaultParagraphFont"/>
    <w:uiPriority w:val="99"/>
    <w:unhideWhenUsed/>
    <w:rsid w:val="007C58B0"/>
    <w:rPr>
      <w:color w:val="605E5C"/>
      <w:shd w:val="clear" w:color="auto" w:fill="E1DFDD"/>
    </w:rPr>
  </w:style>
  <w:style w:type="table" w:customStyle="1" w:styleId="TableGrid10">
    <w:name w:val="TableGrid1"/>
    <w:basedOn w:val="TableNormal"/>
    <w:uiPriority w:val="59"/>
    <w:qFormat/>
    <w:rsid w:val="00A46F37"/>
    <w:rPr>
      <w:rFonts w:ascii="Times New Roman" w:eastAsia="SimSun"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
    <w:name w:val="table"/>
    <w:basedOn w:val="Normal"/>
    <w:next w:val="Normal"/>
    <w:qFormat/>
    <w:rsid w:val="00A46F37"/>
    <w:pPr>
      <w:numPr>
        <w:numId w:val="65"/>
      </w:numPr>
      <w:jc w:val="center"/>
    </w:pPr>
  </w:style>
  <w:style w:type="table" w:customStyle="1" w:styleId="TableGrid4">
    <w:name w:val="Table Grid4"/>
    <w:basedOn w:val="TableNormal"/>
    <w:next w:val="TableGrid"/>
    <w:uiPriority w:val="39"/>
    <w:qFormat/>
    <w:rsid w:val="0038686F"/>
    <w:rPr>
      <w:rFonts w:ascii="Wingdings" w:eastAsia="Wingdings" w:hAnsi="Wingdings" w:cs="Malgun Gothic"/>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2883"/>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00470"/>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B00470"/>
  </w:style>
  <w:style w:type="character" w:customStyle="1" w:styleId="eop">
    <w:name w:val="eop"/>
    <w:basedOn w:val="DefaultParagraphFont"/>
    <w:rsid w:val="00B00470"/>
  </w:style>
  <w:style w:type="character" w:customStyle="1" w:styleId="tabchar">
    <w:name w:val="tabchar"/>
    <w:basedOn w:val="DefaultParagraphFont"/>
    <w:rsid w:val="00B0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3074">
      <w:bodyDiv w:val="1"/>
      <w:marLeft w:val="0"/>
      <w:marRight w:val="0"/>
      <w:marTop w:val="0"/>
      <w:marBottom w:val="0"/>
      <w:divBdr>
        <w:top w:val="none" w:sz="0" w:space="0" w:color="auto"/>
        <w:left w:val="none" w:sz="0" w:space="0" w:color="auto"/>
        <w:bottom w:val="none" w:sz="0" w:space="0" w:color="auto"/>
        <w:right w:val="none" w:sz="0" w:space="0" w:color="auto"/>
      </w:divBdr>
    </w:div>
    <w:div w:id="163281912">
      <w:bodyDiv w:val="1"/>
      <w:marLeft w:val="0"/>
      <w:marRight w:val="0"/>
      <w:marTop w:val="0"/>
      <w:marBottom w:val="0"/>
      <w:divBdr>
        <w:top w:val="none" w:sz="0" w:space="0" w:color="auto"/>
        <w:left w:val="none" w:sz="0" w:space="0" w:color="auto"/>
        <w:bottom w:val="none" w:sz="0" w:space="0" w:color="auto"/>
        <w:right w:val="none" w:sz="0" w:space="0" w:color="auto"/>
      </w:divBdr>
    </w:div>
    <w:div w:id="229969984">
      <w:bodyDiv w:val="1"/>
      <w:marLeft w:val="0"/>
      <w:marRight w:val="0"/>
      <w:marTop w:val="0"/>
      <w:marBottom w:val="0"/>
      <w:divBdr>
        <w:top w:val="none" w:sz="0" w:space="0" w:color="auto"/>
        <w:left w:val="none" w:sz="0" w:space="0" w:color="auto"/>
        <w:bottom w:val="none" w:sz="0" w:space="0" w:color="auto"/>
        <w:right w:val="none" w:sz="0" w:space="0" w:color="auto"/>
      </w:divBdr>
    </w:div>
    <w:div w:id="231474387">
      <w:bodyDiv w:val="1"/>
      <w:marLeft w:val="0"/>
      <w:marRight w:val="0"/>
      <w:marTop w:val="0"/>
      <w:marBottom w:val="0"/>
      <w:divBdr>
        <w:top w:val="none" w:sz="0" w:space="0" w:color="auto"/>
        <w:left w:val="none" w:sz="0" w:space="0" w:color="auto"/>
        <w:bottom w:val="none" w:sz="0" w:space="0" w:color="auto"/>
        <w:right w:val="none" w:sz="0" w:space="0" w:color="auto"/>
      </w:divBdr>
    </w:div>
    <w:div w:id="253247069">
      <w:bodyDiv w:val="1"/>
      <w:marLeft w:val="0"/>
      <w:marRight w:val="0"/>
      <w:marTop w:val="0"/>
      <w:marBottom w:val="0"/>
      <w:divBdr>
        <w:top w:val="none" w:sz="0" w:space="0" w:color="auto"/>
        <w:left w:val="none" w:sz="0" w:space="0" w:color="auto"/>
        <w:bottom w:val="none" w:sz="0" w:space="0" w:color="auto"/>
        <w:right w:val="none" w:sz="0" w:space="0" w:color="auto"/>
      </w:divBdr>
      <w:divsChild>
        <w:div w:id="1012103227">
          <w:marLeft w:val="1267"/>
          <w:marRight w:val="0"/>
          <w:marTop w:val="0"/>
          <w:marBottom w:val="160"/>
          <w:divBdr>
            <w:top w:val="none" w:sz="0" w:space="0" w:color="auto"/>
            <w:left w:val="none" w:sz="0" w:space="0" w:color="auto"/>
            <w:bottom w:val="none" w:sz="0" w:space="0" w:color="auto"/>
            <w:right w:val="none" w:sz="0" w:space="0" w:color="auto"/>
          </w:divBdr>
        </w:div>
        <w:div w:id="1128009768">
          <w:marLeft w:val="547"/>
          <w:marRight w:val="0"/>
          <w:marTop w:val="0"/>
          <w:marBottom w:val="160"/>
          <w:divBdr>
            <w:top w:val="none" w:sz="0" w:space="0" w:color="auto"/>
            <w:left w:val="none" w:sz="0" w:space="0" w:color="auto"/>
            <w:bottom w:val="none" w:sz="0" w:space="0" w:color="auto"/>
            <w:right w:val="none" w:sz="0" w:space="0" w:color="auto"/>
          </w:divBdr>
        </w:div>
        <w:div w:id="1305965079">
          <w:marLeft w:val="1267"/>
          <w:marRight w:val="0"/>
          <w:marTop w:val="0"/>
          <w:marBottom w:val="160"/>
          <w:divBdr>
            <w:top w:val="none" w:sz="0" w:space="0" w:color="auto"/>
            <w:left w:val="none" w:sz="0" w:space="0" w:color="auto"/>
            <w:bottom w:val="none" w:sz="0" w:space="0" w:color="auto"/>
            <w:right w:val="none" w:sz="0" w:space="0" w:color="auto"/>
          </w:divBdr>
        </w:div>
        <w:div w:id="2079938338">
          <w:marLeft w:val="547"/>
          <w:marRight w:val="0"/>
          <w:marTop w:val="0"/>
          <w:marBottom w:val="160"/>
          <w:divBdr>
            <w:top w:val="none" w:sz="0" w:space="0" w:color="auto"/>
            <w:left w:val="none" w:sz="0" w:space="0" w:color="auto"/>
            <w:bottom w:val="none" w:sz="0" w:space="0" w:color="auto"/>
            <w:right w:val="none" w:sz="0" w:space="0" w:color="auto"/>
          </w:divBdr>
        </w:div>
      </w:divsChild>
    </w:div>
    <w:div w:id="259072152">
      <w:bodyDiv w:val="1"/>
      <w:marLeft w:val="0"/>
      <w:marRight w:val="0"/>
      <w:marTop w:val="0"/>
      <w:marBottom w:val="0"/>
      <w:divBdr>
        <w:top w:val="none" w:sz="0" w:space="0" w:color="auto"/>
        <w:left w:val="none" w:sz="0" w:space="0" w:color="auto"/>
        <w:bottom w:val="none" w:sz="0" w:space="0" w:color="auto"/>
        <w:right w:val="none" w:sz="0" w:space="0" w:color="auto"/>
      </w:divBdr>
    </w:div>
    <w:div w:id="261911673">
      <w:bodyDiv w:val="1"/>
      <w:marLeft w:val="0"/>
      <w:marRight w:val="0"/>
      <w:marTop w:val="0"/>
      <w:marBottom w:val="0"/>
      <w:divBdr>
        <w:top w:val="none" w:sz="0" w:space="0" w:color="auto"/>
        <w:left w:val="none" w:sz="0" w:space="0" w:color="auto"/>
        <w:bottom w:val="none" w:sz="0" w:space="0" w:color="auto"/>
        <w:right w:val="none" w:sz="0" w:space="0" w:color="auto"/>
      </w:divBdr>
    </w:div>
    <w:div w:id="266625384">
      <w:bodyDiv w:val="1"/>
      <w:marLeft w:val="0"/>
      <w:marRight w:val="0"/>
      <w:marTop w:val="0"/>
      <w:marBottom w:val="0"/>
      <w:divBdr>
        <w:top w:val="none" w:sz="0" w:space="0" w:color="auto"/>
        <w:left w:val="none" w:sz="0" w:space="0" w:color="auto"/>
        <w:bottom w:val="none" w:sz="0" w:space="0" w:color="auto"/>
        <w:right w:val="none" w:sz="0" w:space="0" w:color="auto"/>
      </w:divBdr>
    </w:div>
    <w:div w:id="291862081">
      <w:bodyDiv w:val="1"/>
      <w:marLeft w:val="0"/>
      <w:marRight w:val="0"/>
      <w:marTop w:val="0"/>
      <w:marBottom w:val="0"/>
      <w:divBdr>
        <w:top w:val="none" w:sz="0" w:space="0" w:color="auto"/>
        <w:left w:val="none" w:sz="0" w:space="0" w:color="auto"/>
        <w:bottom w:val="none" w:sz="0" w:space="0" w:color="auto"/>
        <w:right w:val="none" w:sz="0" w:space="0" w:color="auto"/>
      </w:divBdr>
    </w:div>
    <w:div w:id="442530469">
      <w:bodyDiv w:val="1"/>
      <w:marLeft w:val="0"/>
      <w:marRight w:val="0"/>
      <w:marTop w:val="0"/>
      <w:marBottom w:val="0"/>
      <w:divBdr>
        <w:top w:val="none" w:sz="0" w:space="0" w:color="auto"/>
        <w:left w:val="none" w:sz="0" w:space="0" w:color="auto"/>
        <w:bottom w:val="none" w:sz="0" w:space="0" w:color="auto"/>
        <w:right w:val="none" w:sz="0" w:space="0" w:color="auto"/>
      </w:divBdr>
    </w:div>
    <w:div w:id="469515272">
      <w:bodyDiv w:val="1"/>
      <w:marLeft w:val="0"/>
      <w:marRight w:val="0"/>
      <w:marTop w:val="0"/>
      <w:marBottom w:val="0"/>
      <w:divBdr>
        <w:top w:val="none" w:sz="0" w:space="0" w:color="auto"/>
        <w:left w:val="none" w:sz="0" w:space="0" w:color="auto"/>
        <w:bottom w:val="none" w:sz="0" w:space="0" w:color="auto"/>
        <w:right w:val="none" w:sz="0" w:space="0" w:color="auto"/>
      </w:divBdr>
    </w:div>
    <w:div w:id="500003696">
      <w:bodyDiv w:val="1"/>
      <w:marLeft w:val="0"/>
      <w:marRight w:val="0"/>
      <w:marTop w:val="0"/>
      <w:marBottom w:val="0"/>
      <w:divBdr>
        <w:top w:val="none" w:sz="0" w:space="0" w:color="auto"/>
        <w:left w:val="none" w:sz="0" w:space="0" w:color="auto"/>
        <w:bottom w:val="none" w:sz="0" w:space="0" w:color="auto"/>
        <w:right w:val="none" w:sz="0" w:space="0" w:color="auto"/>
      </w:divBdr>
    </w:div>
    <w:div w:id="534855453">
      <w:bodyDiv w:val="1"/>
      <w:marLeft w:val="0"/>
      <w:marRight w:val="0"/>
      <w:marTop w:val="0"/>
      <w:marBottom w:val="0"/>
      <w:divBdr>
        <w:top w:val="none" w:sz="0" w:space="0" w:color="auto"/>
        <w:left w:val="none" w:sz="0" w:space="0" w:color="auto"/>
        <w:bottom w:val="none" w:sz="0" w:space="0" w:color="auto"/>
        <w:right w:val="none" w:sz="0" w:space="0" w:color="auto"/>
      </w:divBdr>
      <w:divsChild>
        <w:div w:id="1522549001">
          <w:marLeft w:val="0"/>
          <w:marRight w:val="0"/>
          <w:marTop w:val="0"/>
          <w:marBottom w:val="0"/>
          <w:divBdr>
            <w:top w:val="none" w:sz="0" w:space="0" w:color="auto"/>
            <w:left w:val="none" w:sz="0" w:space="0" w:color="auto"/>
            <w:bottom w:val="none" w:sz="0" w:space="0" w:color="auto"/>
            <w:right w:val="none" w:sz="0" w:space="0" w:color="auto"/>
          </w:divBdr>
          <w:divsChild>
            <w:div w:id="529758292">
              <w:marLeft w:val="0"/>
              <w:marRight w:val="0"/>
              <w:marTop w:val="0"/>
              <w:marBottom w:val="0"/>
              <w:divBdr>
                <w:top w:val="none" w:sz="0" w:space="0" w:color="auto"/>
                <w:left w:val="none" w:sz="0" w:space="0" w:color="auto"/>
                <w:bottom w:val="none" w:sz="0" w:space="0" w:color="auto"/>
                <w:right w:val="none" w:sz="0" w:space="0" w:color="auto"/>
              </w:divBdr>
              <w:divsChild>
                <w:div w:id="2097090822">
                  <w:marLeft w:val="0"/>
                  <w:marRight w:val="0"/>
                  <w:marTop w:val="0"/>
                  <w:marBottom w:val="0"/>
                  <w:divBdr>
                    <w:top w:val="none" w:sz="0" w:space="0" w:color="auto"/>
                    <w:left w:val="none" w:sz="0" w:space="0" w:color="auto"/>
                    <w:bottom w:val="none" w:sz="0" w:space="0" w:color="auto"/>
                    <w:right w:val="none" w:sz="0" w:space="0" w:color="auto"/>
                  </w:divBdr>
                  <w:divsChild>
                    <w:div w:id="96373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344890">
      <w:bodyDiv w:val="1"/>
      <w:marLeft w:val="0"/>
      <w:marRight w:val="0"/>
      <w:marTop w:val="0"/>
      <w:marBottom w:val="0"/>
      <w:divBdr>
        <w:top w:val="none" w:sz="0" w:space="0" w:color="auto"/>
        <w:left w:val="none" w:sz="0" w:space="0" w:color="auto"/>
        <w:bottom w:val="none" w:sz="0" w:space="0" w:color="auto"/>
        <w:right w:val="none" w:sz="0" w:space="0" w:color="auto"/>
      </w:divBdr>
      <w:divsChild>
        <w:div w:id="772629465">
          <w:marLeft w:val="0"/>
          <w:marRight w:val="0"/>
          <w:marTop w:val="0"/>
          <w:marBottom w:val="0"/>
          <w:divBdr>
            <w:top w:val="none" w:sz="0" w:space="0" w:color="auto"/>
            <w:left w:val="none" w:sz="0" w:space="0" w:color="auto"/>
            <w:bottom w:val="none" w:sz="0" w:space="0" w:color="auto"/>
            <w:right w:val="none" w:sz="0" w:space="0" w:color="auto"/>
          </w:divBdr>
          <w:divsChild>
            <w:div w:id="173265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239658">
      <w:bodyDiv w:val="1"/>
      <w:marLeft w:val="0"/>
      <w:marRight w:val="0"/>
      <w:marTop w:val="0"/>
      <w:marBottom w:val="0"/>
      <w:divBdr>
        <w:top w:val="none" w:sz="0" w:space="0" w:color="auto"/>
        <w:left w:val="none" w:sz="0" w:space="0" w:color="auto"/>
        <w:bottom w:val="none" w:sz="0" w:space="0" w:color="auto"/>
        <w:right w:val="none" w:sz="0" w:space="0" w:color="auto"/>
      </w:divBdr>
    </w:div>
    <w:div w:id="682172139">
      <w:bodyDiv w:val="1"/>
      <w:marLeft w:val="0"/>
      <w:marRight w:val="0"/>
      <w:marTop w:val="0"/>
      <w:marBottom w:val="0"/>
      <w:divBdr>
        <w:top w:val="none" w:sz="0" w:space="0" w:color="auto"/>
        <w:left w:val="none" w:sz="0" w:space="0" w:color="auto"/>
        <w:bottom w:val="none" w:sz="0" w:space="0" w:color="auto"/>
        <w:right w:val="none" w:sz="0" w:space="0" w:color="auto"/>
      </w:divBdr>
    </w:div>
    <w:div w:id="708722360">
      <w:bodyDiv w:val="1"/>
      <w:marLeft w:val="0"/>
      <w:marRight w:val="0"/>
      <w:marTop w:val="0"/>
      <w:marBottom w:val="0"/>
      <w:divBdr>
        <w:top w:val="none" w:sz="0" w:space="0" w:color="auto"/>
        <w:left w:val="none" w:sz="0" w:space="0" w:color="auto"/>
        <w:bottom w:val="none" w:sz="0" w:space="0" w:color="auto"/>
        <w:right w:val="none" w:sz="0" w:space="0" w:color="auto"/>
      </w:divBdr>
    </w:div>
    <w:div w:id="715079090">
      <w:bodyDiv w:val="1"/>
      <w:marLeft w:val="0"/>
      <w:marRight w:val="0"/>
      <w:marTop w:val="0"/>
      <w:marBottom w:val="0"/>
      <w:divBdr>
        <w:top w:val="none" w:sz="0" w:space="0" w:color="auto"/>
        <w:left w:val="none" w:sz="0" w:space="0" w:color="auto"/>
        <w:bottom w:val="none" w:sz="0" w:space="0" w:color="auto"/>
        <w:right w:val="none" w:sz="0" w:space="0" w:color="auto"/>
      </w:divBdr>
    </w:div>
    <w:div w:id="718164971">
      <w:bodyDiv w:val="1"/>
      <w:marLeft w:val="0"/>
      <w:marRight w:val="0"/>
      <w:marTop w:val="0"/>
      <w:marBottom w:val="0"/>
      <w:divBdr>
        <w:top w:val="none" w:sz="0" w:space="0" w:color="auto"/>
        <w:left w:val="none" w:sz="0" w:space="0" w:color="auto"/>
        <w:bottom w:val="none" w:sz="0" w:space="0" w:color="auto"/>
        <w:right w:val="none" w:sz="0" w:space="0" w:color="auto"/>
      </w:divBdr>
    </w:div>
    <w:div w:id="785275765">
      <w:bodyDiv w:val="1"/>
      <w:marLeft w:val="0"/>
      <w:marRight w:val="0"/>
      <w:marTop w:val="0"/>
      <w:marBottom w:val="0"/>
      <w:divBdr>
        <w:top w:val="none" w:sz="0" w:space="0" w:color="auto"/>
        <w:left w:val="none" w:sz="0" w:space="0" w:color="auto"/>
        <w:bottom w:val="none" w:sz="0" w:space="0" w:color="auto"/>
        <w:right w:val="none" w:sz="0" w:space="0" w:color="auto"/>
      </w:divBdr>
    </w:div>
    <w:div w:id="891501603">
      <w:bodyDiv w:val="1"/>
      <w:marLeft w:val="0"/>
      <w:marRight w:val="0"/>
      <w:marTop w:val="0"/>
      <w:marBottom w:val="0"/>
      <w:divBdr>
        <w:top w:val="none" w:sz="0" w:space="0" w:color="auto"/>
        <w:left w:val="none" w:sz="0" w:space="0" w:color="auto"/>
        <w:bottom w:val="none" w:sz="0" w:space="0" w:color="auto"/>
        <w:right w:val="none" w:sz="0" w:space="0" w:color="auto"/>
      </w:divBdr>
    </w:div>
    <w:div w:id="1002926152">
      <w:bodyDiv w:val="1"/>
      <w:marLeft w:val="0"/>
      <w:marRight w:val="0"/>
      <w:marTop w:val="0"/>
      <w:marBottom w:val="0"/>
      <w:divBdr>
        <w:top w:val="none" w:sz="0" w:space="0" w:color="auto"/>
        <w:left w:val="none" w:sz="0" w:space="0" w:color="auto"/>
        <w:bottom w:val="none" w:sz="0" w:space="0" w:color="auto"/>
        <w:right w:val="none" w:sz="0" w:space="0" w:color="auto"/>
      </w:divBdr>
    </w:div>
    <w:div w:id="1016662884">
      <w:bodyDiv w:val="1"/>
      <w:marLeft w:val="0"/>
      <w:marRight w:val="0"/>
      <w:marTop w:val="0"/>
      <w:marBottom w:val="0"/>
      <w:divBdr>
        <w:top w:val="none" w:sz="0" w:space="0" w:color="auto"/>
        <w:left w:val="none" w:sz="0" w:space="0" w:color="auto"/>
        <w:bottom w:val="none" w:sz="0" w:space="0" w:color="auto"/>
        <w:right w:val="none" w:sz="0" w:space="0" w:color="auto"/>
      </w:divBdr>
    </w:div>
    <w:div w:id="1111390092">
      <w:bodyDiv w:val="1"/>
      <w:marLeft w:val="0"/>
      <w:marRight w:val="0"/>
      <w:marTop w:val="0"/>
      <w:marBottom w:val="0"/>
      <w:divBdr>
        <w:top w:val="none" w:sz="0" w:space="0" w:color="auto"/>
        <w:left w:val="none" w:sz="0" w:space="0" w:color="auto"/>
        <w:bottom w:val="none" w:sz="0" w:space="0" w:color="auto"/>
        <w:right w:val="none" w:sz="0" w:space="0" w:color="auto"/>
      </w:divBdr>
      <w:divsChild>
        <w:div w:id="436678684">
          <w:marLeft w:val="1080"/>
          <w:marRight w:val="0"/>
          <w:marTop w:val="0"/>
          <w:marBottom w:val="0"/>
          <w:divBdr>
            <w:top w:val="none" w:sz="0" w:space="0" w:color="auto"/>
            <w:left w:val="none" w:sz="0" w:space="0" w:color="auto"/>
            <w:bottom w:val="none" w:sz="0" w:space="0" w:color="auto"/>
            <w:right w:val="none" w:sz="0" w:space="0" w:color="auto"/>
          </w:divBdr>
        </w:div>
      </w:divsChild>
    </w:div>
    <w:div w:id="1224369964">
      <w:bodyDiv w:val="1"/>
      <w:marLeft w:val="0"/>
      <w:marRight w:val="0"/>
      <w:marTop w:val="0"/>
      <w:marBottom w:val="0"/>
      <w:divBdr>
        <w:top w:val="none" w:sz="0" w:space="0" w:color="auto"/>
        <w:left w:val="none" w:sz="0" w:space="0" w:color="auto"/>
        <w:bottom w:val="none" w:sz="0" w:space="0" w:color="auto"/>
        <w:right w:val="none" w:sz="0" w:space="0" w:color="auto"/>
      </w:divBdr>
    </w:div>
    <w:div w:id="1226260906">
      <w:bodyDiv w:val="1"/>
      <w:marLeft w:val="0"/>
      <w:marRight w:val="0"/>
      <w:marTop w:val="0"/>
      <w:marBottom w:val="0"/>
      <w:divBdr>
        <w:top w:val="none" w:sz="0" w:space="0" w:color="auto"/>
        <w:left w:val="none" w:sz="0" w:space="0" w:color="auto"/>
        <w:bottom w:val="none" w:sz="0" w:space="0" w:color="auto"/>
        <w:right w:val="none" w:sz="0" w:space="0" w:color="auto"/>
      </w:divBdr>
    </w:div>
    <w:div w:id="1287393687">
      <w:bodyDiv w:val="1"/>
      <w:marLeft w:val="0"/>
      <w:marRight w:val="0"/>
      <w:marTop w:val="0"/>
      <w:marBottom w:val="0"/>
      <w:divBdr>
        <w:top w:val="none" w:sz="0" w:space="0" w:color="auto"/>
        <w:left w:val="none" w:sz="0" w:space="0" w:color="auto"/>
        <w:bottom w:val="none" w:sz="0" w:space="0" w:color="auto"/>
        <w:right w:val="none" w:sz="0" w:space="0" w:color="auto"/>
      </w:divBdr>
    </w:div>
    <w:div w:id="1437285101">
      <w:bodyDiv w:val="1"/>
      <w:marLeft w:val="0"/>
      <w:marRight w:val="0"/>
      <w:marTop w:val="0"/>
      <w:marBottom w:val="0"/>
      <w:divBdr>
        <w:top w:val="none" w:sz="0" w:space="0" w:color="auto"/>
        <w:left w:val="none" w:sz="0" w:space="0" w:color="auto"/>
        <w:bottom w:val="none" w:sz="0" w:space="0" w:color="auto"/>
        <w:right w:val="none" w:sz="0" w:space="0" w:color="auto"/>
      </w:divBdr>
    </w:div>
    <w:div w:id="1523669546">
      <w:bodyDiv w:val="1"/>
      <w:marLeft w:val="0"/>
      <w:marRight w:val="0"/>
      <w:marTop w:val="0"/>
      <w:marBottom w:val="0"/>
      <w:divBdr>
        <w:top w:val="none" w:sz="0" w:space="0" w:color="auto"/>
        <w:left w:val="none" w:sz="0" w:space="0" w:color="auto"/>
        <w:bottom w:val="none" w:sz="0" w:space="0" w:color="auto"/>
        <w:right w:val="none" w:sz="0" w:space="0" w:color="auto"/>
      </w:divBdr>
    </w:div>
    <w:div w:id="1537816757">
      <w:bodyDiv w:val="1"/>
      <w:marLeft w:val="0"/>
      <w:marRight w:val="0"/>
      <w:marTop w:val="0"/>
      <w:marBottom w:val="0"/>
      <w:divBdr>
        <w:top w:val="none" w:sz="0" w:space="0" w:color="auto"/>
        <w:left w:val="none" w:sz="0" w:space="0" w:color="auto"/>
        <w:bottom w:val="none" w:sz="0" w:space="0" w:color="auto"/>
        <w:right w:val="none" w:sz="0" w:space="0" w:color="auto"/>
      </w:divBdr>
    </w:div>
    <w:div w:id="1539706772">
      <w:bodyDiv w:val="1"/>
      <w:marLeft w:val="0"/>
      <w:marRight w:val="0"/>
      <w:marTop w:val="0"/>
      <w:marBottom w:val="0"/>
      <w:divBdr>
        <w:top w:val="none" w:sz="0" w:space="0" w:color="auto"/>
        <w:left w:val="none" w:sz="0" w:space="0" w:color="auto"/>
        <w:bottom w:val="none" w:sz="0" w:space="0" w:color="auto"/>
        <w:right w:val="none" w:sz="0" w:space="0" w:color="auto"/>
      </w:divBdr>
      <w:divsChild>
        <w:div w:id="1301694922">
          <w:marLeft w:val="1080"/>
          <w:marRight w:val="0"/>
          <w:marTop w:val="0"/>
          <w:marBottom w:val="0"/>
          <w:divBdr>
            <w:top w:val="none" w:sz="0" w:space="0" w:color="auto"/>
            <w:left w:val="none" w:sz="0" w:space="0" w:color="auto"/>
            <w:bottom w:val="none" w:sz="0" w:space="0" w:color="auto"/>
            <w:right w:val="none" w:sz="0" w:space="0" w:color="auto"/>
          </w:divBdr>
        </w:div>
      </w:divsChild>
    </w:div>
    <w:div w:id="1653486778">
      <w:bodyDiv w:val="1"/>
      <w:marLeft w:val="0"/>
      <w:marRight w:val="0"/>
      <w:marTop w:val="0"/>
      <w:marBottom w:val="0"/>
      <w:divBdr>
        <w:top w:val="none" w:sz="0" w:space="0" w:color="auto"/>
        <w:left w:val="none" w:sz="0" w:space="0" w:color="auto"/>
        <w:bottom w:val="none" w:sz="0" w:space="0" w:color="auto"/>
        <w:right w:val="none" w:sz="0" w:space="0" w:color="auto"/>
      </w:divBdr>
      <w:divsChild>
        <w:div w:id="68816058">
          <w:marLeft w:val="0"/>
          <w:marRight w:val="0"/>
          <w:marTop w:val="0"/>
          <w:marBottom w:val="0"/>
          <w:divBdr>
            <w:top w:val="none" w:sz="0" w:space="0" w:color="auto"/>
            <w:left w:val="none" w:sz="0" w:space="0" w:color="auto"/>
            <w:bottom w:val="none" w:sz="0" w:space="0" w:color="auto"/>
            <w:right w:val="none" w:sz="0" w:space="0" w:color="auto"/>
          </w:divBdr>
        </w:div>
        <w:div w:id="516894760">
          <w:marLeft w:val="0"/>
          <w:marRight w:val="0"/>
          <w:marTop w:val="0"/>
          <w:marBottom w:val="0"/>
          <w:divBdr>
            <w:top w:val="none" w:sz="0" w:space="0" w:color="auto"/>
            <w:left w:val="none" w:sz="0" w:space="0" w:color="auto"/>
            <w:bottom w:val="none" w:sz="0" w:space="0" w:color="auto"/>
            <w:right w:val="none" w:sz="0" w:space="0" w:color="auto"/>
          </w:divBdr>
        </w:div>
        <w:div w:id="1014382225">
          <w:marLeft w:val="0"/>
          <w:marRight w:val="0"/>
          <w:marTop w:val="0"/>
          <w:marBottom w:val="0"/>
          <w:divBdr>
            <w:top w:val="none" w:sz="0" w:space="0" w:color="auto"/>
            <w:left w:val="none" w:sz="0" w:space="0" w:color="auto"/>
            <w:bottom w:val="none" w:sz="0" w:space="0" w:color="auto"/>
            <w:right w:val="none" w:sz="0" w:space="0" w:color="auto"/>
          </w:divBdr>
        </w:div>
        <w:div w:id="1304775386">
          <w:marLeft w:val="0"/>
          <w:marRight w:val="0"/>
          <w:marTop w:val="0"/>
          <w:marBottom w:val="0"/>
          <w:divBdr>
            <w:top w:val="none" w:sz="0" w:space="0" w:color="auto"/>
            <w:left w:val="none" w:sz="0" w:space="0" w:color="auto"/>
            <w:bottom w:val="none" w:sz="0" w:space="0" w:color="auto"/>
            <w:right w:val="none" w:sz="0" w:space="0" w:color="auto"/>
          </w:divBdr>
        </w:div>
        <w:div w:id="1433358568">
          <w:marLeft w:val="0"/>
          <w:marRight w:val="0"/>
          <w:marTop w:val="0"/>
          <w:marBottom w:val="0"/>
          <w:divBdr>
            <w:top w:val="none" w:sz="0" w:space="0" w:color="auto"/>
            <w:left w:val="none" w:sz="0" w:space="0" w:color="auto"/>
            <w:bottom w:val="none" w:sz="0" w:space="0" w:color="auto"/>
            <w:right w:val="none" w:sz="0" w:space="0" w:color="auto"/>
          </w:divBdr>
        </w:div>
      </w:divsChild>
    </w:div>
    <w:div w:id="1678844680">
      <w:bodyDiv w:val="1"/>
      <w:marLeft w:val="0"/>
      <w:marRight w:val="0"/>
      <w:marTop w:val="0"/>
      <w:marBottom w:val="0"/>
      <w:divBdr>
        <w:top w:val="none" w:sz="0" w:space="0" w:color="auto"/>
        <w:left w:val="none" w:sz="0" w:space="0" w:color="auto"/>
        <w:bottom w:val="none" w:sz="0" w:space="0" w:color="auto"/>
        <w:right w:val="none" w:sz="0" w:space="0" w:color="auto"/>
      </w:divBdr>
      <w:divsChild>
        <w:div w:id="351104177">
          <w:marLeft w:val="0"/>
          <w:marRight w:val="0"/>
          <w:marTop w:val="0"/>
          <w:marBottom w:val="0"/>
          <w:divBdr>
            <w:top w:val="none" w:sz="0" w:space="0" w:color="auto"/>
            <w:left w:val="none" w:sz="0" w:space="0" w:color="auto"/>
            <w:bottom w:val="none" w:sz="0" w:space="0" w:color="auto"/>
            <w:right w:val="none" w:sz="0" w:space="0" w:color="auto"/>
          </w:divBdr>
        </w:div>
        <w:div w:id="1041397427">
          <w:marLeft w:val="0"/>
          <w:marRight w:val="0"/>
          <w:marTop w:val="0"/>
          <w:marBottom w:val="0"/>
          <w:divBdr>
            <w:top w:val="none" w:sz="0" w:space="0" w:color="auto"/>
            <w:left w:val="none" w:sz="0" w:space="0" w:color="auto"/>
            <w:bottom w:val="none" w:sz="0" w:space="0" w:color="auto"/>
            <w:right w:val="none" w:sz="0" w:space="0" w:color="auto"/>
          </w:divBdr>
        </w:div>
        <w:div w:id="1463842575">
          <w:marLeft w:val="0"/>
          <w:marRight w:val="0"/>
          <w:marTop w:val="0"/>
          <w:marBottom w:val="0"/>
          <w:divBdr>
            <w:top w:val="none" w:sz="0" w:space="0" w:color="auto"/>
            <w:left w:val="none" w:sz="0" w:space="0" w:color="auto"/>
            <w:bottom w:val="none" w:sz="0" w:space="0" w:color="auto"/>
            <w:right w:val="none" w:sz="0" w:space="0" w:color="auto"/>
          </w:divBdr>
        </w:div>
        <w:div w:id="1585336587">
          <w:marLeft w:val="0"/>
          <w:marRight w:val="0"/>
          <w:marTop w:val="0"/>
          <w:marBottom w:val="0"/>
          <w:divBdr>
            <w:top w:val="none" w:sz="0" w:space="0" w:color="auto"/>
            <w:left w:val="none" w:sz="0" w:space="0" w:color="auto"/>
            <w:bottom w:val="none" w:sz="0" w:space="0" w:color="auto"/>
            <w:right w:val="none" w:sz="0" w:space="0" w:color="auto"/>
          </w:divBdr>
        </w:div>
        <w:div w:id="1758164746">
          <w:marLeft w:val="0"/>
          <w:marRight w:val="0"/>
          <w:marTop w:val="0"/>
          <w:marBottom w:val="0"/>
          <w:divBdr>
            <w:top w:val="none" w:sz="0" w:space="0" w:color="auto"/>
            <w:left w:val="none" w:sz="0" w:space="0" w:color="auto"/>
            <w:bottom w:val="none" w:sz="0" w:space="0" w:color="auto"/>
            <w:right w:val="none" w:sz="0" w:space="0" w:color="auto"/>
          </w:divBdr>
        </w:div>
      </w:divsChild>
    </w:div>
    <w:div w:id="1704937127">
      <w:bodyDiv w:val="1"/>
      <w:marLeft w:val="0"/>
      <w:marRight w:val="0"/>
      <w:marTop w:val="0"/>
      <w:marBottom w:val="0"/>
      <w:divBdr>
        <w:top w:val="none" w:sz="0" w:space="0" w:color="auto"/>
        <w:left w:val="none" w:sz="0" w:space="0" w:color="auto"/>
        <w:bottom w:val="none" w:sz="0" w:space="0" w:color="auto"/>
        <w:right w:val="none" w:sz="0" w:space="0" w:color="auto"/>
      </w:divBdr>
      <w:divsChild>
        <w:div w:id="532615609">
          <w:marLeft w:val="0"/>
          <w:marRight w:val="0"/>
          <w:marTop w:val="0"/>
          <w:marBottom w:val="0"/>
          <w:divBdr>
            <w:top w:val="none" w:sz="0" w:space="0" w:color="auto"/>
            <w:left w:val="none" w:sz="0" w:space="0" w:color="auto"/>
            <w:bottom w:val="none" w:sz="0" w:space="0" w:color="auto"/>
            <w:right w:val="none" w:sz="0" w:space="0" w:color="auto"/>
          </w:divBdr>
        </w:div>
        <w:div w:id="1665040181">
          <w:marLeft w:val="0"/>
          <w:marRight w:val="0"/>
          <w:marTop w:val="0"/>
          <w:marBottom w:val="0"/>
          <w:divBdr>
            <w:top w:val="none" w:sz="0" w:space="0" w:color="auto"/>
            <w:left w:val="none" w:sz="0" w:space="0" w:color="auto"/>
            <w:bottom w:val="none" w:sz="0" w:space="0" w:color="auto"/>
            <w:right w:val="none" w:sz="0" w:space="0" w:color="auto"/>
          </w:divBdr>
          <w:divsChild>
            <w:div w:id="978074657">
              <w:marLeft w:val="0"/>
              <w:marRight w:val="0"/>
              <w:marTop w:val="0"/>
              <w:marBottom w:val="0"/>
              <w:divBdr>
                <w:top w:val="none" w:sz="0" w:space="0" w:color="auto"/>
                <w:left w:val="none" w:sz="0" w:space="0" w:color="auto"/>
                <w:bottom w:val="none" w:sz="0" w:space="0" w:color="auto"/>
                <w:right w:val="none" w:sz="0" w:space="0" w:color="auto"/>
              </w:divBdr>
              <w:divsChild>
                <w:div w:id="509563531">
                  <w:marLeft w:val="0"/>
                  <w:marRight w:val="0"/>
                  <w:marTop w:val="0"/>
                  <w:marBottom w:val="0"/>
                  <w:divBdr>
                    <w:top w:val="none" w:sz="0" w:space="0" w:color="auto"/>
                    <w:left w:val="none" w:sz="0" w:space="0" w:color="auto"/>
                    <w:bottom w:val="none" w:sz="0" w:space="0" w:color="auto"/>
                    <w:right w:val="none" w:sz="0" w:space="0" w:color="auto"/>
                  </w:divBdr>
                  <w:divsChild>
                    <w:div w:id="762649603">
                      <w:marLeft w:val="0"/>
                      <w:marRight w:val="0"/>
                      <w:marTop w:val="0"/>
                      <w:marBottom w:val="0"/>
                      <w:divBdr>
                        <w:top w:val="none" w:sz="0" w:space="0" w:color="auto"/>
                        <w:left w:val="none" w:sz="0" w:space="0" w:color="auto"/>
                        <w:bottom w:val="none" w:sz="0" w:space="0" w:color="auto"/>
                        <w:right w:val="none" w:sz="0" w:space="0" w:color="auto"/>
                      </w:divBdr>
                      <w:divsChild>
                        <w:div w:id="2008897236">
                          <w:marLeft w:val="0"/>
                          <w:marRight w:val="0"/>
                          <w:marTop w:val="60"/>
                          <w:marBottom w:val="300"/>
                          <w:divBdr>
                            <w:top w:val="none" w:sz="0" w:space="0" w:color="auto"/>
                            <w:left w:val="none" w:sz="0" w:space="0" w:color="auto"/>
                            <w:bottom w:val="none" w:sz="0" w:space="0" w:color="auto"/>
                            <w:right w:val="none" w:sz="0" w:space="0" w:color="auto"/>
                          </w:divBdr>
                          <w:divsChild>
                            <w:div w:id="1361931835">
                              <w:marLeft w:val="0"/>
                              <w:marRight w:val="240"/>
                              <w:marTop w:val="0"/>
                              <w:marBottom w:val="0"/>
                              <w:divBdr>
                                <w:top w:val="none" w:sz="0" w:space="0" w:color="auto"/>
                                <w:left w:val="none" w:sz="0" w:space="0" w:color="auto"/>
                                <w:bottom w:val="none" w:sz="0" w:space="0" w:color="auto"/>
                                <w:right w:val="none" w:sz="0" w:space="0" w:color="auto"/>
                              </w:divBdr>
                              <w:divsChild>
                                <w:div w:id="1944417454">
                                  <w:marLeft w:val="0"/>
                                  <w:marRight w:val="0"/>
                                  <w:marTop w:val="0"/>
                                  <w:marBottom w:val="0"/>
                                  <w:divBdr>
                                    <w:top w:val="none" w:sz="0" w:space="0" w:color="auto"/>
                                    <w:left w:val="none" w:sz="0" w:space="0" w:color="auto"/>
                                    <w:bottom w:val="none" w:sz="0" w:space="0" w:color="auto"/>
                                    <w:right w:val="none" w:sz="0" w:space="0" w:color="auto"/>
                                  </w:divBdr>
                                  <w:divsChild>
                                    <w:div w:id="710955070">
                                      <w:marLeft w:val="0"/>
                                      <w:marRight w:val="0"/>
                                      <w:marTop w:val="0"/>
                                      <w:marBottom w:val="0"/>
                                      <w:divBdr>
                                        <w:top w:val="none" w:sz="0" w:space="0" w:color="auto"/>
                                        <w:left w:val="none" w:sz="0" w:space="0" w:color="auto"/>
                                        <w:bottom w:val="none" w:sz="0" w:space="0" w:color="auto"/>
                                        <w:right w:val="none" w:sz="0" w:space="0" w:color="auto"/>
                                      </w:divBdr>
                                      <w:divsChild>
                                        <w:div w:id="532888938">
                                          <w:marLeft w:val="0"/>
                                          <w:marRight w:val="0"/>
                                          <w:marTop w:val="0"/>
                                          <w:marBottom w:val="0"/>
                                          <w:divBdr>
                                            <w:top w:val="none" w:sz="0" w:space="0" w:color="auto"/>
                                            <w:left w:val="none" w:sz="0" w:space="0" w:color="auto"/>
                                            <w:bottom w:val="none" w:sz="0" w:space="0" w:color="auto"/>
                                            <w:right w:val="none" w:sz="0" w:space="0" w:color="auto"/>
                                          </w:divBdr>
                                          <w:divsChild>
                                            <w:div w:id="1246651403">
                                              <w:marLeft w:val="0"/>
                                              <w:marRight w:val="0"/>
                                              <w:marTop w:val="0"/>
                                              <w:marBottom w:val="0"/>
                                              <w:divBdr>
                                                <w:top w:val="none" w:sz="0" w:space="0" w:color="auto"/>
                                                <w:left w:val="none" w:sz="0" w:space="0" w:color="auto"/>
                                                <w:bottom w:val="none" w:sz="0" w:space="0" w:color="auto"/>
                                                <w:right w:val="none" w:sz="0" w:space="0" w:color="auto"/>
                                              </w:divBdr>
                                              <w:divsChild>
                                                <w:div w:id="890268274">
                                                  <w:marLeft w:val="0"/>
                                                  <w:marRight w:val="0"/>
                                                  <w:marTop w:val="0"/>
                                                  <w:marBottom w:val="0"/>
                                                  <w:divBdr>
                                                    <w:top w:val="none" w:sz="0" w:space="0" w:color="auto"/>
                                                    <w:left w:val="none" w:sz="0" w:space="0" w:color="auto"/>
                                                    <w:bottom w:val="none" w:sz="0" w:space="0" w:color="auto"/>
                                                    <w:right w:val="none" w:sz="0" w:space="0" w:color="auto"/>
                                                  </w:divBdr>
                                                  <w:divsChild>
                                                    <w:div w:id="130326642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2791823">
      <w:bodyDiv w:val="1"/>
      <w:marLeft w:val="0"/>
      <w:marRight w:val="0"/>
      <w:marTop w:val="0"/>
      <w:marBottom w:val="0"/>
      <w:divBdr>
        <w:top w:val="none" w:sz="0" w:space="0" w:color="auto"/>
        <w:left w:val="none" w:sz="0" w:space="0" w:color="auto"/>
        <w:bottom w:val="none" w:sz="0" w:space="0" w:color="auto"/>
        <w:right w:val="none" w:sz="0" w:space="0" w:color="auto"/>
      </w:divBdr>
    </w:div>
    <w:div w:id="1936673531">
      <w:bodyDiv w:val="1"/>
      <w:marLeft w:val="0"/>
      <w:marRight w:val="0"/>
      <w:marTop w:val="0"/>
      <w:marBottom w:val="0"/>
      <w:divBdr>
        <w:top w:val="none" w:sz="0" w:space="0" w:color="auto"/>
        <w:left w:val="none" w:sz="0" w:space="0" w:color="auto"/>
        <w:bottom w:val="none" w:sz="0" w:space="0" w:color="auto"/>
        <w:right w:val="none" w:sz="0" w:space="0" w:color="auto"/>
      </w:divBdr>
      <w:divsChild>
        <w:div w:id="1013148662">
          <w:marLeft w:val="0"/>
          <w:marRight w:val="0"/>
          <w:marTop w:val="0"/>
          <w:marBottom w:val="0"/>
          <w:divBdr>
            <w:top w:val="none" w:sz="0" w:space="0" w:color="auto"/>
            <w:left w:val="none" w:sz="0" w:space="0" w:color="auto"/>
            <w:bottom w:val="none" w:sz="0" w:space="0" w:color="auto"/>
            <w:right w:val="none" w:sz="0" w:space="0" w:color="auto"/>
          </w:divBdr>
          <w:divsChild>
            <w:div w:id="676691578">
              <w:marLeft w:val="0"/>
              <w:marRight w:val="0"/>
              <w:marTop w:val="0"/>
              <w:marBottom w:val="0"/>
              <w:divBdr>
                <w:top w:val="none" w:sz="0" w:space="0" w:color="auto"/>
                <w:left w:val="none" w:sz="0" w:space="0" w:color="auto"/>
                <w:bottom w:val="none" w:sz="0" w:space="0" w:color="auto"/>
                <w:right w:val="none" w:sz="0" w:space="0" w:color="auto"/>
              </w:divBdr>
              <w:divsChild>
                <w:div w:id="108547328">
                  <w:marLeft w:val="0"/>
                  <w:marRight w:val="0"/>
                  <w:marTop w:val="0"/>
                  <w:marBottom w:val="0"/>
                  <w:divBdr>
                    <w:top w:val="none" w:sz="0" w:space="0" w:color="auto"/>
                    <w:left w:val="none" w:sz="0" w:space="0" w:color="auto"/>
                    <w:bottom w:val="none" w:sz="0" w:space="0" w:color="auto"/>
                    <w:right w:val="none" w:sz="0" w:space="0" w:color="auto"/>
                  </w:divBdr>
                  <w:divsChild>
                    <w:div w:id="30824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679582">
      <w:bodyDiv w:val="1"/>
      <w:marLeft w:val="0"/>
      <w:marRight w:val="0"/>
      <w:marTop w:val="0"/>
      <w:marBottom w:val="0"/>
      <w:divBdr>
        <w:top w:val="none" w:sz="0" w:space="0" w:color="auto"/>
        <w:left w:val="none" w:sz="0" w:space="0" w:color="auto"/>
        <w:bottom w:val="none" w:sz="0" w:space="0" w:color="auto"/>
        <w:right w:val="none" w:sz="0" w:space="0" w:color="auto"/>
      </w:divBdr>
    </w:div>
    <w:div w:id="2025939858">
      <w:bodyDiv w:val="1"/>
      <w:marLeft w:val="0"/>
      <w:marRight w:val="0"/>
      <w:marTop w:val="0"/>
      <w:marBottom w:val="0"/>
      <w:divBdr>
        <w:top w:val="none" w:sz="0" w:space="0" w:color="auto"/>
        <w:left w:val="none" w:sz="0" w:space="0" w:color="auto"/>
        <w:bottom w:val="none" w:sz="0" w:space="0" w:color="auto"/>
        <w:right w:val="none" w:sz="0" w:space="0" w:color="auto"/>
      </w:divBdr>
      <w:divsChild>
        <w:div w:id="1758556675">
          <w:marLeft w:val="0"/>
          <w:marRight w:val="0"/>
          <w:marTop w:val="0"/>
          <w:marBottom w:val="0"/>
          <w:divBdr>
            <w:top w:val="none" w:sz="0" w:space="0" w:color="auto"/>
            <w:left w:val="none" w:sz="0" w:space="0" w:color="auto"/>
            <w:bottom w:val="none" w:sz="0" w:space="0" w:color="auto"/>
            <w:right w:val="none" w:sz="0" w:space="0" w:color="auto"/>
          </w:divBdr>
          <w:divsChild>
            <w:div w:id="212017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036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23059-9552-4162-BCB3-0557D303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3BFA0-D903-4BA6-9314-DAF71997E705}">
  <ds:schemaRefs>
    <ds:schemaRef ds:uri="http://schemas.microsoft.com/sharepoint/v3/contenttype/forms"/>
  </ds:schemaRefs>
</ds:datastoreItem>
</file>

<file path=customXml/itemProps3.xml><?xml version="1.0" encoding="utf-8"?>
<ds:datastoreItem xmlns:ds="http://schemas.openxmlformats.org/officeDocument/2006/customXml" ds:itemID="{8AEBAA06-D70A-4C86-85A6-32051E721BDA}">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7009CF6C-BAF1-0B42-9102-F6A65DC515C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6160</TotalTime>
  <Pages>96</Pages>
  <Words>33305</Words>
  <Characters>189842</Characters>
  <Application>Microsoft Office Word</Application>
  <DocSecurity>0</DocSecurity>
  <Lines>1582</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222702</CharactersWithSpaces>
  <SharedDoc>false</SharedDoc>
  <HLinks>
    <vt:vector size="1122" baseType="variant">
      <vt:variant>
        <vt:i4>1638456</vt:i4>
      </vt:variant>
      <vt:variant>
        <vt:i4>1268</vt:i4>
      </vt:variant>
      <vt:variant>
        <vt:i4>0</vt:i4>
      </vt:variant>
      <vt:variant>
        <vt:i4>5</vt:i4>
      </vt:variant>
      <vt:variant>
        <vt:lpwstr/>
      </vt:variant>
      <vt:variant>
        <vt:lpwstr>_Toc189125229</vt:lpwstr>
      </vt:variant>
      <vt:variant>
        <vt:i4>1638456</vt:i4>
      </vt:variant>
      <vt:variant>
        <vt:i4>1265</vt:i4>
      </vt:variant>
      <vt:variant>
        <vt:i4>0</vt:i4>
      </vt:variant>
      <vt:variant>
        <vt:i4>5</vt:i4>
      </vt:variant>
      <vt:variant>
        <vt:lpwstr/>
      </vt:variant>
      <vt:variant>
        <vt:lpwstr>_Toc189125228</vt:lpwstr>
      </vt:variant>
      <vt:variant>
        <vt:i4>1638456</vt:i4>
      </vt:variant>
      <vt:variant>
        <vt:i4>1262</vt:i4>
      </vt:variant>
      <vt:variant>
        <vt:i4>0</vt:i4>
      </vt:variant>
      <vt:variant>
        <vt:i4>5</vt:i4>
      </vt:variant>
      <vt:variant>
        <vt:lpwstr/>
      </vt:variant>
      <vt:variant>
        <vt:lpwstr>_Toc189125227</vt:lpwstr>
      </vt:variant>
      <vt:variant>
        <vt:i4>1638456</vt:i4>
      </vt:variant>
      <vt:variant>
        <vt:i4>1259</vt:i4>
      </vt:variant>
      <vt:variant>
        <vt:i4>0</vt:i4>
      </vt:variant>
      <vt:variant>
        <vt:i4>5</vt:i4>
      </vt:variant>
      <vt:variant>
        <vt:lpwstr/>
      </vt:variant>
      <vt:variant>
        <vt:lpwstr>_Toc189125226</vt:lpwstr>
      </vt:variant>
      <vt:variant>
        <vt:i4>1638456</vt:i4>
      </vt:variant>
      <vt:variant>
        <vt:i4>1256</vt:i4>
      </vt:variant>
      <vt:variant>
        <vt:i4>0</vt:i4>
      </vt:variant>
      <vt:variant>
        <vt:i4>5</vt:i4>
      </vt:variant>
      <vt:variant>
        <vt:lpwstr/>
      </vt:variant>
      <vt:variant>
        <vt:lpwstr>_Toc189125225</vt:lpwstr>
      </vt:variant>
      <vt:variant>
        <vt:i4>1638456</vt:i4>
      </vt:variant>
      <vt:variant>
        <vt:i4>1253</vt:i4>
      </vt:variant>
      <vt:variant>
        <vt:i4>0</vt:i4>
      </vt:variant>
      <vt:variant>
        <vt:i4>5</vt:i4>
      </vt:variant>
      <vt:variant>
        <vt:lpwstr/>
      </vt:variant>
      <vt:variant>
        <vt:lpwstr>_Toc189125224</vt:lpwstr>
      </vt:variant>
      <vt:variant>
        <vt:i4>1638456</vt:i4>
      </vt:variant>
      <vt:variant>
        <vt:i4>1250</vt:i4>
      </vt:variant>
      <vt:variant>
        <vt:i4>0</vt:i4>
      </vt:variant>
      <vt:variant>
        <vt:i4>5</vt:i4>
      </vt:variant>
      <vt:variant>
        <vt:lpwstr/>
      </vt:variant>
      <vt:variant>
        <vt:lpwstr>_Toc189125223</vt:lpwstr>
      </vt:variant>
      <vt:variant>
        <vt:i4>1638456</vt:i4>
      </vt:variant>
      <vt:variant>
        <vt:i4>1247</vt:i4>
      </vt:variant>
      <vt:variant>
        <vt:i4>0</vt:i4>
      </vt:variant>
      <vt:variant>
        <vt:i4>5</vt:i4>
      </vt:variant>
      <vt:variant>
        <vt:lpwstr/>
      </vt:variant>
      <vt:variant>
        <vt:lpwstr>_Toc189125222</vt:lpwstr>
      </vt:variant>
      <vt:variant>
        <vt:i4>1638456</vt:i4>
      </vt:variant>
      <vt:variant>
        <vt:i4>1244</vt:i4>
      </vt:variant>
      <vt:variant>
        <vt:i4>0</vt:i4>
      </vt:variant>
      <vt:variant>
        <vt:i4>5</vt:i4>
      </vt:variant>
      <vt:variant>
        <vt:lpwstr/>
      </vt:variant>
      <vt:variant>
        <vt:lpwstr>_Toc189125221</vt:lpwstr>
      </vt:variant>
      <vt:variant>
        <vt:i4>1638456</vt:i4>
      </vt:variant>
      <vt:variant>
        <vt:i4>1241</vt:i4>
      </vt:variant>
      <vt:variant>
        <vt:i4>0</vt:i4>
      </vt:variant>
      <vt:variant>
        <vt:i4>5</vt:i4>
      </vt:variant>
      <vt:variant>
        <vt:lpwstr/>
      </vt:variant>
      <vt:variant>
        <vt:lpwstr>_Toc189125220</vt:lpwstr>
      </vt:variant>
      <vt:variant>
        <vt:i4>1703992</vt:i4>
      </vt:variant>
      <vt:variant>
        <vt:i4>1238</vt:i4>
      </vt:variant>
      <vt:variant>
        <vt:i4>0</vt:i4>
      </vt:variant>
      <vt:variant>
        <vt:i4>5</vt:i4>
      </vt:variant>
      <vt:variant>
        <vt:lpwstr/>
      </vt:variant>
      <vt:variant>
        <vt:lpwstr>_Toc189125219</vt:lpwstr>
      </vt:variant>
      <vt:variant>
        <vt:i4>1703992</vt:i4>
      </vt:variant>
      <vt:variant>
        <vt:i4>1235</vt:i4>
      </vt:variant>
      <vt:variant>
        <vt:i4>0</vt:i4>
      </vt:variant>
      <vt:variant>
        <vt:i4>5</vt:i4>
      </vt:variant>
      <vt:variant>
        <vt:lpwstr/>
      </vt:variant>
      <vt:variant>
        <vt:lpwstr>_Toc189125218</vt:lpwstr>
      </vt:variant>
      <vt:variant>
        <vt:i4>1703992</vt:i4>
      </vt:variant>
      <vt:variant>
        <vt:i4>1232</vt:i4>
      </vt:variant>
      <vt:variant>
        <vt:i4>0</vt:i4>
      </vt:variant>
      <vt:variant>
        <vt:i4>5</vt:i4>
      </vt:variant>
      <vt:variant>
        <vt:lpwstr/>
      </vt:variant>
      <vt:variant>
        <vt:lpwstr>_Toc189125217</vt:lpwstr>
      </vt:variant>
      <vt:variant>
        <vt:i4>1703992</vt:i4>
      </vt:variant>
      <vt:variant>
        <vt:i4>1229</vt:i4>
      </vt:variant>
      <vt:variant>
        <vt:i4>0</vt:i4>
      </vt:variant>
      <vt:variant>
        <vt:i4>5</vt:i4>
      </vt:variant>
      <vt:variant>
        <vt:lpwstr/>
      </vt:variant>
      <vt:variant>
        <vt:lpwstr>_Toc189125216</vt:lpwstr>
      </vt:variant>
      <vt:variant>
        <vt:i4>1703992</vt:i4>
      </vt:variant>
      <vt:variant>
        <vt:i4>1226</vt:i4>
      </vt:variant>
      <vt:variant>
        <vt:i4>0</vt:i4>
      </vt:variant>
      <vt:variant>
        <vt:i4>5</vt:i4>
      </vt:variant>
      <vt:variant>
        <vt:lpwstr/>
      </vt:variant>
      <vt:variant>
        <vt:lpwstr>_Toc189125215</vt:lpwstr>
      </vt:variant>
      <vt:variant>
        <vt:i4>1703992</vt:i4>
      </vt:variant>
      <vt:variant>
        <vt:i4>1223</vt:i4>
      </vt:variant>
      <vt:variant>
        <vt:i4>0</vt:i4>
      </vt:variant>
      <vt:variant>
        <vt:i4>5</vt:i4>
      </vt:variant>
      <vt:variant>
        <vt:lpwstr/>
      </vt:variant>
      <vt:variant>
        <vt:lpwstr>_Toc189125214</vt:lpwstr>
      </vt:variant>
      <vt:variant>
        <vt:i4>1703992</vt:i4>
      </vt:variant>
      <vt:variant>
        <vt:i4>1220</vt:i4>
      </vt:variant>
      <vt:variant>
        <vt:i4>0</vt:i4>
      </vt:variant>
      <vt:variant>
        <vt:i4>5</vt:i4>
      </vt:variant>
      <vt:variant>
        <vt:lpwstr/>
      </vt:variant>
      <vt:variant>
        <vt:lpwstr>_Toc189125213</vt:lpwstr>
      </vt:variant>
      <vt:variant>
        <vt:i4>1703992</vt:i4>
      </vt:variant>
      <vt:variant>
        <vt:i4>1217</vt:i4>
      </vt:variant>
      <vt:variant>
        <vt:i4>0</vt:i4>
      </vt:variant>
      <vt:variant>
        <vt:i4>5</vt:i4>
      </vt:variant>
      <vt:variant>
        <vt:lpwstr/>
      </vt:variant>
      <vt:variant>
        <vt:lpwstr>_Toc189125212</vt:lpwstr>
      </vt:variant>
      <vt:variant>
        <vt:i4>1703992</vt:i4>
      </vt:variant>
      <vt:variant>
        <vt:i4>1214</vt:i4>
      </vt:variant>
      <vt:variant>
        <vt:i4>0</vt:i4>
      </vt:variant>
      <vt:variant>
        <vt:i4>5</vt:i4>
      </vt:variant>
      <vt:variant>
        <vt:lpwstr/>
      </vt:variant>
      <vt:variant>
        <vt:lpwstr>_Toc189125211</vt:lpwstr>
      </vt:variant>
      <vt:variant>
        <vt:i4>1703992</vt:i4>
      </vt:variant>
      <vt:variant>
        <vt:i4>1211</vt:i4>
      </vt:variant>
      <vt:variant>
        <vt:i4>0</vt:i4>
      </vt:variant>
      <vt:variant>
        <vt:i4>5</vt:i4>
      </vt:variant>
      <vt:variant>
        <vt:lpwstr/>
      </vt:variant>
      <vt:variant>
        <vt:lpwstr>_Toc189125210</vt:lpwstr>
      </vt:variant>
      <vt:variant>
        <vt:i4>1769528</vt:i4>
      </vt:variant>
      <vt:variant>
        <vt:i4>1208</vt:i4>
      </vt:variant>
      <vt:variant>
        <vt:i4>0</vt:i4>
      </vt:variant>
      <vt:variant>
        <vt:i4>5</vt:i4>
      </vt:variant>
      <vt:variant>
        <vt:lpwstr/>
      </vt:variant>
      <vt:variant>
        <vt:lpwstr>_Toc189125206</vt:lpwstr>
      </vt:variant>
      <vt:variant>
        <vt:i4>1769528</vt:i4>
      </vt:variant>
      <vt:variant>
        <vt:i4>1205</vt:i4>
      </vt:variant>
      <vt:variant>
        <vt:i4>0</vt:i4>
      </vt:variant>
      <vt:variant>
        <vt:i4>5</vt:i4>
      </vt:variant>
      <vt:variant>
        <vt:lpwstr/>
      </vt:variant>
      <vt:variant>
        <vt:lpwstr>_Toc189125205</vt:lpwstr>
      </vt:variant>
      <vt:variant>
        <vt:i4>1769528</vt:i4>
      </vt:variant>
      <vt:variant>
        <vt:i4>1202</vt:i4>
      </vt:variant>
      <vt:variant>
        <vt:i4>0</vt:i4>
      </vt:variant>
      <vt:variant>
        <vt:i4>5</vt:i4>
      </vt:variant>
      <vt:variant>
        <vt:lpwstr/>
      </vt:variant>
      <vt:variant>
        <vt:lpwstr>_Toc189125204</vt:lpwstr>
      </vt:variant>
      <vt:variant>
        <vt:i4>1769528</vt:i4>
      </vt:variant>
      <vt:variant>
        <vt:i4>1199</vt:i4>
      </vt:variant>
      <vt:variant>
        <vt:i4>0</vt:i4>
      </vt:variant>
      <vt:variant>
        <vt:i4>5</vt:i4>
      </vt:variant>
      <vt:variant>
        <vt:lpwstr/>
      </vt:variant>
      <vt:variant>
        <vt:lpwstr>_Toc189125203</vt:lpwstr>
      </vt:variant>
      <vt:variant>
        <vt:i4>1769528</vt:i4>
      </vt:variant>
      <vt:variant>
        <vt:i4>1196</vt:i4>
      </vt:variant>
      <vt:variant>
        <vt:i4>0</vt:i4>
      </vt:variant>
      <vt:variant>
        <vt:i4>5</vt:i4>
      </vt:variant>
      <vt:variant>
        <vt:lpwstr/>
      </vt:variant>
      <vt:variant>
        <vt:lpwstr>_Toc189125202</vt:lpwstr>
      </vt:variant>
      <vt:variant>
        <vt:i4>1769528</vt:i4>
      </vt:variant>
      <vt:variant>
        <vt:i4>1193</vt:i4>
      </vt:variant>
      <vt:variant>
        <vt:i4>0</vt:i4>
      </vt:variant>
      <vt:variant>
        <vt:i4>5</vt:i4>
      </vt:variant>
      <vt:variant>
        <vt:lpwstr/>
      </vt:variant>
      <vt:variant>
        <vt:lpwstr>_Toc189125201</vt:lpwstr>
      </vt:variant>
      <vt:variant>
        <vt:i4>1769528</vt:i4>
      </vt:variant>
      <vt:variant>
        <vt:i4>1190</vt:i4>
      </vt:variant>
      <vt:variant>
        <vt:i4>0</vt:i4>
      </vt:variant>
      <vt:variant>
        <vt:i4>5</vt:i4>
      </vt:variant>
      <vt:variant>
        <vt:lpwstr/>
      </vt:variant>
      <vt:variant>
        <vt:lpwstr>_Toc189125200</vt:lpwstr>
      </vt:variant>
      <vt:variant>
        <vt:i4>1179707</vt:i4>
      </vt:variant>
      <vt:variant>
        <vt:i4>1187</vt:i4>
      </vt:variant>
      <vt:variant>
        <vt:i4>0</vt:i4>
      </vt:variant>
      <vt:variant>
        <vt:i4>5</vt:i4>
      </vt:variant>
      <vt:variant>
        <vt:lpwstr/>
      </vt:variant>
      <vt:variant>
        <vt:lpwstr>_Toc189125199</vt:lpwstr>
      </vt:variant>
      <vt:variant>
        <vt:i4>1179707</vt:i4>
      </vt:variant>
      <vt:variant>
        <vt:i4>1184</vt:i4>
      </vt:variant>
      <vt:variant>
        <vt:i4>0</vt:i4>
      </vt:variant>
      <vt:variant>
        <vt:i4>5</vt:i4>
      </vt:variant>
      <vt:variant>
        <vt:lpwstr/>
      </vt:variant>
      <vt:variant>
        <vt:lpwstr>_Toc189125198</vt:lpwstr>
      </vt:variant>
      <vt:variant>
        <vt:i4>1179707</vt:i4>
      </vt:variant>
      <vt:variant>
        <vt:i4>1181</vt:i4>
      </vt:variant>
      <vt:variant>
        <vt:i4>0</vt:i4>
      </vt:variant>
      <vt:variant>
        <vt:i4>5</vt:i4>
      </vt:variant>
      <vt:variant>
        <vt:lpwstr/>
      </vt:variant>
      <vt:variant>
        <vt:lpwstr>_Toc189125197</vt:lpwstr>
      </vt:variant>
      <vt:variant>
        <vt:i4>1179707</vt:i4>
      </vt:variant>
      <vt:variant>
        <vt:i4>1178</vt:i4>
      </vt:variant>
      <vt:variant>
        <vt:i4>0</vt:i4>
      </vt:variant>
      <vt:variant>
        <vt:i4>5</vt:i4>
      </vt:variant>
      <vt:variant>
        <vt:lpwstr/>
      </vt:variant>
      <vt:variant>
        <vt:lpwstr>_Toc189125196</vt:lpwstr>
      </vt:variant>
      <vt:variant>
        <vt:i4>1179707</vt:i4>
      </vt:variant>
      <vt:variant>
        <vt:i4>1175</vt:i4>
      </vt:variant>
      <vt:variant>
        <vt:i4>0</vt:i4>
      </vt:variant>
      <vt:variant>
        <vt:i4>5</vt:i4>
      </vt:variant>
      <vt:variant>
        <vt:lpwstr/>
      </vt:variant>
      <vt:variant>
        <vt:lpwstr>_Toc189125195</vt:lpwstr>
      </vt:variant>
      <vt:variant>
        <vt:i4>1179707</vt:i4>
      </vt:variant>
      <vt:variant>
        <vt:i4>1172</vt:i4>
      </vt:variant>
      <vt:variant>
        <vt:i4>0</vt:i4>
      </vt:variant>
      <vt:variant>
        <vt:i4>5</vt:i4>
      </vt:variant>
      <vt:variant>
        <vt:lpwstr/>
      </vt:variant>
      <vt:variant>
        <vt:lpwstr>_Toc189125194</vt:lpwstr>
      </vt:variant>
      <vt:variant>
        <vt:i4>1179707</vt:i4>
      </vt:variant>
      <vt:variant>
        <vt:i4>1169</vt:i4>
      </vt:variant>
      <vt:variant>
        <vt:i4>0</vt:i4>
      </vt:variant>
      <vt:variant>
        <vt:i4>5</vt:i4>
      </vt:variant>
      <vt:variant>
        <vt:lpwstr/>
      </vt:variant>
      <vt:variant>
        <vt:lpwstr>_Toc189125193</vt:lpwstr>
      </vt:variant>
      <vt:variant>
        <vt:i4>1179707</vt:i4>
      </vt:variant>
      <vt:variant>
        <vt:i4>1166</vt:i4>
      </vt:variant>
      <vt:variant>
        <vt:i4>0</vt:i4>
      </vt:variant>
      <vt:variant>
        <vt:i4>5</vt:i4>
      </vt:variant>
      <vt:variant>
        <vt:lpwstr/>
      </vt:variant>
      <vt:variant>
        <vt:lpwstr>_Toc189125192</vt:lpwstr>
      </vt:variant>
      <vt:variant>
        <vt:i4>1179707</vt:i4>
      </vt:variant>
      <vt:variant>
        <vt:i4>1163</vt:i4>
      </vt:variant>
      <vt:variant>
        <vt:i4>0</vt:i4>
      </vt:variant>
      <vt:variant>
        <vt:i4>5</vt:i4>
      </vt:variant>
      <vt:variant>
        <vt:lpwstr/>
      </vt:variant>
      <vt:variant>
        <vt:lpwstr>_Toc189125191</vt:lpwstr>
      </vt:variant>
      <vt:variant>
        <vt:i4>1179707</vt:i4>
      </vt:variant>
      <vt:variant>
        <vt:i4>1160</vt:i4>
      </vt:variant>
      <vt:variant>
        <vt:i4>0</vt:i4>
      </vt:variant>
      <vt:variant>
        <vt:i4>5</vt:i4>
      </vt:variant>
      <vt:variant>
        <vt:lpwstr/>
      </vt:variant>
      <vt:variant>
        <vt:lpwstr>_Toc189125190</vt:lpwstr>
      </vt:variant>
      <vt:variant>
        <vt:i4>1245243</vt:i4>
      </vt:variant>
      <vt:variant>
        <vt:i4>1157</vt:i4>
      </vt:variant>
      <vt:variant>
        <vt:i4>0</vt:i4>
      </vt:variant>
      <vt:variant>
        <vt:i4>5</vt:i4>
      </vt:variant>
      <vt:variant>
        <vt:lpwstr/>
      </vt:variant>
      <vt:variant>
        <vt:lpwstr>_Toc189125189</vt:lpwstr>
      </vt:variant>
      <vt:variant>
        <vt:i4>1245243</vt:i4>
      </vt:variant>
      <vt:variant>
        <vt:i4>1154</vt:i4>
      </vt:variant>
      <vt:variant>
        <vt:i4>0</vt:i4>
      </vt:variant>
      <vt:variant>
        <vt:i4>5</vt:i4>
      </vt:variant>
      <vt:variant>
        <vt:lpwstr/>
      </vt:variant>
      <vt:variant>
        <vt:lpwstr>_Toc189125188</vt:lpwstr>
      </vt:variant>
      <vt:variant>
        <vt:i4>1245243</vt:i4>
      </vt:variant>
      <vt:variant>
        <vt:i4>1151</vt:i4>
      </vt:variant>
      <vt:variant>
        <vt:i4>0</vt:i4>
      </vt:variant>
      <vt:variant>
        <vt:i4>5</vt:i4>
      </vt:variant>
      <vt:variant>
        <vt:lpwstr/>
      </vt:variant>
      <vt:variant>
        <vt:lpwstr>_Toc189125187</vt:lpwstr>
      </vt:variant>
      <vt:variant>
        <vt:i4>1245243</vt:i4>
      </vt:variant>
      <vt:variant>
        <vt:i4>1148</vt:i4>
      </vt:variant>
      <vt:variant>
        <vt:i4>0</vt:i4>
      </vt:variant>
      <vt:variant>
        <vt:i4>5</vt:i4>
      </vt:variant>
      <vt:variant>
        <vt:lpwstr/>
      </vt:variant>
      <vt:variant>
        <vt:lpwstr>_Toc189125186</vt:lpwstr>
      </vt:variant>
      <vt:variant>
        <vt:i4>1245243</vt:i4>
      </vt:variant>
      <vt:variant>
        <vt:i4>1145</vt:i4>
      </vt:variant>
      <vt:variant>
        <vt:i4>0</vt:i4>
      </vt:variant>
      <vt:variant>
        <vt:i4>5</vt:i4>
      </vt:variant>
      <vt:variant>
        <vt:lpwstr/>
      </vt:variant>
      <vt:variant>
        <vt:lpwstr>_Toc189125185</vt:lpwstr>
      </vt:variant>
      <vt:variant>
        <vt:i4>1245243</vt:i4>
      </vt:variant>
      <vt:variant>
        <vt:i4>1142</vt:i4>
      </vt:variant>
      <vt:variant>
        <vt:i4>0</vt:i4>
      </vt:variant>
      <vt:variant>
        <vt:i4>5</vt:i4>
      </vt:variant>
      <vt:variant>
        <vt:lpwstr/>
      </vt:variant>
      <vt:variant>
        <vt:lpwstr>_Toc189125184</vt:lpwstr>
      </vt:variant>
      <vt:variant>
        <vt:i4>1245243</vt:i4>
      </vt:variant>
      <vt:variant>
        <vt:i4>1139</vt:i4>
      </vt:variant>
      <vt:variant>
        <vt:i4>0</vt:i4>
      </vt:variant>
      <vt:variant>
        <vt:i4>5</vt:i4>
      </vt:variant>
      <vt:variant>
        <vt:lpwstr/>
      </vt:variant>
      <vt:variant>
        <vt:lpwstr>_Toc189125183</vt:lpwstr>
      </vt:variant>
      <vt:variant>
        <vt:i4>1245243</vt:i4>
      </vt:variant>
      <vt:variant>
        <vt:i4>1136</vt:i4>
      </vt:variant>
      <vt:variant>
        <vt:i4>0</vt:i4>
      </vt:variant>
      <vt:variant>
        <vt:i4>5</vt:i4>
      </vt:variant>
      <vt:variant>
        <vt:lpwstr/>
      </vt:variant>
      <vt:variant>
        <vt:lpwstr>_Toc189125182</vt:lpwstr>
      </vt:variant>
      <vt:variant>
        <vt:i4>1245243</vt:i4>
      </vt:variant>
      <vt:variant>
        <vt:i4>1133</vt:i4>
      </vt:variant>
      <vt:variant>
        <vt:i4>0</vt:i4>
      </vt:variant>
      <vt:variant>
        <vt:i4>5</vt:i4>
      </vt:variant>
      <vt:variant>
        <vt:lpwstr/>
      </vt:variant>
      <vt:variant>
        <vt:lpwstr>_Toc189125181</vt:lpwstr>
      </vt:variant>
      <vt:variant>
        <vt:i4>1245243</vt:i4>
      </vt:variant>
      <vt:variant>
        <vt:i4>1130</vt:i4>
      </vt:variant>
      <vt:variant>
        <vt:i4>0</vt:i4>
      </vt:variant>
      <vt:variant>
        <vt:i4>5</vt:i4>
      </vt:variant>
      <vt:variant>
        <vt:lpwstr/>
      </vt:variant>
      <vt:variant>
        <vt:lpwstr>_Toc189125180</vt:lpwstr>
      </vt:variant>
      <vt:variant>
        <vt:i4>1835067</vt:i4>
      </vt:variant>
      <vt:variant>
        <vt:i4>1127</vt:i4>
      </vt:variant>
      <vt:variant>
        <vt:i4>0</vt:i4>
      </vt:variant>
      <vt:variant>
        <vt:i4>5</vt:i4>
      </vt:variant>
      <vt:variant>
        <vt:lpwstr/>
      </vt:variant>
      <vt:variant>
        <vt:lpwstr>_Toc189125179</vt:lpwstr>
      </vt:variant>
      <vt:variant>
        <vt:i4>1835067</vt:i4>
      </vt:variant>
      <vt:variant>
        <vt:i4>1124</vt:i4>
      </vt:variant>
      <vt:variant>
        <vt:i4>0</vt:i4>
      </vt:variant>
      <vt:variant>
        <vt:i4>5</vt:i4>
      </vt:variant>
      <vt:variant>
        <vt:lpwstr/>
      </vt:variant>
      <vt:variant>
        <vt:lpwstr>_Toc189125178</vt:lpwstr>
      </vt:variant>
      <vt:variant>
        <vt:i4>1835067</vt:i4>
      </vt:variant>
      <vt:variant>
        <vt:i4>1121</vt:i4>
      </vt:variant>
      <vt:variant>
        <vt:i4>0</vt:i4>
      </vt:variant>
      <vt:variant>
        <vt:i4>5</vt:i4>
      </vt:variant>
      <vt:variant>
        <vt:lpwstr/>
      </vt:variant>
      <vt:variant>
        <vt:lpwstr>_Toc189125177</vt:lpwstr>
      </vt:variant>
      <vt:variant>
        <vt:i4>1835067</vt:i4>
      </vt:variant>
      <vt:variant>
        <vt:i4>1118</vt:i4>
      </vt:variant>
      <vt:variant>
        <vt:i4>0</vt:i4>
      </vt:variant>
      <vt:variant>
        <vt:i4>5</vt:i4>
      </vt:variant>
      <vt:variant>
        <vt:lpwstr/>
      </vt:variant>
      <vt:variant>
        <vt:lpwstr>_Toc189125176</vt:lpwstr>
      </vt:variant>
      <vt:variant>
        <vt:i4>1835067</vt:i4>
      </vt:variant>
      <vt:variant>
        <vt:i4>1115</vt:i4>
      </vt:variant>
      <vt:variant>
        <vt:i4>0</vt:i4>
      </vt:variant>
      <vt:variant>
        <vt:i4>5</vt:i4>
      </vt:variant>
      <vt:variant>
        <vt:lpwstr/>
      </vt:variant>
      <vt:variant>
        <vt:lpwstr>_Toc189125175</vt:lpwstr>
      </vt:variant>
      <vt:variant>
        <vt:i4>1900603</vt:i4>
      </vt:variant>
      <vt:variant>
        <vt:i4>1112</vt:i4>
      </vt:variant>
      <vt:variant>
        <vt:i4>0</vt:i4>
      </vt:variant>
      <vt:variant>
        <vt:i4>5</vt:i4>
      </vt:variant>
      <vt:variant>
        <vt:lpwstr/>
      </vt:variant>
      <vt:variant>
        <vt:lpwstr>_Toc189125164</vt:lpwstr>
      </vt:variant>
      <vt:variant>
        <vt:i4>1900603</vt:i4>
      </vt:variant>
      <vt:variant>
        <vt:i4>1109</vt:i4>
      </vt:variant>
      <vt:variant>
        <vt:i4>0</vt:i4>
      </vt:variant>
      <vt:variant>
        <vt:i4>5</vt:i4>
      </vt:variant>
      <vt:variant>
        <vt:lpwstr/>
      </vt:variant>
      <vt:variant>
        <vt:lpwstr>_Toc189125163</vt:lpwstr>
      </vt:variant>
      <vt:variant>
        <vt:i4>1900603</vt:i4>
      </vt:variant>
      <vt:variant>
        <vt:i4>1106</vt:i4>
      </vt:variant>
      <vt:variant>
        <vt:i4>0</vt:i4>
      </vt:variant>
      <vt:variant>
        <vt:i4>5</vt:i4>
      </vt:variant>
      <vt:variant>
        <vt:lpwstr/>
      </vt:variant>
      <vt:variant>
        <vt:lpwstr>_Toc189125162</vt:lpwstr>
      </vt:variant>
      <vt:variant>
        <vt:i4>1900603</vt:i4>
      </vt:variant>
      <vt:variant>
        <vt:i4>1103</vt:i4>
      </vt:variant>
      <vt:variant>
        <vt:i4>0</vt:i4>
      </vt:variant>
      <vt:variant>
        <vt:i4>5</vt:i4>
      </vt:variant>
      <vt:variant>
        <vt:lpwstr/>
      </vt:variant>
      <vt:variant>
        <vt:lpwstr>_Toc189125161</vt:lpwstr>
      </vt:variant>
      <vt:variant>
        <vt:i4>1900603</vt:i4>
      </vt:variant>
      <vt:variant>
        <vt:i4>1100</vt:i4>
      </vt:variant>
      <vt:variant>
        <vt:i4>0</vt:i4>
      </vt:variant>
      <vt:variant>
        <vt:i4>5</vt:i4>
      </vt:variant>
      <vt:variant>
        <vt:lpwstr/>
      </vt:variant>
      <vt:variant>
        <vt:lpwstr>_Toc189125160</vt:lpwstr>
      </vt:variant>
      <vt:variant>
        <vt:i4>1966139</vt:i4>
      </vt:variant>
      <vt:variant>
        <vt:i4>1097</vt:i4>
      </vt:variant>
      <vt:variant>
        <vt:i4>0</vt:i4>
      </vt:variant>
      <vt:variant>
        <vt:i4>5</vt:i4>
      </vt:variant>
      <vt:variant>
        <vt:lpwstr/>
      </vt:variant>
      <vt:variant>
        <vt:lpwstr>_Toc189125158</vt:lpwstr>
      </vt:variant>
      <vt:variant>
        <vt:i4>1966139</vt:i4>
      </vt:variant>
      <vt:variant>
        <vt:i4>1094</vt:i4>
      </vt:variant>
      <vt:variant>
        <vt:i4>0</vt:i4>
      </vt:variant>
      <vt:variant>
        <vt:i4>5</vt:i4>
      </vt:variant>
      <vt:variant>
        <vt:lpwstr/>
      </vt:variant>
      <vt:variant>
        <vt:lpwstr>_Toc189125157</vt:lpwstr>
      </vt:variant>
      <vt:variant>
        <vt:i4>1966139</vt:i4>
      </vt:variant>
      <vt:variant>
        <vt:i4>1091</vt:i4>
      </vt:variant>
      <vt:variant>
        <vt:i4>0</vt:i4>
      </vt:variant>
      <vt:variant>
        <vt:i4>5</vt:i4>
      </vt:variant>
      <vt:variant>
        <vt:lpwstr/>
      </vt:variant>
      <vt:variant>
        <vt:lpwstr>_Toc189125156</vt:lpwstr>
      </vt:variant>
      <vt:variant>
        <vt:i4>1966139</vt:i4>
      </vt:variant>
      <vt:variant>
        <vt:i4>1088</vt:i4>
      </vt:variant>
      <vt:variant>
        <vt:i4>0</vt:i4>
      </vt:variant>
      <vt:variant>
        <vt:i4>5</vt:i4>
      </vt:variant>
      <vt:variant>
        <vt:lpwstr/>
      </vt:variant>
      <vt:variant>
        <vt:lpwstr>_Toc189125155</vt:lpwstr>
      </vt:variant>
      <vt:variant>
        <vt:i4>1966139</vt:i4>
      </vt:variant>
      <vt:variant>
        <vt:i4>1085</vt:i4>
      </vt:variant>
      <vt:variant>
        <vt:i4>0</vt:i4>
      </vt:variant>
      <vt:variant>
        <vt:i4>5</vt:i4>
      </vt:variant>
      <vt:variant>
        <vt:lpwstr/>
      </vt:variant>
      <vt:variant>
        <vt:lpwstr>_Toc189125154</vt:lpwstr>
      </vt:variant>
      <vt:variant>
        <vt:i4>1966139</vt:i4>
      </vt:variant>
      <vt:variant>
        <vt:i4>1082</vt:i4>
      </vt:variant>
      <vt:variant>
        <vt:i4>0</vt:i4>
      </vt:variant>
      <vt:variant>
        <vt:i4>5</vt:i4>
      </vt:variant>
      <vt:variant>
        <vt:lpwstr/>
      </vt:variant>
      <vt:variant>
        <vt:lpwstr>_Toc189125153</vt:lpwstr>
      </vt:variant>
      <vt:variant>
        <vt:i4>1966139</vt:i4>
      </vt:variant>
      <vt:variant>
        <vt:i4>1079</vt:i4>
      </vt:variant>
      <vt:variant>
        <vt:i4>0</vt:i4>
      </vt:variant>
      <vt:variant>
        <vt:i4>5</vt:i4>
      </vt:variant>
      <vt:variant>
        <vt:lpwstr/>
      </vt:variant>
      <vt:variant>
        <vt:lpwstr>_Toc189125152</vt:lpwstr>
      </vt:variant>
      <vt:variant>
        <vt:i4>1966139</vt:i4>
      </vt:variant>
      <vt:variant>
        <vt:i4>1076</vt:i4>
      </vt:variant>
      <vt:variant>
        <vt:i4>0</vt:i4>
      </vt:variant>
      <vt:variant>
        <vt:i4>5</vt:i4>
      </vt:variant>
      <vt:variant>
        <vt:lpwstr/>
      </vt:variant>
      <vt:variant>
        <vt:lpwstr>_Toc189125151</vt:lpwstr>
      </vt:variant>
      <vt:variant>
        <vt:i4>1966139</vt:i4>
      </vt:variant>
      <vt:variant>
        <vt:i4>1073</vt:i4>
      </vt:variant>
      <vt:variant>
        <vt:i4>0</vt:i4>
      </vt:variant>
      <vt:variant>
        <vt:i4>5</vt:i4>
      </vt:variant>
      <vt:variant>
        <vt:lpwstr/>
      </vt:variant>
      <vt:variant>
        <vt:lpwstr>_Toc189125150</vt:lpwstr>
      </vt:variant>
      <vt:variant>
        <vt:i4>2031675</vt:i4>
      </vt:variant>
      <vt:variant>
        <vt:i4>1070</vt:i4>
      </vt:variant>
      <vt:variant>
        <vt:i4>0</vt:i4>
      </vt:variant>
      <vt:variant>
        <vt:i4>5</vt:i4>
      </vt:variant>
      <vt:variant>
        <vt:lpwstr/>
      </vt:variant>
      <vt:variant>
        <vt:lpwstr>_Toc189125149</vt:lpwstr>
      </vt:variant>
      <vt:variant>
        <vt:i4>2031675</vt:i4>
      </vt:variant>
      <vt:variant>
        <vt:i4>1067</vt:i4>
      </vt:variant>
      <vt:variant>
        <vt:i4>0</vt:i4>
      </vt:variant>
      <vt:variant>
        <vt:i4>5</vt:i4>
      </vt:variant>
      <vt:variant>
        <vt:lpwstr/>
      </vt:variant>
      <vt:variant>
        <vt:lpwstr>_Toc189125148</vt:lpwstr>
      </vt:variant>
      <vt:variant>
        <vt:i4>2031675</vt:i4>
      </vt:variant>
      <vt:variant>
        <vt:i4>1064</vt:i4>
      </vt:variant>
      <vt:variant>
        <vt:i4>0</vt:i4>
      </vt:variant>
      <vt:variant>
        <vt:i4>5</vt:i4>
      </vt:variant>
      <vt:variant>
        <vt:lpwstr/>
      </vt:variant>
      <vt:variant>
        <vt:lpwstr>_Toc189125147</vt:lpwstr>
      </vt:variant>
      <vt:variant>
        <vt:i4>2031675</vt:i4>
      </vt:variant>
      <vt:variant>
        <vt:i4>1061</vt:i4>
      </vt:variant>
      <vt:variant>
        <vt:i4>0</vt:i4>
      </vt:variant>
      <vt:variant>
        <vt:i4>5</vt:i4>
      </vt:variant>
      <vt:variant>
        <vt:lpwstr/>
      </vt:variant>
      <vt:variant>
        <vt:lpwstr>_Toc189125146</vt:lpwstr>
      </vt:variant>
      <vt:variant>
        <vt:i4>2031675</vt:i4>
      </vt:variant>
      <vt:variant>
        <vt:i4>1058</vt:i4>
      </vt:variant>
      <vt:variant>
        <vt:i4>0</vt:i4>
      </vt:variant>
      <vt:variant>
        <vt:i4>5</vt:i4>
      </vt:variant>
      <vt:variant>
        <vt:lpwstr/>
      </vt:variant>
      <vt:variant>
        <vt:lpwstr>_Toc189125145</vt:lpwstr>
      </vt:variant>
      <vt:variant>
        <vt:i4>2031675</vt:i4>
      </vt:variant>
      <vt:variant>
        <vt:i4>1055</vt:i4>
      </vt:variant>
      <vt:variant>
        <vt:i4>0</vt:i4>
      </vt:variant>
      <vt:variant>
        <vt:i4>5</vt:i4>
      </vt:variant>
      <vt:variant>
        <vt:lpwstr/>
      </vt:variant>
      <vt:variant>
        <vt:lpwstr>_Toc189125144</vt:lpwstr>
      </vt:variant>
      <vt:variant>
        <vt:i4>2031675</vt:i4>
      </vt:variant>
      <vt:variant>
        <vt:i4>1052</vt:i4>
      </vt:variant>
      <vt:variant>
        <vt:i4>0</vt:i4>
      </vt:variant>
      <vt:variant>
        <vt:i4>5</vt:i4>
      </vt:variant>
      <vt:variant>
        <vt:lpwstr/>
      </vt:variant>
      <vt:variant>
        <vt:lpwstr>_Toc189125143</vt:lpwstr>
      </vt:variant>
      <vt:variant>
        <vt:i4>2031675</vt:i4>
      </vt:variant>
      <vt:variant>
        <vt:i4>1049</vt:i4>
      </vt:variant>
      <vt:variant>
        <vt:i4>0</vt:i4>
      </vt:variant>
      <vt:variant>
        <vt:i4>5</vt:i4>
      </vt:variant>
      <vt:variant>
        <vt:lpwstr/>
      </vt:variant>
      <vt:variant>
        <vt:lpwstr>_Toc189125142</vt:lpwstr>
      </vt:variant>
      <vt:variant>
        <vt:i4>2031675</vt:i4>
      </vt:variant>
      <vt:variant>
        <vt:i4>1046</vt:i4>
      </vt:variant>
      <vt:variant>
        <vt:i4>0</vt:i4>
      </vt:variant>
      <vt:variant>
        <vt:i4>5</vt:i4>
      </vt:variant>
      <vt:variant>
        <vt:lpwstr/>
      </vt:variant>
      <vt:variant>
        <vt:lpwstr>_Toc189125141</vt:lpwstr>
      </vt:variant>
      <vt:variant>
        <vt:i4>2031675</vt:i4>
      </vt:variant>
      <vt:variant>
        <vt:i4>1043</vt:i4>
      </vt:variant>
      <vt:variant>
        <vt:i4>0</vt:i4>
      </vt:variant>
      <vt:variant>
        <vt:i4>5</vt:i4>
      </vt:variant>
      <vt:variant>
        <vt:lpwstr/>
      </vt:variant>
      <vt:variant>
        <vt:lpwstr>_Toc189125140</vt:lpwstr>
      </vt:variant>
      <vt:variant>
        <vt:i4>1572923</vt:i4>
      </vt:variant>
      <vt:variant>
        <vt:i4>1040</vt:i4>
      </vt:variant>
      <vt:variant>
        <vt:i4>0</vt:i4>
      </vt:variant>
      <vt:variant>
        <vt:i4>5</vt:i4>
      </vt:variant>
      <vt:variant>
        <vt:lpwstr/>
      </vt:variant>
      <vt:variant>
        <vt:lpwstr>_Toc189125139</vt:lpwstr>
      </vt:variant>
      <vt:variant>
        <vt:i4>1572923</vt:i4>
      </vt:variant>
      <vt:variant>
        <vt:i4>1037</vt:i4>
      </vt:variant>
      <vt:variant>
        <vt:i4>0</vt:i4>
      </vt:variant>
      <vt:variant>
        <vt:i4>5</vt:i4>
      </vt:variant>
      <vt:variant>
        <vt:lpwstr/>
      </vt:variant>
      <vt:variant>
        <vt:lpwstr>_Toc189125138</vt:lpwstr>
      </vt:variant>
      <vt:variant>
        <vt:i4>1572923</vt:i4>
      </vt:variant>
      <vt:variant>
        <vt:i4>1034</vt:i4>
      </vt:variant>
      <vt:variant>
        <vt:i4>0</vt:i4>
      </vt:variant>
      <vt:variant>
        <vt:i4>5</vt:i4>
      </vt:variant>
      <vt:variant>
        <vt:lpwstr/>
      </vt:variant>
      <vt:variant>
        <vt:lpwstr>_Toc189125137</vt:lpwstr>
      </vt:variant>
      <vt:variant>
        <vt:i4>1572923</vt:i4>
      </vt:variant>
      <vt:variant>
        <vt:i4>1031</vt:i4>
      </vt:variant>
      <vt:variant>
        <vt:i4>0</vt:i4>
      </vt:variant>
      <vt:variant>
        <vt:i4>5</vt:i4>
      </vt:variant>
      <vt:variant>
        <vt:lpwstr/>
      </vt:variant>
      <vt:variant>
        <vt:lpwstr>_Toc189125136</vt:lpwstr>
      </vt:variant>
      <vt:variant>
        <vt:i4>1572923</vt:i4>
      </vt:variant>
      <vt:variant>
        <vt:i4>1028</vt:i4>
      </vt:variant>
      <vt:variant>
        <vt:i4>0</vt:i4>
      </vt:variant>
      <vt:variant>
        <vt:i4>5</vt:i4>
      </vt:variant>
      <vt:variant>
        <vt:lpwstr/>
      </vt:variant>
      <vt:variant>
        <vt:lpwstr>_Toc189125135</vt:lpwstr>
      </vt:variant>
      <vt:variant>
        <vt:i4>1572923</vt:i4>
      </vt:variant>
      <vt:variant>
        <vt:i4>1025</vt:i4>
      </vt:variant>
      <vt:variant>
        <vt:i4>0</vt:i4>
      </vt:variant>
      <vt:variant>
        <vt:i4>5</vt:i4>
      </vt:variant>
      <vt:variant>
        <vt:lpwstr/>
      </vt:variant>
      <vt:variant>
        <vt:lpwstr>_Toc189125134</vt:lpwstr>
      </vt:variant>
      <vt:variant>
        <vt:i4>1572923</vt:i4>
      </vt:variant>
      <vt:variant>
        <vt:i4>1022</vt:i4>
      </vt:variant>
      <vt:variant>
        <vt:i4>0</vt:i4>
      </vt:variant>
      <vt:variant>
        <vt:i4>5</vt:i4>
      </vt:variant>
      <vt:variant>
        <vt:lpwstr/>
      </vt:variant>
      <vt:variant>
        <vt:lpwstr>_Toc189125133</vt:lpwstr>
      </vt:variant>
      <vt:variant>
        <vt:i4>1572923</vt:i4>
      </vt:variant>
      <vt:variant>
        <vt:i4>1019</vt:i4>
      </vt:variant>
      <vt:variant>
        <vt:i4>0</vt:i4>
      </vt:variant>
      <vt:variant>
        <vt:i4>5</vt:i4>
      </vt:variant>
      <vt:variant>
        <vt:lpwstr/>
      </vt:variant>
      <vt:variant>
        <vt:lpwstr>_Toc189125132</vt:lpwstr>
      </vt:variant>
      <vt:variant>
        <vt:i4>1572923</vt:i4>
      </vt:variant>
      <vt:variant>
        <vt:i4>1016</vt:i4>
      </vt:variant>
      <vt:variant>
        <vt:i4>0</vt:i4>
      </vt:variant>
      <vt:variant>
        <vt:i4>5</vt:i4>
      </vt:variant>
      <vt:variant>
        <vt:lpwstr/>
      </vt:variant>
      <vt:variant>
        <vt:lpwstr>_Toc189125131</vt:lpwstr>
      </vt:variant>
      <vt:variant>
        <vt:i4>1572923</vt:i4>
      </vt:variant>
      <vt:variant>
        <vt:i4>1013</vt:i4>
      </vt:variant>
      <vt:variant>
        <vt:i4>0</vt:i4>
      </vt:variant>
      <vt:variant>
        <vt:i4>5</vt:i4>
      </vt:variant>
      <vt:variant>
        <vt:lpwstr/>
      </vt:variant>
      <vt:variant>
        <vt:lpwstr>_Toc189125130</vt:lpwstr>
      </vt:variant>
      <vt:variant>
        <vt:i4>1638459</vt:i4>
      </vt:variant>
      <vt:variant>
        <vt:i4>1010</vt:i4>
      </vt:variant>
      <vt:variant>
        <vt:i4>0</vt:i4>
      </vt:variant>
      <vt:variant>
        <vt:i4>5</vt:i4>
      </vt:variant>
      <vt:variant>
        <vt:lpwstr/>
      </vt:variant>
      <vt:variant>
        <vt:lpwstr>_Toc189125129</vt:lpwstr>
      </vt:variant>
      <vt:variant>
        <vt:i4>1638459</vt:i4>
      </vt:variant>
      <vt:variant>
        <vt:i4>1007</vt:i4>
      </vt:variant>
      <vt:variant>
        <vt:i4>0</vt:i4>
      </vt:variant>
      <vt:variant>
        <vt:i4>5</vt:i4>
      </vt:variant>
      <vt:variant>
        <vt:lpwstr/>
      </vt:variant>
      <vt:variant>
        <vt:lpwstr>_Toc189125128</vt:lpwstr>
      </vt:variant>
      <vt:variant>
        <vt:i4>1638459</vt:i4>
      </vt:variant>
      <vt:variant>
        <vt:i4>1004</vt:i4>
      </vt:variant>
      <vt:variant>
        <vt:i4>0</vt:i4>
      </vt:variant>
      <vt:variant>
        <vt:i4>5</vt:i4>
      </vt:variant>
      <vt:variant>
        <vt:lpwstr/>
      </vt:variant>
      <vt:variant>
        <vt:lpwstr>_Toc189125127</vt:lpwstr>
      </vt:variant>
      <vt:variant>
        <vt:i4>1638459</vt:i4>
      </vt:variant>
      <vt:variant>
        <vt:i4>998</vt:i4>
      </vt:variant>
      <vt:variant>
        <vt:i4>0</vt:i4>
      </vt:variant>
      <vt:variant>
        <vt:i4>5</vt:i4>
      </vt:variant>
      <vt:variant>
        <vt:lpwstr/>
      </vt:variant>
      <vt:variant>
        <vt:lpwstr>_Toc189125126</vt:lpwstr>
      </vt:variant>
      <vt:variant>
        <vt:i4>1638459</vt:i4>
      </vt:variant>
      <vt:variant>
        <vt:i4>995</vt:i4>
      </vt:variant>
      <vt:variant>
        <vt:i4>0</vt:i4>
      </vt:variant>
      <vt:variant>
        <vt:i4>5</vt:i4>
      </vt:variant>
      <vt:variant>
        <vt:lpwstr/>
      </vt:variant>
      <vt:variant>
        <vt:lpwstr>_Toc189125125</vt:lpwstr>
      </vt:variant>
      <vt:variant>
        <vt:i4>1703995</vt:i4>
      </vt:variant>
      <vt:variant>
        <vt:i4>992</vt:i4>
      </vt:variant>
      <vt:variant>
        <vt:i4>0</vt:i4>
      </vt:variant>
      <vt:variant>
        <vt:i4>5</vt:i4>
      </vt:variant>
      <vt:variant>
        <vt:lpwstr/>
      </vt:variant>
      <vt:variant>
        <vt:lpwstr>_Toc189125115</vt:lpwstr>
      </vt:variant>
      <vt:variant>
        <vt:i4>1703995</vt:i4>
      </vt:variant>
      <vt:variant>
        <vt:i4>989</vt:i4>
      </vt:variant>
      <vt:variant>
        <vt:i4>0</vt:i4>
      </vt:variant>
      <vt:variant>
        <vt:i4>5</vt:i4>
      </vt:variant>
      <vt:variant>
        <vt:lpwstr/>
      </vt:variant>
      <vt:variant>
        <vt:lpwstr>_Toc189125114</vt:lpwstr>
      </vt:variant>
      <vt:variant>
        <vt:i4>1703995</vt:i4>
      </vt:variant>
      <vt:variant>
        <vt:i4>986</vt:i4>
      </vt:variant>
      <vt:variant>
        <vt:i4>0</vt:i4>
      </vt:variant>
      <vt:variant>
        <vt:i4>5</vt:i4>
      </vt:variant>
      <vt:variant>
        <vt:lpwstr/>
      </vt:variant>
      <vt:variant>
        <vt:lpwstr>_Toc189125113</vt:lpwstr>
      </vt:variant>
      <vt:variant>
        <vt:i4>1703995</vt:i4>
      </vt:variant>
      <vt:variant>
        <vt:i4>983</vt:i4>
      </vt:variant>
      <vt:variant>
        <vt:i4>0</vt:i4>
      </vt:variant>
      <vt:variant>
        <vt:i4>5</vt:i4>
      </vt:variant>
      <vt:variant>
        <vt:lpwstr/>
      </vt:variant>
      <vt:variant>
        <vt:lpwstr>_Toc189125112</vt:lpwstr>
      </vt:variant>
      <vt:variant>
        <vt:i4>1703995</vt:i4>
      </vt:variant>
      <vt:variant>
        <vt:i4>980</vt:i4>
      </vt:variant>
      <vt:variant>
        <vt:i4>0</vt:i4>
      </vt:variant>
      <vt:variant>
        <vt:i4>5</vt:i4>
      </vt:variant>
      <vt:variant>
        <vt:lpwstr/>
      </vt:variant>
      <vt:variant>
        <vt:lpwstr>_Toc189125111</vt:lpwstr>
      </vt:variant>
      <vt:variant>
        <vt:i4>1703995</vt:i4>
      </vt:variant>
      <vt:variant>
        <vt:i4>977</vt:i4>
      </vt:variant>
      <vt:variant>
        <vt:i4>0</vt:i4>
      </vt:variant>
      <vt:variant>
        <vt:i4>5</vt:i4>
      </vt:variant>
      <vt:variant>
        <vt:lpwstr/>
      </vt:variant>
      <vt:variant>
        <vt:lpwstr>_Toc189125110</vt:lpwstr>
      </vt:variant>
      <vt:variant>
        <vt:i4>1769531</vt:i4>
      </vt:variant>
      <vt:variant>
        <vt:i4>974</vt:i4>
      </vt:variant>
      <vt:variant>
        <vt:i4>0</vt:i4>
      </vt:variant>
      <vt:variant>
        <vt:i4>5</vt:i4>
      </vt:variant>
      <vt:variant>
        <vt:lpwstr/>
      </vt:variant>
      <vt:variant>
        <vt:lpwstr>_Toc189125109</vt:lpwstr>
      </vt:variant>
      <vt:variant>
        <vt:i4>1769531</vt:i4>
      </vt:variant>
      <vt:variant>
        <vt:i4>971</vt:i4>
      </vt:variant>
      <vt:variant>
        <vt:i4>0</vt:i4>
      </vt:variant>
      <vt:variant>
        <vt:i4>5</vt:i4>
      </vt:variant>
      <vt:variant>
        <vt:lpwstr/>
      </vt:variant>
      <vt:variant>
        <vt:lpwstr>_Toc189125108</vt:lpwstr>
      </vt:variant>
      <vt:variant>
        <vt:i4>1769531</vt:i4>
      </vt:variant>
      <vt:variant>
        <vt:i4>968</vt:i4>
      </vt:variant>
      <vt:variant>
        <vt:i4>0</vt:i4>
      </vt:variant>
      <vt:variant>
        <vt:i4>5</vt:i4>
      </vt:variant>
      <vt:variant>
        <vt:lpwstr/>
      </vt:variant>
      <vt:variant>
        <vt:lpwstr>_Toc189125107</vt:lpwstr>
      </vt:variant>
      <vt:variant>
        <vt:i4>1769531</vt:i4>
      </vt:variant>
      <vt:variant>
        <vt:i4>965</vt:i4>
      </vt:variant>
      <vt:variant>
        <vt:i4>0</vt:i4>
      </vt:variant>
      <vt:variant>
        <vt:i4>5</vt:i4>
      </vt:variant>
      <vt:variant>
        <vt:lpwstr/>
      </vt:variant>
      <vt:variant>
        <vt:lpwstr>_Toc189125106</vt:lpwstr>
      </vt:variant>
      <vt:variant>
        <vt:i4>1769531</vt:i4>
      </vt:variant>
      <vt:variant>
        <vt:i4>962</vt:i4>
      </vt:variant>
      <vt:variant>
        <vt:i4>0</vt:i4>
      </vt:variant>
      <vt:variant>
        <vt:i4>5</vt:i4>
      </vt:variant>
      <vt:variant>
        <vt:lpwstr/>
      </vt:variant>
      <vt:variant>
        <vt:lpwstr>_Toc189125105</vt:lpwstr>
      </vt:variant>
      <vt:variant>
        <vt:i4>1769531</vt:i4>
      </vt:variant>
      <vt:variant>
        <vt:i4>959</vt:i4>
      </vt:variant>
      <vt:variant>
        <vt:i4>0</vt:i4>
      </vt:variant>
      <vt:variant>
        <vt:i4>5</vt:i4>
      </vt:variant>
      <vt:variant>
        <vt:lpwstr/>
      </vt:variant>
      <vt:variant>
        <vt:lpwstr>_Toc189125104</vt:lpwstr>
      </vt:variant>
      <vt:variant>
        <vt:i4>1769531</vt:i4>
      </vt:variant>
      <vt:variant>
        <vt:i4>956</vt:i4>
      </vt:variant>
      <vt:variant>
        <vt:i4>0</vt:i4>
      </vt:variant>
      <vt:variant>
        <vt:i4>5</vt:i4>
      </vt:variant>
      <vt:variant>
        <vt:lpwstr/>
      </vt:variant>
      <vt:variant>
        <vt:lpwstr>_Toc189125103</vt:lpwstr>
      </vt:variant>
      <vt:variant>
        <vt:i4>1769531</vt:i4>
      </vt:variant>
      <vt:variant>
        <vt:i4>953</vt:i4>
      </vt:variant>
      <vt:variant>
        <vt:i4>0</vt:i4>
      </vt:variant>
      <vt:variant>
        <vt:i4>5</vt:i4>
      </vt:variant>
      <vt:variant>
        <vt:lpwstr/>
      </vt:variant>
      <vt:variant>
        <vt:lpwstr>_Toc189125101</vt:lpwstr>
      </vt:variant>
      <vt:variant>
        <vt:i4>1769531</vt:i4>
      </vt:variant>
      <vt:variant>
        <vt:i4>950</vt:i4>
      </vt:variant>
      <vt:variant>
        <vt:i4>0</vt:i4>
      </vt:variant>
      <vt:variant>
        <vt:i4>5</vt:i4>
      </vt:variant>
      <vt:variant>
        <vt:lpwstr/>
      </vt:variant>
      <vt:variant>
        <vt:lpwstr>_Toc189125100</vt:lpwstr>
      </vt:variant>
      <vt:variant>
        <vt:i4>1179706</vt:i4>
      </vt:variant>
      <vt:variant>
        <vt:i4>947</vt:i4>
      </vt:variant>
      <vt:variant>
        <vt:i4>0</vt:i4>
      </vt:variant>
      <vt:variant>
        <vt:i4>5</vt:i4>
      </vt:variant>
      <vt:variant>
        <vt:lpwstr/>
      </vt:variant>
      <vt:variant>
        <vt:lpwstr>_Toc189125099</vt:lpwstr>
      </vt:variant>
      <vt:variant>
        <vt:i4>1179706</vt:i4>
      </vt:variant>
      <vt:variant>
        <vt:i4>944</vt:i4>
      </vt:variant>
      <vt:variant>
        <vt:i4>0</vt:i4>
      </vt:variant>
      <vt:variant>
        <vt:i4>5</vt:i4>
      </vt:variant>
      <vt:variant>
        <vt:lpwstr/>
      </vt:variant>
      <vt:variant>
        <vt:lpwstr>_Toc189125097</vt:lpwstr>
      </vt:variant>
      <vt:variant>
        <vt:i4>1179706</vt:i4>
      </vt:variant>
      <vt:variant>
        <vt:i4>941</vt:i4>
      </vt:variant>
      <vt:variant>
        <vt:i4>0</vt:i4>
      </vt:variant>
      <vt:variant>
        <vt:i4>5</vt:i4>
      </vt:variant>
      <vt:variant>
        <vt:lpwstr/>
      </vt:variant>
      <vt:variant>
        <vt:lpwstr>_Toc189125096</vt:lpwstr>
      </vt:variant>
      <vt:variant>
        <vt:i4>1179706</vt:i4>
      </vt:variant>
      <vt:variant>
        <vt:i4>938</vt:i4>
      </vt:variant>
      <vt:variant>
        <vt:i4>0</vt:i4>
      </vt:variant>
      <vt:variant>
        <vt:i4>5</vt:i4>
      </vt:variant>
      <vt:variant>
        <vt:lpwstr/>
      </vt:variant>
      <vt:variant>
        <vt:lpwstr>_Toc189125095</vt:lpwstr>
      </vt:variant>
      <vt:variant>
        <vt:i4>1179706</vt:i4>
      </vt:variant>
      <vt:variant>
        <vt:i4>935</vt:i4>
      </vt:variant>
      <vt:variant>
        <vt:i4>0</vt:i4>
      </vt:variant>
      <vt:variant>
        <vt:i4>5</vt:i4>
      </vt:variant>
      <vt:variant>
        <vt:lpwstr/>
      </vt:variant>
      <vt:variant>
        <vt:lpwstr>_Toc189125094</vt:lpwstr>
      </vt:variant>
      <vt:variant>
        <vt:i4>1179706</vt:i4>
      </vt:variant>
      <vt:variant>
        <vt:i4>932</vt:i4>
      </vt:variant>
      <vt:variant>
        <vt:i4>0</vt:i4>
      </vt:variant>
      <vt:variant>
        <vt:i4>5</vt:i4>
      </vt:variant>
      <vt:variant>
        <vt:lpwstr/>
      </vt:variant>
      <vt:variant>
        <vt:lpwstr>_Toc189125093</vt:lpwstr>
      </vt:variant>
      <vt:variant>
        <vt:i4>1179706</vt:i4>
      </vt:variant>
      <vt:variant>
        <vt:i4>929</vt:i4>
      </vt:variant>
      <vt:variant>
        <vt:i4>0</vt:i4>
      </vt:variant>
      <vt:variant>
        <vt:i4>5</vt:i4>
      </vt:variant>
      <vt:variant>
        <vt:lpwstr/>
      </vt:variant>
      <vt:variant>
        <vt:lpwstr>_Toc189125092</vt:lpwstr>
      </vt:variant>
      <vt:variant>
        <vt:i4>1179706</vt:i4>
      </vt:variant>
      <vt:variant>
        <vt:i4>926</vt:i4>
      </vt:variant>
      <vt:variant>
        <vt:i4>0</vt:i4>
      </vt:variant>
      <vt:variant>
        <vt:i4>5</vt:i4>
      </vt:variant>
      <vt:variant>
        <vt:lpwstr/>
      </vt:variant>
      <vt:variant>
        <vt:lpwstr>_Toc189125091</vt:lpwstr>
      </vt:variant>
      <vt:variant>
        <vt:i4>1179706</vt:i4>
      </vt:variant>
      <vt:variant>
        <vt:i4>923</vt:i4>
      </vt:variant>
      <vt:variant>
        <vt:i4>0</vt:i4>
      </vt:variant>
      <vt:variant>
        <vt:i4>5</vt:i4>
      </vt:variant>
      <vt:variant>
        <vt:lpwstr/>
      </vt:variant>
      <vt:variant>
        <vt:lpwstr>_Toc189125090</vt:lpwstr>
      </vt:variant>
      <vt:variant>
        <vt:i4>1245242</vt:i4>
      </vt:variant>
      <vt:variant>
        <vt:i4>920</vt:i4>
      </vt:variant>
      <vt:variant>
        <vt:i4>0</vt:i4>
      </vt:variant>
      <vt:variant>
        <vt:i4>5</vt:i4>
      </vt:variant>
      <vt:variant>
        <vt:lpwstr/>
      </vt:variant>
      <vt:variant>
        <vt:lpwstr>_Toc189125089</vt:lpwstr>
      </vt:variant>
      <vt:variant>
        <vt:i4>1245242</vt:i4>
      </vt:variant>
      <vt:variant>
        <vt:i4>917</vt:i4>
      </vt:variant>
      <vt:variant>
        <vt:i4>0</vt:i4>
      </vt:variant>
      <vt:variant>
        <vt:i4>5</vt:i4>
      </vt:variant>
      <vt:variant>
        <vt:lpwstr/>
      </vt:variant>
      <vt:variant>
        <vt:lpwstr>_Toc189125088</vt:lpwstr>
      </vt:variant>
      <vt:variant>
        <vt:i4>1245242</vt:i4>
      </vt:variant>
      <vt:variant>
        <vt:i4>914</vt:i4>
      </vt:variant>
      <vt:variant>
        <vt:i4>0</vt:i4>
      </vt:variant>
      <vt:variant>
        <vt:i4>5</vt:i4>
      </vt:variant>
      <vt:variant>
        <vt:lpwstr/>
      </vt:variant>
      <vt:variant>
        <vt:lpwstr>_Toc189125087</vt:lpwstr>
      </vt:variant>
      <vt:variant>
        <vt:i4>1245242</vt:i4>
      </vt:variant>
      <vt:variant>
        <vt:i4>911</vt:i4>
      </vt:variant>
      <vt:variant>
        <vt:i4>0</vt:i4>
      </vt:variant>
      <vt:variant>
        <vt:i4>5</vt:i4>
      </vt:variant>
      <vt:variant>
        <vt:lpwstr/>
      </vt:variant>
      <vt:variant>
        <vt:lpwstr>_Toc189125086</vt:lpwstr>
      </vt:variant>
      <vt:variant>
        <vt:i4>1245242</vt:i4>
      </vt:variant>
      <vt:variant>
        <vt:i4>908</vt:i4>
      </vt:variant>
      <vt:variant>
        <vt:i4>0</vt:i4>
      </vt:variant>
      <vt:variant>
        <vt:i4>5</vt:i4>
      </vt:variant>
      <vt:variant>
        <vt:lpwstr/>
      </vt:variant>
      <vt:variant>
        <vt:lpwstr>_Toc189125085</vt:lpwstr>
      </vt:variant>
      <vt:variant>
        <vt:i4>1245242</vt:i4>
      </vt:variant>
      <vt:variant>
        <vt:i4>905</vt:i4>
      </vt:variant>
      <vt:variant>
        <vt:i4>0</vt:i4>
      </vt:variant>
      <vt:variant>
        <vt:i4>5</vt:i4>
      </vt:variant>
      <vt:variant>
        <vt:lpwstr/>
      </vt:variant>
      <vt:variant>
        <vt:lpwstr>_Toc189125084</vt:lpwstr>
      </vt:variant>
      <vt:variant>
        <vt:i4>1245242</vt:i4>
      </vt:variant>
      <vt:variant>
        <vt:i4>902</vt:i4>
      </vt:variant>
      <vt:variant>
        <vt:i4>0</vt:i4>
      </vt:variant>
      <vt:variant>
        <vt:i4>5</vt:i4>
      </vt:variant>
      <vt:variant>
        <vt:lpwstr/>
      </vt:variant>
      <vt:variant>
        <vt:lpwstr>_Toc189125083</vt:lpwstr>
      </vt:variant>
      <vt:variant>
        <vt:i4>1245242</vt:i4>
      </vt:variant>
      <vt:variant>
        <vt:i4>899</vt:i4>
      </vt:variant>
      <vt:variant>
        <vt:i4>0</vt:i4>
      </vt:variant>
      <vt:variant>
        <vt:i4>5</vt:i4>
      </vt:variant>
      <vt:variant>
        <vt:lpwstr/>
      </vt:variant>
      <vt:variant>
        <vt:lpwstr>_Toc189125082</vt:lpwstr>
      </vt:variant>
      <vt:variant>
        <vt:i4>1245242</vt:i4>
      </vt:variant>
      <vt:variant>
        <vt:i4>896</vt:i4>
      </vt:variant>
      <vt:variant>
        <vt:i4>0</vt:i4>
      </vt:variant>
      <vt:variant>
        <vt:i4>5</vt:i4>
      </vt:variant>
      <vt:variant>
        <vt:lpwstr/>
      </vt:variant>
      <vt:variant>
        <vt:lpwstr>_Toc189125081</vt:lpwstr>
      </vt:variant>
      <vt:variant>
        <vt:i4>1245242</vt:i4>
      </vt:variant>
      <vt:variant>
        <vt:i4>893</vt:i4>
      </vt:variant>
      <vt:variant>
        <vt:i4>0</vt:i4>
      </vt:variant>
      <vt:variant>
        <vt:i4>5</vt:i4>
      </vt:variant>
      <vt:variant>
        <vt:lpwstr/>
      </vt:variant>
      <vt:variant>
        <vt:lpwstr>_Toc189125080</vt:lpwstr>
      </vt:variant>
      <vt:variant>
        <vt:i4>1835066</vt:i4>
      </vt:variant>
      <vt:variant>
        <vt:i4>890</vt:i4>
      </vt:variant>
      <vt:variant>
        <vt:i4>0</vt:i4>
      </vt:variant>
      <vt:variant>
        <vt:i4>5</vt:i4>
      </vt:variant>
      <vt:variant>
        <vt:lpwstr/>
      </vt:variant>
      <vt:variant>
        <vt:lpwstr>_Toc189125079</vt:lpwstr>
      </vt:variant>
      <vt:variant>
        <vt:i4>1835066</vt:i4>
      </vt:variant>
      <vt:variant>
        <vt:i4>887</vt:i4>
      </vt:variant>
      <vt:variant>
        <vt:i4>0</vt:i4>
      </vt:variant>
      <vt:variant>
        <vt:i4>5</vt:i4>
      </vt:variant>
      <vt:variant>
        <vt:lpwstr/>
      </vt:variant>
      <vt:variant>
        <vt:lpwstr>_Toc189125078</vt:lpwstr>
      </vt:variant>
      <vt:variant>
        <vt:i4>1835066</vt:i4>
      </vt:variant>
      <vt:variant>
        <vt:i4>884</vt:i4>
      </vt:variant>
      <vt:variant>
        <vt:i4>0</vt:i4>
      </vt:variant>
      <vt:variant>
        <vt:i4>5</vt:i4>
      </vt:variant>
      <vt:variant>
        <vt:lpwstr/>
      </vt:variant>
      <vt:variant>
        <vt:lpwstr>_Toc189125077</vt:lpwstr>
      </vt:variant>
      <vt:variant>
        <vt:i4>1835066</vt:i4>
      </vt:variant>
      <vt:variant>
        <vt:i4>881</vt:i4>
      </vt:variant>
      <vt:variant>
        <vt:i4>0</vt:i4>
      </vt:variant>
      <vt:variant>
        <vt:i4>5</vt:i4>
      </vt:variant>
      <vt:variant>
        <vt:lpwstr/>
      </vt:variant>
      <vt:variant>
        <vt:lpwstr>_Toc189125076</vt:lpwstr>
      </vt:variant>
      <vt:variant>
        <vt:i4>1835066</vt:i4>
      </vt:variant>
      <vt:variant>
        <vt:i4>878</vt:i4>
      </vt:variant>
      <vt:variant>
        <vt:i4>0</vt:i4>
      </vt:variant>
      <vt:variant>
        <vt:i4>5</vt:i4>
      </vt:variant>
      <vt:variant>
        <vt:lpwstr/>
      </vt:variant>
      <vt:variant>
        <vt:lpwstr>_Toc189125075</vt:lpwstr>
      </vt:variant>
      <vt:variant>
        <vt:i4>1376308</vt:i4>
      </vt:variant>
      <vt:variant>
        <vt:i4>326</vt:i4>
      </vt:variant>
      <vt:variant>
        <vt:i4>0</vt:i4>
      </vt:variant>
      <vt:variant>
        <vt:i4>5</vt:i4>
      </vt:variant>
      <vt:variant>
        <vt:lpwstr/>
      </vt:variant>
      <vt:variant>
        <vt:lpwstr>_Toc189042882</vt:lpwstr>
      </vt:variant>
      <vt:variant>
        <vt:i4>1376308</vt:i4>
      </vt:variant>
      <vt:variant>
        <vt:i4>320</vt:i4>
      </vt:variant>
      <vt:variant>
        <vt:i4>0</vt:i4>
      </vt:variant>
      <vt:variant>
        <vt:i4>5</vt:i4>
      </vt:variant>
      <vt:variant>
        <vt:lpwstr/>
      </vt:variant>
      <vt:variant>
        <vt:lpwstr>_Toc189042881</vt:lpwstr>
      </vt:variant>
      <vt:variant>
        <vt:i4>1376308</vt:i4>
      </vt:variant>
      <vt:variant>
        <vt:i4>314</vt:i4>
      </vt:variant>
      <vt:variant>
        <vt:i4>0</vt:i4>
      </vt:variant>
      <vt:variant>
        <vt:i4>5</vt:i4>
      </vt:variant>
      <vt:variant>
        <vt:lpwstr/>
      </vt:variant>
      <vt:variant>
        <vt:lpwstr>_Toc189042880</vt:lpwstr>
      </vt:variant>
      <vt:variant>
        <vt:i4>1703988</vt:i4>
      </vt:variant>
      <vt:variant>
        <vt:i4>308</vt:i4>
      </vt:variant>
      <vt:variant>
        <vt:i4>0</vt:i4>
      </vt:variant>
      <vt:variant>
        <vt:i4>5</vt:i4>
      </vt:variant>
      <vt:variant>
        <vt:lpwstr/>
      </vt:variant>
      <vt:variant>
        <vt:lpwstr>_Toc189042879</vt:lpwstr>
      </vt:variant>
      <vt:variant>
        <vt:i4>1703988</vt:i4>
      </vt:variant>
      <vt:variant>
        <vt:i4>302</vt:i4>
      </vt:variant>
      <vt:variant>
        <vt:i4>0</vt:i4>
      </vt:variant>
      <vt:variant>
        <vt:i4>5</vt:i4>
      </vt:variant>
      <vt:variant>
        <vt:lpwstr/>
      </vt:variant>
      <vt:variant>
        <vt:lpwstr>_Toc189042878</vt:lpwstr>
      </vt:variant>
      <vt:variant>
        <vt:i4>1703988</vt:i4>
      </vt:variant>
      <vt:variant>
        <vt:i4>296</vt:i4>
      </vt:variant>
      <vt:variant>
        <vt:i4>0</vt:i4>
      </vt:variant>
      <vt:variant>
        <vt:i4>5</vt:i4>
      </vt:variant>
      <vt:variant>
        <vt:lpwstr/>
      </vt:variant>
      <vt:variant>
        <vt:lpwstr>_Toc189042877</vt:lpwstr>
      </vt:variant>
      <vt:variant>
        <vt:i4>1703988</vt:i4>
      </vt:variant>
      <vt:variant>
        <vt:i4>290</vt:i4>
      </vt:variant>
      <vt:variant>
        <vt:i4>0</vt:i4>
      </vt:variant>
      <vt:variant>
        <vt:i4>5</vt:i4>
      </vt:variant>
      <vt:variant>
        <vt:lpwstr/>
      </vt:variant>
      <vt:variant>
        <vt:lpwstr>_Toc189042876</vt:lpwstr>
      </vt:variant>
      <vt:variant>
        <vt:i4>1703988</vt:i4>
      </vt:variant>
      <vt:variant>
        <vt:i4>284</vt:i4>
      </vt:variant>
      <vt:variant>
        <vt:i4>0</vt:i4>
      </vt:variant>
      <vt:variant>
        <vt:i4>5</vt:i4>
      </vt:variant>
      <vt:variant>
        <vt:lpwstr/>
      </vt:variant>
      <vt:variant>
        <vt:lpwstr>_Toc189042875</vt:lpwstr>
      </vt:variant>
      <vt:variant>
        <vt:i4>1703988</vt:i4>
      </vt:variant>
      <vt:variant>
        <vt:i4>278</vt:i4>
      </vt:variant>
      <vt:variant>
        <vt:i4>0</vt:i4>
      </vt:variant>
      <vt:variant>
        <vt:i4>5</vt:i4>
      </vt:variant>
      <vt:variant>
        <vt:lpwstr/>
      </vt:variant>
      <vt:variant>
        <vt:lpwstr>_Toc189042874</vt:lpwstr>
      </vt:variant>
      <vt:variant>
        <vt:i4>1703988</vt:i4>
      </vt:variant>
      <vt:variant>
        <vt:i4>272</vt:i4>
      </vt:variant>
      <vt:variant>
        <vt:i4>0</vt:i4>
      </vt:variant>
      <vt:variant>
        <vt:i4>5</vt:i4>
      </vt:variant>
      <vt:variant>
        <vt:lpwstr/>
      </vt:variant>
      <vt:variant>
        <vt:lpwstr>_Toc189042873</vt:lpwstr>
      </vt:variant>
      <vt:variant>
        <vt:i4>1703988</vt:i4>
      </vt:variant>
      <vt:variant>
        <vt:i4>266</vt:i4>
      </vt:variant>
      <vt:variant>
        <vt:i4>0</vt:i4>
      </vt:variant>
      <vt:variant>
        <vt:i4>5</vt:i4>
      </vt:variant>
      <vt:variant>
        <vt:lpwstr/>
      </vt:variant>
      <vt:variant>
        <vt:lpwstr>_Toc189042872</vt:lpwstr>
      </vt:variant>
      <vt:variant>
        <vt:i4>1703988</vt:i4>
      </vt:variant>
      <vt:variant>
        <vt:i4>260</vt:i4>
      </vt:variant>
      <vt:variant>
        <vt:i4>0</vt:i4>
      </vt:variant>
      <vt:variant>
        <vt:i4>5</vt:i4>
      </vt:variant>
      <vt:variant>
        <vt:lpwstr/>
      </vt:variant>
      <vt:variant>
        <vt:lpwstr>_Toc189042871</vt:lpwstr>
      </vt:variant>
      <vt:variant>
        <vt:i4>1703988</vt:i4>
      </vt:variant>
      <vt:variant>
        <vt:i4>254</vt:i4>
      </vt:variant>
      <vt:variant>
        <vt:i4>0</vt:i4>
      </vt:variant>
      <vt:variant>
        <vt:i4>5</vt:i4>
      </vt:variant>
      <vt:variant>
        <vt:lpwstr/>
      </vt:variant>
      <vt:variant>
        <vt:lpwstr>_Toc189042870</vt:lpwstr>
      </vt:variant>
      <vt:variant>
        <vt:i4>1769524</vt:i4>
      </vt:variant>
      <vt:variant>
        <vt:i4>248</vt:i4>
      </vt:variant>
      <vt:variant>
        <vt:i4>0</vt:i4>
      </vt:variant>
      <vt:variant>
        <vt:i4>5</vt:i4>
      </vt:variant>
      <vt:variant>
        <vt:lpwstr/>
      </vt:variant>
      <vt:variant>
        <vt:lpwstr>_Toc189042869</vt:lpwstr>
      </vt:variant>
      <vt:variant>
        <vt:i4>1769524</vt:i4>
      </vt:variant>
      <vt:variant>
        <vt:i4>242</vt:i4>
      </vt:variant>
      <vt:variant>
        <vt:i4>0</vt:i4>
      </vt:variant>
      <vt:variant>
        <vt:i4>5</vt:i4>
      </vt:variant>
      <vt:variant>
        <vt:lpwstr/>
      </vt:variant>
      <vt:variant>
        <vt:lpwstr>_Toc189042868</vt:lpwstr>
      </vt:variant>
      <vt:variant>
        <vt:i4>1769524</vt:i4>
      </vt:variant>
      <vt:variant>
        <vt:i4>236</vt:i4>
      </vt:variant>
      <vt:variant>
        <vt:i4>0</vt:i4>
      </vt:variant>
      <vt:variant>
        <vt:i4>5</vt:i4>
      </vt:variant>
      <vt:variant>
        <vt:lpwstr/>
      </vt:variant>
      <vt:variant>
        <vt:lpwstr>_Toc189042867</vt:lpwstr>
      </vt:variant>
      <vt:variant>
        <vt:i4>1769524</vt:i4>
      </vt:variant>
      <vt:variant>
        <vt:i4>230</vt:i4>
      </vt:variant>
      <vt:variant>
        <vt:i4>0</vt:i4>
      </vt:variant>
      <vt:variant>
        <vt:i4>5</vt:i4>
      </vt:variant>
      <vt:variant>
        <vt:lpwstr/>
      </vt:variant>
      <vt:variant>
        <vt:lpwstr>_Toc189042866</vt:lpwstr>
      </vt:variant>
      <vt:variant>
        <vt:i4>1769524</vt:i4>
      </vt:variant>
      <vt:variant>
        <vt:i4>224</vt:i4>
      </vt:variant>
      <vt:variant>
        <vt:i4>0</vt:i4>
      </vt:variant>
      <vt:variant>
        <vt:i4>5</vt:i4>
      </vt:variant>
      <vt:variant>
        <vt:lpwstr/>
      </vt:variant>
      <vt:variant>
        <vt:lpwstr>_Toc189042860</vt:lpwstr>
      </vt:variant>
      <vt:variant>
        <vt:i4>1572916</vt:i4>
      </vt:variant>
      <vt:variant>
        <vt:i4>218</vt:i4>
      </vt:variant>
      <vt:variant>
        <vt:i4>0</vt:i4>
      </vt:variant>
      <vt:variant>
        <vt:i4>5</vt:i4>
      </vt:variant>
      <vt:variant>
        <vt:lpwstr/>
      </vt:variant>
      <vt:variant>
        <vt:lpwstr>_Toc189042859</vt:lpwstr>
      </vt:variant>
      <vt:variant>
        <vt:i4>1572916</vt:i4>
      </vt:variant>
      <vt:variant>
        <vt:i4>212</vt:i4>
      </vt:variant>
      <vt:variant>
        <vt:i4>0</vt:i4>
      </vt:variant>
      <vt:variant>
        <vt:i4>5</vt:i4>
      </vt:variant>
      <vt:variant>
        <vt:lpwstr/>
      </vt:variant>
      <vt:variant>
        <vt:lpwstr>_Toc189042858</vt:lpwstr>
      </vt:variant>
      <vt:variant>
        <vt:i4>1572916</vt:i4>
      </vt:variant>
      <vt:variant>
        <vt:i4>206</vt:i4>
      </vt:variant>
      <vt:variant>
        <vt:i4>0</vt:i4>
      </vt:variant>
      <vt:variant>
        <vt:i4>5</vt:i4>
      </vt:variant>
      <vt:variant>
        <vt:lpwstr/>
      </vt:variant>
      <vt:variant>
        <vt:lpwstr>_Toc189042857</vt:lpwstr>
      </vt:variant>
      <vt:variant>
        <vt:i4>1572916</vt:i4>
      </vt:variant>
      <vt:variant>
        <vt:i4>200</vt:i4>
      </vt:variant>
      <vt:variant>
        <vt:i4>0</vt:i4>
      </vt:variant>
      <vt:variant>
        <vt:i4>5</vt:i4>
      </vt:variant>
      <vt:variant>
        <vt:lpwstr/>
      </vt:variant>
      <vt:variant>
        <vt:lpwstr>_Toc189042856</vt:lpwstr>
      </vt:variant>
      <vt:variant>
        <vt:i4>1572916</vt:i4>
      </vt:variant>
      <vt:variant>
        <vt:i4>194</vt:i4>
      </vt:variant>
      <vt:variant>
        <vt:i4>0</vt:i4>
      </vt:variant>
      <vt:variant>
        <vt:i4>5</vt:i4>
      </vt:variant>
      <vt:variant>
        <vt:lpwstr/>
      </vt:variant>
      <vt:variant>
        <vt:lpwstr>_Toc189042855</vt:lpwstr>
      </vt:variant>
      <vt:variant>
        <vt:i4>1572916</vt:i4>
      </vt:variant>
      <vt:variant>
        <vt:i4>188</vt:i4>
      </vt:variant>
      <vt:variant>
        <vt:i4>0</vt:i4>
      </vt:variant>
      <vt:variant>
        <vt:i4>5</vt:i4>
      </vt:variant>
      <vt:variant>
        <vt:lpwstr/>
      </vt:variant>
      <vt:variant>
        <vt:lpwstr>_Toc189042854</vt:lpwstr>
      </vt:variant>
      <vt:variant>
        <vt:i4>1572916</vt:i4>
      </vt:variant>
      <vt:variant>
        <vt:i4>182</vt:i4>
      </vt:variant>
      <vt:variant>
        <vt:i4>0</vt:i4>
      </vt:variant>
      <vt:variant>
        <vt:i4>5</vt:i4>
      </vt:variant>
      <vt:variant>
        <vt:lpwstr/>
      </vt:variant>
      <vt:variant>
        <vt:lpwstr>_Toc189042853</vt:lpwstr>
      </vt:variant>
      <vt:variant>
        <vt:i4>1572916</vt:i4>
      </vt:variant>
      <vt:variant>
        <vt:i4>176</vt:i4>
      </vt:variant>
      <vt:variant>
        <vt:i4>0</vt:i4>
      </vt:variant>
      <vt:variant>
        <vt:i4>5</vt:i4>
      </vt:variant>
      <vt:variant>
        <vt:lpwstr/>
      </vt:variant>
      <vt:variant>
        <vt:lpwstr>_Toc189042852</vt:lpwstr>
      </vt:variant>
      <vt:variant>
        <vt:i4>1572916</vt:i4>
      </vt:variant>
      <vt:variant>
        <vt:i4>170</vt:i4>
      </vt:variant>
      <vt:variant>
        <vt:i4>0</vt:i4>
      </vt:variant>
      <vt:variant>
        <vt:i4>5</vt:i4>
      </vt:variant>
      <vt:variant>
        <vt:lpwstr/>
      </vt:variant>
      <vt:variant>
        <vt:lpwstr>_Toc189042851</vt:lpwstr>
      </vt:variant>
      <vt:variant>
        <vt:i4>1572916</vt:i4>
      </vt:variant>
      <vt:variant>
        <vt:i4>164</vt:i4>
      </vt:variant>
      <vt:variant>
        <vt:i4>0</vt:i4>
      </vt:variant>
      <vt:variant>
        <vt:i4>5</vt:i4>
      </vt:variant>
      <vt:variant>
        <vt:lpwstr/>
      </vt:variant>
      <vt:variant>
        <vt:lpwstr>_Toc189042850</vt:lpwstr>
      </vt:variant>
      <vt:variant>
        <vt:i4>1638452</vt:i4>
      </vt:variant>
      <vt:variant>
        <vt:i4>158</vt:i4>
      </vt:variant>
      <vt:variant>
        <vt:i4>0</vt:i4>
      </vt:variant>
      <vt:variant>
        <vt:i4>5</vt:i4>
      </vt:variant>
      <vt:variant>
        <vt:lpwstr/>
      </vt:variant>
      <vt:variant>
        <vt:lpwstr>_Toc189042849</vt:lpwstr>
      </vt:variant>
      <vt:variant>
        <vt:i4>1638452</vt:i4>
      </vt:variant>
      <vt:variant>
        <vt:i4>152</vt:i4>
      </vt:variant>
      <vt:variant>
        <vt:i4>0</vt:i4>
      </vt:variant>
      <vt:variant>
        <vt:i4>5</vt:i4>
      </vt:variant>
      <vt:variant>
        <vt:lpwstr/>
      </vt:variant>
      <vt:variant>
        <vt:lpwstr>_Toc189042848</vt:lpwstr>
      </vt:variant>
      <vt:variant>
        <vt:i4>1638452</vt:i4>
      </vt:variant>
      <vt:variant>
        <vt:i4>146</vt:i4>
      </vt:variant>
      <vt:variant>
        <vt:i4>0</vt:i4>
      </vt:variant>
      <vt:variant>
        <vt:i4>5</vt:i4>
      </vt:variant>
      <vt:variant>
        <vt:lpwstr/>
      </vt:variant>
      <vt:variant>
        <vt:lpwstr>_Toc189042847</vt:lpwstr>
      </vt:variant>
      <vt:variant>
        <vt:i4>1638452</vt:i4>
      </vt:variant>
      <vt:variant>
        <vt:i4>140</vt:i4>
      </vt:variant>
      <vt:variant>
        <vt:i4>0</vt:i4>
      </vt:variant>
      <vt:variant>
        <vt:i4>5</vt:i4>
      </vt:variant>
      <vt:variant>
        <vt:lpwstr/>
      </vt:variant>
      <vt:variant>
        <vt:lpwstr>_Toc189042846</vt:lpwstr>
      </vt:variant>
      <vt:variant>
        <vt:i4>1638452</vt:i4>
      </vt:variant>
      <vt:variant>
        <vt:i4>134</vt:i4>
      </vt:variant>
      <vt:variant>
        <vt:i4>0</vt:i4>
      </vt:variant>
      <vt:variant>
        <vt:i4>5</vt:i4>
      </vt:variant>
      <vt:variant>
        <vt:lpwstr/>
      </vt:variant>
      <vt:variant>
        <vt:lpwstr>_Toc189042845</vt:lpwstr>
      </vt:variant>
      <vt:variant>
        <vt:i4>1638452</vt:i4>
      </vt:variant>
      <vt:variant>
        <vt:i4>128</vt:i4>
      </vt:variant>
      <vt:variant>
        <vt:i4>0</vt:i4>
      </vt:variant>
      <vt:variant>
        <vt:i4>5</vt:i4>
      </vt:variant>
      <vt:variant>
        <vt:lpwstr/>
      </vt:variant>
      <vt:variant>
        <vt:lpwstr>_Toc189042844</vt:lpwstr>
      </vt:variant>
      <vt:variant>
        <vt:i4>1638452</vt:i4>
      </vt:variant>
      <vt:variant>
        <vt:i4>122</vt:i4>
      </vt:variant>
      <vt:variant>
        <vt:i4>0</vt:i4>
      </vt:variant>
      <vt:variant>
        <vt:i4>5</vt:i4>
      </vt:variant>
      <vt:variant>
        <vt:lpwstr/>
      </vt:variant>
      <vt:variant>
        <vt:lpwstr>_Toc189042843</vt:lpwstr>
      </vt:variant>
      <vt:variant>
        <vt:i4>1638452</vt:i4>
      </vt:variant>
      <vt:variant>
        <vt:i4>116</vt:i4>
      </vt:variant>
      <vt:variant>
        <vt:i4>0</vt:i4>
      </vt:variant>
      <vt:variant>
        <vt:i4>5</vt:i4>
      </vt:variant>
      <vt:variant>
        <vt:lpwstr/>
      </vt:variant>
      <vt:variant>
        <vt:lpwstr>_Toc189042842</vt:lpwstr>
      </vt:variant>
      <vt:variant>
        <vt:i4>1638452</vt:i4>
      </vt:variant>
      <vt:variant>
        <vt:i4>110</vt:i4>
      </vt:variant>
      <vt:variant>
        <vt:i4>0</vt:i4>
      </vt:variant>
      <vt:variant>
        <vt:i4>5</vt:i4>
      </vt:variant>
      <vt:variant>
        <vt:lpwstr/>
      </vt:variant>
      <vt:variant>
        <vt:lpwstr>_Toc189042841</vt:lpwstr>
      </vt:variant>
      <vt:variant>
        <vt:i4>1638452</vt:i4>
      </vt:variant>
      <vt:variant>
        <vt:i4>104</vt:i4>
      </vt:variant>
      <vt:variant>
        <vt:i4>0</vt:i4>
      </vt:variant>
      <vt:variant>
        <vt:i4>5</vt:i4>
      </vt:variant>
      <vt:variant>
        <vt:lpwstr/>
      </vt:variant>
      <vt:variant>
        <vt:lpwstr>_Toc189042840</vt:lpwstr>
      </vt:variant>
      <vt:variant>
        <vt:i4>2031668</vt:i4>
      </vt:variant>
      <vt:variant>
        <vt:i4>98</vt:i4>
      </vt:variant>
      <vt:variant>
        <vt:i4>0</vt:i4>
      </vt:variant>
      <vt:variant>
        <vt:i4>5</vt:i4>
      </vt:variant>
      <vt:variant>
        <vt:lpwstr/>
      </vt:variant>
      <vt:variant>
        <vt:lpwstr>_Toc189042825</vt:lpwstr>
      </vt:variant>
      <vt:variant>
        <vt:i4>2031668</vt:i4>
      </vt:variant>
      <vt:variant>
        <vt:i4>92</vt:i4>
      </vt:variant>
      <vt:variant>
        <vt:i4>0</vt:i4>
      </vt:variant>
      <vt:variant>
        <vt:i4>5</vt:i4>
      </vt:variant>
      <vt:variant>
        <vt:lpwstr/>
      </vt:variant>
      <vt:variant>
        <vt:lpwstr>_Toc189042824</vt:lpwstr>
      </vt:variant>
      <vt:variant>
        <vt:i4>2031668</vt:i4>
      </vt:variant>
      <vt:variant>
        <vt:i4>86</vt:i4>
      </vt:variant>
      <vt:variant>
        <vt:i4>0</vt:i4>
      </vt:variant>
      <vt:variant>
        <vt:i4>5</vt:i4>
      </vt:variant>
      <vt:variant>
        <vt:lpwstr/>
      </vt:variant>
      <vt:variant>
        <vt:lpwstr>_Toc189042823</vt:lpwstr>
      </vt:variant>
      <vt:variant>
        <vt:i4>2031668</vt:i4>
      </vt:variant>
      <vt:variant>
        <vt:i4>80</vt:i4>
      </vt:variant>
      <vt:variant>
        <vt:i4>0</vt:i4>
      </vt:variant>
      <vt:variant>
        <vt:i4>5</vt:i4>
      </vt:variant>
      <vt:variant>
        <vt:lpwstr/>
      </vt:variant>
      <vt:variant>
        <vt:lpwstr>_Toc189042822</vt:lpwstr>
      </vt:variant>
      <vt:variant>
        <vt:i4>2031668</vt:i4>
      </vt:variant>
      <vt:variant>
        <vt:i4>74</vt:i4>
      </vt:variant>
      <vt:variant>
        <vt:i4>0</vt:i4>
      </vt:variant>
      <vt:variant>
        <vt:i4>5</vt:i4>
      </vt:variant>
      <vt:variant>
        <vt:lpwstr/>
      </vt:variant>
      <vt:variant>
        <vt:lpwstr>_Toc189042821</vt:lpwstr>
      </vt:variant>
      <vt:variant>
        <vt:i4>2031668</vt:i4>
      </vt:variant>
      <vt:variant>
        <vt:i4>68</vt:i4>
      </vt:variant>
      <vt:variant>
        <vt:i4>0</vt:i4>
      </vt:variant>
      <vt:variant>
        <vt:i4>5</vt:i4>
      </vt:variant>
      <vt:variant>
        <vt:lpwstr/>
      </vt:variant>
      <vt:variant>
        <vt:lpwstr>_Toc189042820</vt:lpwstr>
      </vt:variant>
      <vt:variant>
        <vt:i4>1835060</vt:i4>
      </vt:variant>
      <vt:variant>
        <vt:i4>62</vt:i4>
      </vt:variant>
      <vt:variant>
        <vt:i4>0</vt:i4>
      </vt:variant>
      <vt:variant>
        <vt:i4>5</vt:i4>
      </vt:variant>
      <vt:variant>
        <vt:lpwstr/>
      </vt:variant>
      <vt:variant>
        <vt:lpwstr>_Toc189042819</vt:lpwstr>
      </vt:variant>
      <vt:variant>
        <vt:i4>1835060</vt:i4>
      </vt:variant>
      <vt:variant>
        <vt:i4>56</vt:i4>
      </vt:variant>
      <vt:variant>
        <vt:i4>0</vt:i4>
      </vt:variant>
      <vt:variant>
        <vt:i4>5</vt:i4>
      </vt:variant>
      <vt:variant>
        <vt:lpwstr/>
      </vt:variant>
      <vt:variant>
        <vt:lpwstr>_Toc189042818</vt:lpwstr>
      </vt:variant>
      <vt:variant>
        <vt:i4>1507386</vt:i4>
      </vt:variant>
      <vt:variant>
        <vt:i4>50</vt:i4>
      </vt:variant>
      <vt:variant>
        <vt:i4>0</vt:i4>
      </vt:variant>
      <vt:variant>
        <vt:i4>5</vt:i4>
      </vt:variant>
      <vt:variant>
        <vt:lpwstr/>
      </vt:variant>
      <vt:variant>
        <vt:lpwstr>_Toc189041690</vt:lpwstr>
      </vt:variant>
      <vt:variant>
        <vt:i4>1441850</vt:i4>
      </vt:variant>
      <vt:variant>
        <vt:i4>44</vt:i4>
      </vt:variant>
      <vt:variant>
        <vt:i4>0</vt:i4>
      </vt:variant>
      <vt:variant>
        <vt:i4>5</vt:i4>
      </vt:variant>
      <vt:variant>
        <vt:lpwstr/>
      </vt:variant>
      <vt:variant>
        <vt:lpwstr>_Toc189041689</vt:lpwstr>
      </vt:variant>
      <vt:variant>
        <vt:i4>1441850</vt:i4>
      </vt:variant>
      <vt:variant>
        <vt:i4>38</vt:i4>
      </vt:variant>
      <vt:variant>
        <vt:i4>0</vt:i4>
      </vt:variant>
      <vt:variant>
        <vt:i4>5</vt:i4>
      </vt:variant>
      <vt:variant>
        <vt:lpwstr/>
      </vt:variant>
      <vt:variant>
        <vt:lpwstr>_Toc189041688</vt:lpwstr>
      </vt:variant>
      <vt:variant>
        <vt:i4>1441850</vt:i4>
      </vt:variant>
      <vt:variant>
        <vt:i4>32</vt:i4>
      </vt:variant>
      <vt:variant>
        <vt:i4>0</vt:i4>
      </vt:variant>
      <vt:variant>
        <vt:i4>5</vt:i4>
      </vt:variant>
      <vt:variant>
        <vt:lpwstr/>
      </vt:variant>
      <vt:variant>
        <vt:lpwstr>_Toc189041687</vt:lpwstr>
      </vt:variant>
      <vt:variant>
        <vt:i4>1441850</vt:i4>
      </vt:variant>
      <vt:variant>
        <vt:i4>26</vt:i4>
      </vt:variant>
      <vt:variant>
        <vt:i4>0</vt:i4>
      </vt:variant>
      <vt:variant>
        <vt:i4>5</vt:i4>
      </vt:variant>
      <vt:variant>
        <vt:lpwstr/>
      </vt:variant>
      <vt:variant>
        <vt:lpwstr>_Toc189041686</vt:lpwstr>
      </vt:variant>
      <vt:variant>
        <vt:i4>1441850</vt:i4>
      </vt:variant>
      <vt:variant>
        <vt:i4>20</vt:i4>
      </vt:variant>
      <vt:variant>
        <vt:i4>0</vt:i4>
      </vt:variant>
      <vt:variant>
        <vt:i4>5</vt:i4>
      </vt:variant>
      <vt:variant>
        <vt:lpwstr/>
      </vt:variant>
      <vt:variant>
        <vt:lpwstr>_Toc189041685</vt:lpwstr>
      </vt:variant>
      <vt:variant>
        <vt:i4>1441850</vt:i4>
      </vt:variant>
      <vt:variant>
        <vt:i4>14</vt:i4>
      </vt:variant>
      <vt:variant>
        <vt:i4>0</vt:i4>
      </vt:variant>
      <vt:variant>
        <vt:i4>5</vt:i4>
      </vt:variant>
      <vt:variant>
        <vt:lpwstr/>
      </vt:variant>
      <vt:variant>
        <vt:lpwstr>_Toc189041684</vt:lpwstr>
      </vt:variant>
      <vt:variant>
        <vt:i4>1441850</vt:i4>
      </vt:variant>
      <vt:variant>
        <vt:i4>8</vt:i4>
      </vt:variant>
      <vt:variant>
        <vt:i4>0</vt:i4>
      </vt:variant>
      <vt:variant>
        <vt:i4>5</vt:i4>
      </vt:variant>
      <vt:variant>
        <vt:lpwstr/>
      </vt:variant>
      <vt:variant>
        <vt:lpwstr>_Toc189041683</vt:lpwstr>
      </vt:variant>
      <vt:variant>
        <vt:i4>1441850</vt:i4>
      </vt:variant>
      <vt:variant>
        <vt:i4>2</vt:i4>
      </vt:variant>
      <vt:variant>
        <vt:i4>0</vt:i4>
      </vt:variant>
      <vt:variant>
        <vt:i4>5</vt:i4>
      </vt:variant>
      <vt:variant>
        <vt:lpwstr/>
      </vt:variant>
      <vt:variant>
        <vt:lpwstr>_Toc189041682</vt:lpwstr>
      </vt:variant>
      <vt:variant>
        <vt:i4>6422603</vt:i4>
      </vt:variant>
      <vt:variant>
        <vt:i4>3</vt:i4>
      </vt:variant>
      <vt:variant>
        <vt:i4>0</vt:i4>
      </vt:variant>
      <vt:variant>
        <vt:i4>5</vt:i4>
      </vt:variant>
      <vt:variant>
        <vt:lpwstr>mailto:atieh.rajabi.khamesi@ericsson.com</vt:lpwstr>
      </vt:variant>
      <vt:variant>
        <vt:lpwstr/>
      </vt:variant>
      <vt:variant>
        <vt:i4>4456483</vt:i4>
      </vt:variant>
      <vt:variant>
        <vt:i4>0</vt:i4>
      </vt:variant>
      <vt:variant>
        <vt:i4>0</vt:i4>
      </vt:variant>
      <vt:variant>
        <vt:i4>5</vt:i4>
      </vt:variant>
      <vt:variant>
        <vt:lpwstr>mailto:xiaolin.jiang@ericsson.com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Yufei Blankenship</dc:creator>
  <cp:keywords/>
  <dc:description/>
  <cp:lastModifiedBy>Yufei Blankenship</cp:lastModifiedBy>
  <cp:revision>545</cp:revision>
  <dcterms:created xsi:type="dcterms:W3CDTF">2024-12-05T06:13:00Z</dcterms:created>
  <dcterms:modified xsi:type="dcterms:W3CDTF">2025-02-08T00:24:00Z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